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592C6E" w14:textId="64A12639" w:rsidR="00691CE2" w:rsidRPr="003E4D24" w:rsidRDefault="00691CE2" w:rsidP="00525982">
      <w:pPr>
        <w:pStyle w:val="Quote"/>
        <w:spacing w:before="0" w:after="0" w:line="240" w:lineRule="auto"/>
        <w:ind w:left="0" w:right="0"/>
        <w:jc w:val="left"/>
        <w:rPr>
          <w:rStyle w:val="IntenseEmphasis"/>
        </w:rPr>
      </w:pPr>
      <w:bookmarkStart w:id="0" w:name="_GoBack"/>
      <w:bookmarkEnd w:id="0"/>
    </w:p>
    <w:p w14:paraId="0F0A1C01" w14:textId="18B23660" w:rsidR="00691CE2" w:rsidRPr="00525982" w:rsidRDefault="00691CE2" w:rsidP="00691CE2">
      <w:pPr>
        <w:pStyle w:val="Quote"/>
        <w:spacing w:before="0" w:after="0" w:line="240" w:lineRule="auto"/>
        <w:ind w:left="0" w:right="0"/>
        <w:rPr>
          <w:rStyle w:val="IntenseEmphasis"/>
        </w:rPr>
      </w:pPr>
      <w:r w:rsidRPr="00525982">
        <w:rPr>
          <w:rStyle w:val="IntenseEmphasis"/>
        </w:rPr>
        <w:t>Child Protection</w:t>
      </w:r>
      <w:r w:rsidR="00A87219" w:rsidRPr="00525982">
        <w:rPr>
          <w:rStyle w:val="IntenseEmphasis"/>
        </w:rPr>
        <w:t xml:space="preserve"> Strategy</w:t>
      </w:r>
    </w:p>
    <w:p w14:paraId="11E11401" w14:textId="5ACBE6CB" w:rsidR="00691CE2" w:rsidRDefault="00691CE2" w:rsidP="00691CE2">
      <w:pPr>
        <w:pStyle w:val="Quote"/>
        <w:spacing w:before="0" w:after="0" w:line="240" w:lineRule="auto"/>
        <w:ind w:left="0" w:right="0"/>
        <w:rPr>
          <w:rStyle w:val="IntenseEmphasis"/>
        </w:rPr>
      </w:pPr>
      <w:r w:rsidRPr="00525982">
        <w:rPr>
          <w:rStyle w:val="IntenseEmphasis"/>
        </w:rPr>
        <w:t xml:space="preserve">Kakuma Refugee Camp </w:t>
      </w:r>
    </w:p>
    <w:p w14:paraId="7582ABF7" w14:textId="5F420693" w:rsidR="003E4D24" w:rsidRPr="004A2D98" w:rsidRDefault="00E3437C" w:rsidP="00A01599">
      <w:pPr>
        <w:pStyle w:val="Heading2"/>
        <w:rPr>
          <w:b/>
          <w:sz w:val="22"/>
          <w:szCs w:val="22"/>
          <w:lang w:val="en-US"/>
        </w:rPr>
      </w:pPr>
      <w:r>
        <w:rPr>
          <w:sz w:val="22"/>
          <w:szCs w:val="22"/>
          <w:lang w:val="en-US"/>
        </w:rPr>
        <w:tab/>
      </w:r>
      <w:r>
        <w:rPr>
          <w:sz w:val="22"/>
          <w:szCs w:val="22"/>
          <w:lang w:val="en-US"/>
        </w:rPr>
        <w:tab/>
      </w:r>
      <w:r>
        <w:rPr>
          <w:sz w:val="22"/>
          <w:szCs w:val="22"/>
          <w:lang w:val="en-US"/>
        </w:rPr>
        <w:tab/>
      </w:r>
      <w:r>
        <w:rPr>
          <w:sz w:val="22"/>
          <w:szCs w:val="22"/>
          <w:lang w:val="en-US"/>
        </w:rPr>
        <w:tab/>
      </w:r>
      <w:r>
        <w:rPr>
          <w:sz w:val="22"/>
          <w:szCs w:val="22"/>
          <w:lang w:val="en-US"/>
        </w:rPr>
        <w:tab/>
      </w:r>
      <w:r>
        <w:rPr>
          <w:sz w:val="22"/>
          <w:szCs w:val="22"/>
          <w:lang w:val="en-US"/>
        </w:rPr>
        <w:tab/>
      </w:r>
      <w:r w:rsidRPr="004A2D98">
        <w:rPr>
          <w:b/>
          <w:sz w:val="22"/>
          <w:szCs w:val="22"/>
          <w:lang w:val="en-US"/>
        </w:rPr>
        <w:t>Kenya</w:t>
      </w:r>
    </w:p>
    <w:p w14:paraId="310C1EAA" w14:textId="77777777" w:rsidR="003E4D24" w:rsidRPr="00525982" w:rsidRDefault="00842EEA" w:rsidP="003E4D24">
      <w:pPr>
        <w:rPr>
          <w:b/>
          <w:lang w:val="en-US"/>
        </w:rPr>
      </w:pPr>
      <w:r w:rsidRPr="00525982">
        <w:rPr>
          <w:b/>
          <w:lang w:val="en-US"/>
        </w:rPr>
        <w:t>Introduction</w:t>
      </w:r>
    </w:p>
    <w:p w14:paraId="66409A7D" w14:textId="07DCBAA6" w:rsidR="003E4D24" w:rsidRPr="00525982" w:rsidRDefault="003E4D24" w:rsidP="00A01599">
      <w:pPr>
        <w:pStyle w:val="UNHCRbulletpoint"/>
        <w:numPr>
          <w:ilvl w:val="0"/>
          <w:numId w:val="0"/>
        </w:numPr>
        <w:autoSpaceDE w:val="0"/>
        <w:autoSpaceDN w:val="0"/>
        <w:adjustRightInd w:val="0"/>
        <w:spacing w:before="0" w:after="0"/>
        <w:jc w:val="both"/>
        <w:rPr>
          <w:color w:val="auto"/>
        </w:rPr>
      </w:pPr>
      <w:r w:rsidRPr="00525982">
        <w:rPr>
          <w:color w:val="auto"/>
        </w:rPr>
        <w:t>As of 23 July 2017, there were a total of 109,672 refugee children (below 18 years) registered in the operation</w:t>
      </w:r>
      <w:r w:rsidR="00A01599" w:rsidRPr="00525982">
        <w:rPr>
          <w:color w:val="auto"/>
        </w:rPr>
        <w:t xml:space="preserve"> with</w:t>
      </w:r>
      <w:r w:rsidRPr="00525982">
        <w:rPr>
          <w:color w:val="auto"/>
        </w:rPr>
        <w:t xml:space="preserve"> a total of 2,611</w:t>
      </w:r>
      <w:r w:rsidR="00AF29FD" w:rsidRPr="00525982">
        <w:rPr>
          <w:color w:val="auto"/>
        </w:rPr>
        <w:t xml:space="preserve"> (1,947 South Sudanese (SSD)</w:t>
      </w:r>
      <w:r w:rsidRPr="00525982">
        <w:rPr>
          <w:color w:val="auto"/>
        </w:rPr>
        <w:t xml:space="preserve"> unaccompanied </w:t>
      </w:r>
      <w:r w:rsidR="00AF29FD" w:rsidRPr="00525982">
        <w:rPr>
          <w:color w:val="auto"/>
        </w:rPr>
        <w:t xml:space="preserve">minors (UAMs) and 11,873 (9,408 </w:t>
      </w:r>
      <w:r w:rsidRPr="00525982">
        <w:rPr>
          <w:color w:val="auto"/>
        </w:rPr>
        <w:t xml:space="preserve">SSD) separated children. Violence towards children is a major concern in Kakuma refugee </w:t>
      </w:r>
      <w:r w:rsidR="00A01599" w:rsidRPr="00525982">
        <w:rPr>
          <w:color w:val="auto"/>
        </w:rPr>
        <w:t>camp</w:t>
      </w:r>
      <w:r w:rsidRPr="00525982">
        <w:rPr>
          <w:color w:val="auto"/>
        </w:rPr>
        <w:t xml:space="preserve">. </w:t>
      </w:r>
      <w:r w:rsidR="00A01599" w:rsidRPr="00525982">
        <w:rPr>
          <w:color w:val="auto"/>
        </w:rPr>
        <w:t>Majority of reports on</w:t>
      </w:r>
      <w:r w:rsidRPr="00525982">
        <w:rPr>
          <w:color w:val="auto"/>
        </w:rPr>
        <w:t xml:space="preserve"> cases affecting children </w:t>
      </w:r>
      <w:r w:rsidR="00A01599" w:rsidRPr="00525982">
        <w:rPr>
          <w:color w:val="auto"/>
        </w:rPr>
        <w:t xml:space="preserve">include </w:t>
      </w:r>
      <w:r w:rsidRPr="00525982">
        <w:rPr>
          <w:color w:val="auto"/>
        </w:rPr>
        <w:t>physical and sexual abuse, early marriage and FGM, threat</w:t>
      </w:r>
      <w:r w:rsidR="00A01599" w:rsidRPr="00525982">
        <w:rPr>
          <w:color w:val="auto"/>
        </w:rPr>
        <w:t>s</w:t>
      </w:r>
      <w:r w:rsidRPr="00525982">
        <w:rPr>
          <w:color w:val="auto"/>
        </w:rPr>
        <w:t xml:space="preserve"> of abduction, tribal conflict and psychological and emotional abuse. The exact prevalence and incidence </w:t>
      </w:r>
      <w:proofErr w:type="gramStart"/>
      <w:r w:rsidRPr="00525982">
        <w:rPr>
          <w:color w:val="auto"/>
        </w:rPr>
        <w:t>is</w:t>
      </w:r>
      <w:proofErr w:type="gramEnd"/>
      <w:r w:rsidRPr="00525982">
        <w:rPr>
          <w:color w:val="auto"/>
        </w:rPr>
        <w:t xml:space="preserve"> difficult to capture accurately as the majority of cases remain unreported by both the refugee and host communities. </w:t>
      </w:r>
      <w:r w:rsidR="00A01599" w:rsidRPr="00525982">
        <w:rPr>
          <w:color w:val="auto"/>
        </w:rPr>
        <w:t>45% of the children below 18 years are girls and they f</w:t>
      </w:r>
      <w:r w:rsidR="00310FBF" w:rsidRPr="00525982">
        <w:rPr>
          <w:color w:val="auto"/>
        </w:rPr>
        <w:t>ace specific challenges related</w:t>
      </w:r>
      <w:r w:rsidR="00A01599" w:rsidRPr="00525982">
        <w:rPr>
          <w:color w:val="auto"/>
        </w:rPr>
        <w:t xml:space="preserve"> to traditional gender roles.</w:t>
      </w:r>
    </w:p>
    <w:p w14:paraId="522D2687" w14:textId="77777777" w:rsidR="00580927" w:rsidRPr="00525982" w:rsidRDefault="00580927" w:rsidP="00580927">
      <w:pPr>
        <w:autoSpaceDE w:val="0"/>
        <w:autoSpaceDN w:val="0"/>
        <w:adjustRightInd w:val="0"/>
        <w:spacing w:after="0" w:line="240" w:lineRule="auto"/>
        <w:jc w:val="both"/>
        <w:rPr>
          <w:rFonts w:cs="Times-Roman"/>
        </w:rPr>
      </w:pPr>
    </w:p>
    <w:p w14:paraId="05C5B224" w14:textId="2FA2FD41" w:rsidR="00580927" w:rsidRPr="00525982" w:rsidRDefault="00580927" w:rsidP="00580927">
      <w:pPr>
        <w:autoSpaceDE w:val="0"/>
        <w:autoSpaceDN w:val="0"/>
        <w:adjustRightInd w:val="0"/>
        <w:spacing w:after="0" w:line="240" w:lineRule="auto"/>
        <w:jc w:val="both"/>
        <w:rPr>
          <w:rFonts w:cs="Tahoma"/>
        </w:rPr>
      </w:pPr>
      <w:r w:rsidRPr="00525982">
        <w:rPr>
          <w:rFonts w:cs="Tahoma"/>
        </w:rPr>
        <w:t xml:space="preserve">This strategy outlines key issues relating to the delivery of child protection services and takes into consideration </w:t>
      </w:r>
      <w:r w:rsidR="00560252" w:rsidRPr="00525982">
        <w:rPr>
          <w:rFonts w:cs="Tahoma"/>
        </w:rPr>
        <w:t xml:space="preserve">these issues </w:t>
      </w:r>
      <w:r w:rsidRPr="00525982">
        <w:rPr>
          <w:rFonts w:cs="Tahoma"/>
        </w:rPr>
        <w:t>in formulating the</w:t>
      </w:r>
      <w:r w:rsidR="00F00927" w:rsidRPr="00525982">
        <w:rPr>
          <w:rFonts w:cs="Tahoma"/>
        </w:rPr>
        <w:t xml:space="preserve"> </w:t>
      </w:r>
      <w:r w:rsidR="00560252" w:rsidRPr="00525982">
        <w:rPr>
          <w:rFonts w:cs="Tahoma"/>
        </w:rPr>
        <w:t xml:space="preserve">most suitable </w:t>
      </w:r>
      <w:r w:rsidRPr="00525982">
        <w:rPr>
          <w:rFonts w:cs="Tahoma"/>
        </w:rPr>
        <w:t xml:space="preserve">direction for </w:t>
      </w:r>
      <w:r w:rsidR="00560252" w:rsidRPr="00525982">
        <w:rPr>
          <w:rFonts w:cs="Tahoma"/>
        </w:rPr>
        <w:t>child protection</w:t>
      </w:r>
      <w:r w:rsidRPr="00525982">
        <w:rPr>
          <w:rFonts w:cs="Tahoma"/>
        </w:rPr>
        <w:t xml:space="preserve"> programming in Kakuma</w:t>
      </w:r>
      <w:r w:rsidR="00560252" w:rsidRPr="00525982">
        <w:rPr>
          <w:rFonts w:cs="Tahoma"/>
        </w:rPr>
        <w:t xml:space="preserve"> refugee camp</w:t>
      </w:r>
      <w:r w:rsidRPr="00525982">
        <w:rPr>
          <w:rFonts w:cs="Tahoma"/>
        </w:rPr>
        <w:t>.</w:t>
      </w:r>
    </w:p>
    <w:p w14:paraId="688BB2CB" w14:textId="77777777" w:rsidR="00A01599" w:rsidRPr="00525982" w:rsidRDefault="00A01599" w:rsidP="00580927">
      <w:pPr>
        <w:spacing w:after="0" w:line="240" w:lineRule="auto"/>
        <w:contextualSpacing/>
        <w:jc w:val="both"/>
        <w:rPr>
          <w:lang w:val="en-US"/>
        </w:rPr>
      </w:pPr>
    </w:p>
    <w:p w14:paraId="61D05BE3" w14:textId="12AC255A" w:rsidR="00842EEA" w:rsidRDefault="00377457" w:rsidP="00842EEA">
      <w:pPr>
        <w:spacing w:after="0" w:line="240" w:lineRule="auto"/>
        <w:contextualSpacing/>
        <w:jc w:val="both"/>
        <w:rPr>
          <w:b/>
          <w:color w:val="9CC2E5" w:themeColor="accent1" w:themeTint="99"/>
          <w:lang w:val="en-US"/>
        </w:rPr>
      </w:pPr>
      <w:r w:rsidRPr="00525982">
        <w:rPr>
          <w:b/>
          <w:color w:val="9CC2E5" w:themeColor="accent1" w:themeTint="99"/>
          <w:lang w:val="en-US"/>
        </w:rPr>
        <w:t>Guiding Principle</w:t>
      </w:r>
      <w:r w:rsidR="00842EEA" w:rsidRPr="00525982">
        <w:rPr>
          <w:b/>
          <w:color w:val="9CC2E5" w:themeColor="accent1" w:themeTint="99"/>
          <w:lang w:val="en-US"/>
        </w:rPr>
        <w:t>s</w:t>
      </w:r>
    </w:p>
    <w:p w14:paraId="12A67935" w14:textId="77777777" w:rsidR="00525982" w:rsidRPr="00525982" w:rsidRDefault="00525982" w:rsidP="00842EEA">
      <w:pPr>
        <w:spacing w:after="0" w:line="240" w:lineRule="auto"/>
        <w:contextualSpacing/>
        <w:jc w:val="both"/>
        <w:rPr>
          <w:rFonts w:cs="Calibri"/>
          <w:b/>
          <w:bCs/>
          <w:color w:val="9CC2E5" w:themeColor="accent1" w:themeTint="99"/>
          <w:lang w:val="en-AU"/>
        </w:rPr>
      </w:pPr>
    </w:p>
    <w:p w14:paraId="77775CDF" w14:textId="41BDE1FE" w:rsidR="00842EEA" w:rsidRPr="00525982" w:rsidRDefault="00842EEA" w:rsidP="00842EEA">
      <w:pPr>
        <w:pStyle w:val="ColorfulList-Accent11"/>
        <w:spacing w:after="0" w:line="240" w:lineRule="auto"/>
        <w:ind w:left="0"/>
        <w:contextualSpacing/>
        <w:jc w:val="both"/>
      </w:pPr>
      <w:r w:rsidRPr="00525982">
        <w:t xml:space="preserve">UNHCR action to </w:t>
      </w:r>
      <w:r w:rsidR="003E07D5" w:rsidRPr="00525982">
        <w:t>protect children</w:t>
      </w:r>
      <w:r w:rsidRPr="00525982">
        <w:t xml:space="preserve"> is guided by the following principles: </w:t>
      </w:r>
    </w:p>
    <w:p w14:paraId="3932D5A4" w14:textId="77777777" w:rsidR="00842EEA" w:rsidRPr="00525982" w:rsidRDefault="00842EEA" w:rsidP="00842EEA">
      <w:pPr>
        <w:pStyle w:val="ColorfulList-Accent11"/>
        <w:spacing w:after="0" w:line="240" w:lineRule="auto"/>
        <w:ind w:left="0"/>
        <w:contextualSpacing/>
        <w:jc w:val="both"/>
      </w:pPr>
    </w:p>
    <w:p w14:paraId="6E3ACD84" w14:textId="77777777" w:rsidR="00842EEA" w:rsidRPr="00525982" w:rsidRDefault="00842EEA" w:rsidP="00842EEA">
      <w:pPr>
        <w:pStyle w:val="ListParagraph"/>
        <w:numPr>
          <w:ilvl w:val="0"/>
          <w:numId w:val="14"/>
        </w:numPr>
        <w:spacing w:after="200" w:line="240" w:lineRule="auto"/>
        <w:jc w:val="both"/>
        <w:rPr>
          <w:rFonts w:cs="Calibri"/>
        </w:rPr>
      </w:pPr>
      <w:r w:rsidRPr="00525982">
        <w:rPr>
          <w:rFonts w:cs="Calibri"/>
          <w:b/>
        </w:rPr>
        <w:t>Systems approach.</w:t>
      </w:r>
      <w:r w:rsidRPr="00525982">
        <w:rPr>
          <w:rFonts w:cs="Calibri"/>
        </w:rPr>
        <w:t xml:space="preserve"> Strengthening national child protection systems and services in line with UNHCR’s Global Framework for the Protection of Children and designing holistic programming that address the full range of child protection risks.</w:t>
      </w:r>
    </w:p>
    <w:p w14:paraId="60EB3218" w14:textId="77777777" w:rsidR="00842EEA" w:rsidRPr="00525982" w:rsidRDefault="00611B4D" w:rsidP="00842EEA">
      <w:pPr>
        <w:pStyle w:val="ListParagraph"/>
        <w:numPr>
          <w:ilvl w:val="0"/>
          <w:numId w:val="14"/>
        </w:numPr>
        <w:spacing w:after="0" w:line="240" w:lineRule="auto"/>
        <w:jc w:val="both"/>
        <w:rPr>
          <w:rFonts w:cs="Calibri"/>
          <w:lang w:val="en-AU"/>
        </w:rPr>
      </w:pPr>
      <w:r w:rsidRPr="00525982">
        <w:rPr>
          <w:rFonts w:cs="Calibri"/>
          <w:b/>
          <w:lang w:val="en-AU"/>
        </w:rPr>
        <w:t>Partnership</w:t>
      </w:r>
      <w:r w:rsidR="00842EEA" w:rsidRPr="00525982">
        <w:rPr>
          <w:rFonts w:cs="Calibri"/>
          <w:b/>
          <w:lang w:val="en-AU"/>
        </w:rPr>
        <w:t>.</w:t>
      </w:r>
      <w:r w:rsidR="00842EEA" w:rsidRPr="00525982">
        <w:rPr>
          <w:rFonts w:cs="Calibri"/>
          <w:lang w:val="en-AU"/>
        </w:rPr>
        <w:t xml:space="preserve"> Working in partnership with States, communities, children, and other child protection actors to develop a comprehensive interagency child protection response that maximizes resources and the complementary of all partners’ contributions.</w:t>
      </w:r>
    </w:p>
    <w:p w14:paraId="39EDA759" w14:textId="77777777" w:rsidR="00842EEA" w:rsidRPr="00525982" w:rsidRDefault="00842EEA" w:rsidP="00842EEA">
      <w:pPr>
        <w:pStyle w:val="ListParagraph"/>
        <w:numPr>
          <w:ilvl w:val="0"/>
          <w:numId w:val="14"/>
        </w:numPr>
        <w:spacing w:after="200" w:line="240" w:lineRule="auto"/>
        <w:jc w:val="both"/>
        <w:rPr>
          <w:rFonts w:cs="Calibri"/>
        </w:rPr>
      </w:pPr>
      <w:r w:rsidRPr="00525982">
        <w:rPr>
          <w:rFonts w:cs="Calibri"/>
          <w:b/>
        </w:rPr>
        <w:t>Urgency.</w:t>
      </w:r>
      <w:r w:rsidRPr="00525982">
        <w:rPr>
          <w:rFonts w:cs="Calibri"/>
        </w:rPr>
        <w:t xml:space="preserve"> Ensure prioritization of and immediate response to protection risks for children including prioritizing the most at-risk children. </w:t>
      </w:r>
    </w:p>
    <w:p w14:paraId="6D39D8FF" w14:textId="77777777" w:rsidR="00842EEA" w:rsidRPr="00525982" w:rsidRDefault="00842EEA" w:rsidP="00842EEA">
      <w:pPr>
        <w:pStyle w:val="ListParagraph"/>
        <w:numPr>
          <w:ilvl w:val="0"/>
          <w:numId w:val="14"/>
        </w:numPr>
        <w:spacing w:after="200" w:line="240" w:lineRule="auto"/>
        <w:jc w:val="both"/>
        <w:rPr>
          <w:rFonts w:cs="Calibri"/>
        </w:rPr>
      </w:pPr>
      <w:r w:rsidRPr="00525982">
        <w:rPr>
          <w:rFonts w:cs="Calibri"/>
          <w:b/>
        </w:rPr>
        <w:t>Best Interests</w:t>
      </w:r>
      <w:r w:rsidR="00611B4D" w:rsidRPr="00525982">
        <w:rPr>
          <w:rFonts w:cs="Calibri"/>
          <w:b/>
        </w:rPr>
        <w:t xml:space="preserve"> of the Child</w:t>
      </w:r>
      <w:r w:rsidRPr="00525982">
        <w:rPr>
          <w:rFonts w:cs="Calibri"/>
          <w:b/>
        </w:rPr>
        <w:t>.</w:t>
      </w:r>
      <w:r w:rsidRPr="00525982">
        <w:rPr>
          <w:rFonts w:cs="Calibri"/>
        </w:rPr>
        <w:t xml:space="preserve"> The best interests of the child </w:t>
      </w:r>
      <w:proofErr w:type="gramStart"/>
      <w:r w:rsidRPr="00525982">
        <w:rPr>
          <w:rFonts w:cs="Calibri"/>
        </w:rPr>
        <w:t>is</w:t>
      </w:r>
      <w:proofErr w:type="gramEnd"/>
      <w:r w:rsidRPr="00525982">
        <w:rPr>
          <w:rFonts w:cs="Calibri"/>
        </w:rPr>
        <w:t xml:space="preserve"> a primary consideration in all decisions and actions undertaken for and with children including during all protection procedures.</w:t>
      </w:r>
    </w:p>
    <w:p w14:paraId="5F469C68" w14:textId="77777777" w:rsidR="00611B4D" w:rsidRPr="00525982" w:rsidRDefault="00611B4D" w:rsidP="00842EEA">
      <w:pPr>
        <w:pStyle w:val="ListParagraph"/>
        <w:numPr>
          <w:ilvl w:val="0"/>
          <w:numId w:val="14"/>
        </w:numPr>
        <w:spacing w:after="200" w:line="240" w:lineRule="auto"/>
        <w:jc w:val="both"/>
        <w:rPr>
          <w:rFonts w:cs="Calibri"/>
        </w:rPr>
      </w:pPr>
      <w:r w:rsidRPr="00525982">
        <w:rPr>
          <w:rFonts w:cs="Calibri"/>
          <w:b/>
        </w:rPr>
        <w:t>Family and Community Based Approach.</w:t>
      </w:r>
      <w:r w:rsidRPr="00525982">
        <w:rPr>
          <w:rFonts w:cs="Calibri"/>
        </w:rPr>
        <w:t xml:space="preserve"> Families and communities are central to the care and protection that children need. It is important to understand and support and build upon existing community mechani</w:t>
      </w:r>
      <w:r w:rsidR="00AF169E" w:rsidRPr="00525982">
        <w:rPr>
          <w:rFonts w:cs="Calibri"/>
        </w:rPr>
        <w:t>sm that protects boys and girls, also act as an advocate for children to address harmful practices.</w:t>
      </w:r>
    </w:p>
    <w:p w14:paraId="32EB1FAB" w14:textId="77777777" w:rsidR="00842EEA" w:rsidRPr="00525982" w:rsidRDefault="00842EEA" w:rsidP="00842EEA">
      <w:pPr>
        <w:pStyle w:val="ListParagraph"/>
        <w:numPr>
          <w:ilvl w:val="0"/>
          <w:numId w:val="14"/>
        </w:numPr>
        <w:spacing w:after="200" w:line="240" w:lineRule="auto"/>
        <w:jc w:val="both"/>
        <w:rPr>
          <w:rFonts w:cs="Calibri"/>
        </w:rPr>
      </w:pPr>
      <w:r w:rsidRPr="00525982">
        <w:rPr>
          <w:rFonts w:cs="Calibri"/>
          <w:b/>
        </w:rPr>
        <w:t>Participatory.</w:t>
      </w:r>
      <w:r w:rsidRPr="00525982">
        <w:rPr>
          <w:rFonts w:cs="Calibri"/>
        </w:rPr>
        <w:t xml:space="preserve"> Promote the participation of children in their own protection and in all matters affecting them in accordance with their age, gender, maturity and capacity. </w:t>
      </w:r>
    </w:p>
    <w:p w14:paraId="012AAD74" w14:textId="77777777" w:rsidR="00842EEA" w:rsidRPr="00525982" w:rsidRDefault="00842EEA" w:rsidP="00842EEA">
      <w:pPr>
        <w:pStyle w:val="ListParagraph"/>
        <w:numPr>
          <w:ilvl w:val="0"/>
          <w:numId w:val="14"/>
        </w:numPr>
        <w:spacing w:after="200" w:line="240" w:lineRule="auto"/>
        <w:jc w:val="both"/>
        <w:rPr>
          <w:rFonts w:cs="Calibri"/>
        </w:rPr>
      </w:pPr>
      <w:r w:rsidRPr="00525982">
        <w:rPr>
          <w:rFonts w:cs="Calibri"/>
          <w:b/>
        </w:rPr>
        <w:t>Equity.</w:t>
      </w:r>
      <w:r w:rsidRPr="00525982">
        <w:rPr>
          <w:rFonts w:cs="Calibri"/>
        </w:rPr>
        <w:t xml:space="preserve"> Promote an inclusive and non-discriminatory approach to the protection of refugee children, irrespective of their nationality and place of residence. </w:t>
      </w:r>
    </w:p>
    <w:p w14:paraId="5D4CF5CF" w14:textId="77777777" w:rsidR="00842EEA" w:rsidRPr="00525982" w:rsidRDefault="00842EEA" w:rsidP="00842EEA">
      <w:pPr>
        <w:pStyle w:val="ListParagraph"/>
        <w:numPr>
          <w:ilvl w:val="0"/>
          <w:numId w:val="14"/>
        </w:numPr>
        <w:spacing w:after="200" w:line="240" w:lineRule="auto"/>
        <w:jc w:val="both"/>
        <w:rPr>
          <w:rFonts w:cs="Calibri"/>
        </w:rPr>
      </w:pPr>
      <w:r w:rsidRPr="00525982">
        <w:rPr>
          <w:rFonts w:cs="Calibri"/>
          <w:b/>
        </w:rPr>
        <w:t>Inclusivity.</w:t>
      </w:r>
      <w:r w:rsidRPr="00525982">
        <w:rPr>
          <w:rFonts w:cs="Calibri"/>
        </w:rPr>
        <w:t xml:space="preserve"> Address the specific risks that boys and girls of specific ages face, as well as children with disabilities and children with other specific backgrounds.</w:t>
      </w:r>
    </w:p>
    <w:p w14:paraId="5304BCE6" w14:textId="2D580642" w:rsidR="00A247EA" w:rsidRPr="001735A0" w:rsidRDefault="00842EEA" w:rsidP="00AF29FD">
      <w:pPr>
        <w:pStyle w:val="ListParagraph"/>
        <w:numPr>
          <w:ilvl w:val="0"/>
          <w:numId w:val="14"/>
        </w:numPr>
        <w:spacing w:after="200" w:line="240" w:lineRule="auto"/>
        <w:jc w:val="both"/>
        <w:rPr>
          <w:rFonts w:cs="Calibri"/>
        </w:rPr>
      </w:pPr>
      <w:r w:rsidRPr="00525982">
        <w:rPr>
          <w:rFonts w:cs="Calibri"/>
          <w:b/>
        </w:rPr>
        <w:t>Do No Harm.</w:t>
      </w:r>
      <w:r w:rsidRPr="00525982">
        <w:rPr>
          <w:rFonts w:cs="Calibri"/>
        </w:rPr>
        <w:t xml:space="preserve"> Conduct actions, procedures and programmes in a way that does not place the child at further risk of harm, including as a result of unintended consequences.  </w:t>
      </w:r>
    </w:p>
    <w:p w14:paraId="24F4DABC" w14:textId="77777777" w:rsidR="001735A0" w:rsidRDefault="001735A0" w:rsidP="00AF29FD">
      <w:pPr>
        <w:rPr>
          <w:b/>
          <w:color w:val="9CC2E5" w:themeColor="accent1" w:themeTint="99"/>
          <w:lang w:val="en-US"/>
        </w:rPr>
      </w:pPr>
    </w:p>
    <w:p w14:paraId="60782015" w14:textId="77777777" w:rsidR="001735A0" w:rsidRDefault="001735A0" w:rsidP="00AF29FD">
      <w:pPr>
        <w:rPr>
          <w:b/>
          <w:color w:val="9CC2E5" w:themeColor="accent1" w:themeTint="99"/>
          <w:lang w:val="en-US"/>
        </w:rPr>
      </w:pPr>
    </w:p>
    <w:p w14:paraId="7B73B1E6" w14:textId="77777777" w:rsidR="001735A0" w:rsidRDefault="001735A0" w:rsidP="00AF29FD">
      <w:pPr>
        <w:rPr>
          <w:b/>
          <w:color w:val="9CC2E5" w:themeColor="accent1" w:themeTint="99"/>
          <w:lang w:val="en-US"/>
        </w:rPr>
      </w:pPr>
    </w:p>
    <w:p w14:paraId="20673526" w14:textId="77777777" w:rsidR="00691CE2" w:rsidRPr="00525982" w:rsidRDefault="00AF169E" w:rsidP="00AF29FD">
      <w:pPr>
        <w:rPr>
          <w:b/>
          <w:color w:val="9CC2E5" w:themeColor="accent1" w:themeTint="99"/>
          <w:lang w:val="en-US"/>
        </w:rPr>
      </w:pPr>
      <w:r w:rsidRPr="00525982">
        <w:rPr>
          <w:b/>
          <w:color w:val="9CC2E5" w:themeColor="accent1" w:themeTint="99"/>
          <w:lang w:val="en-US"/>
        </w:rPr>
        <w:lastRenderedPageBreak/>
        <w:t xml:space="preserve">Strategic </w:t>
      </w:r>
      <w:r w:rsidR="00377457" w:rsidRPr="00525982">
        <w:rPr>
          <w:b/>
          <w:color w:val="9CC2E5" w:themeColor="accent1" w:themeTint="99"/>
          <w:lang w:val="en-US"/>
        </w:rPr>
        <w:t>Objectives</w:t>
      </w:r>
    </w:p>
    <w:p w14:paraId="326EA8FB" w14:textId="2916E399" w:rsidR="00AF169E" w:rsidRPr="00525982" w:rsidRDefault="00477D0F" w:rsidP="00310FBF">
      <w:pPr>
        <w:jc w:val="both"/>
        <w:rPr>
          <w:lang w:val="en-US"/>
        </w:rPr>
      </w:pPr>
      <w:r w:rsidRPr="00525982">
        <w:rPr>
          <w:lang w:val="en-US"/>
        </w:rPr>
        <w:t xml:space="preserve">For 2017 through 2019, </w:t>
      </w:r>
      <w:r w:rsidR="00AF169E" w:rsidRPr="00525982">
        <w:rPr>
          <w:lang w:val="en-US"/>
        </w:rPr>
        <w:t xml:space="preserve">UNHCR </w:t>
      </w:r>
      <w:r w:rsidRPr="00525982">
        <w:rPr>
          <w:lang w:val="en-US"/>
        </w:rPr>
        <w:t>will place emphasis</w:t>
      </w:r>
      <w:r w:rsidR="00AF169E" w:rsidRPr="00525982">
        <w:rPr>
          <w:lang w:val="en-US"/>
        </w:rPr>
        <w:t xml:space="preserve"> on the following </w:t>
      </w:r>
      <w:r w:rsidR="00DD23B1">
        <w:rPr>
          <w:lang w:val="en-US"/>
        </w:rPr>
        <w:t>four</w:t>
      </w:r>
      <w:r w:rsidR="00AF169E" w:rsidRPr="00525982">
        <w:rPr>
          <w:lang w:val="en-US"/>
        </w:rPr>
        <w:t xml:space="preserve"> strategic objectives </w:t>
      </w:r>
      <w:r w:rsidRPr="00525982">
        <w:rPr>
          <w:lang w:val="en-US"/>
        </w:rPr>
        <w:t xml:space="preserve">that serve to </w:t>
      </w:r>
      <w:r w:rsidR="00AF169E" w:rsidRPr="00525982">
        <w:rPr>
          <w:lang w:val="en-US"/>
        </w:rPr>
        <w:t>pr</w:t>
      </w:r>
      <w:r w:rsidR="007B1BA5" w:rsidRPr="00525982">
        <w:rPr>
          <w:lang w:val="en-US"/>
        </w:rPr>
        <w:t xml:space="preserve">otect refugee </w:t>
      </w:r>
      <w:r w:rsidR="00525982" w:rsidRPr="00525982">
        <w:rPr>
          <w:lang w:val="en-US"/>
        </w:rPr>
        <w:t>children</w:t>
      </w:r>
      <w:r w:rsidR="00AC1B5A" w:rsidRPr="00525982">
        <w:rPr>
          <w:lang w:val="en-US"/>
        </w:rPr>
        <w:t xml:space="preserve"> </w:t>
      </w:r>
      <w:r w:rsidR="00310FBF" w:rsidRPr="00525982">
        <w:rPr>
          <w:lang w:val="en-US"/>
        </w:rPr>
        <w:t>in Kakuma refugee camp</w:t>
      </w:r>
      <w:r w:rsidR="00765A94" w:rsidRPr="00525982">
        <w:rPr>
          <w:rStyle w:val="FootnoteReference"/>
          <w:lang w:val="en-US"/>
        </w:rPr>
        <w:footnoteReference w:id="1"/>
      </w:r>
      <w:r w:rsidR="00310FBF" w:rsidRPr="00525982">
        <w:rPr>
          <w:lang w:val="en-US"/>
        </w:rPr>
        <w:t>.</w:t>
      </w:r>
    </w:p>
    <w:p w14:paraId="742FE9AA" w14:textId="77777777" w:rsidR="00F2760D" w:rsidRDefault="00BB0502" w:rsidP="00F2760D">
      <w:pPr>
        <w:spacing w:line="240" w:lineRule="auto"/>
        <w:contextualSpacing/>
        <w:jc w:val="both"/>
        <w:rPr>
          <w:rFonts w:cs="Calibri"/>
          <w:b/>
          <w:lang w:val="en-AU"/>
        </w:rPr>
      </w:pPr>
      <w:r>
        <w:rPr>
          <w:b/>
          <w:lang w:val="en-US"/>
        </w:rPr>
        <w:t xml:space="preserve">Objective 1: </w:t>
      </w:r>
      <w:r w:rsidR="00F2760D" w:rsidRPr="00EF2A10">
        <w:rPr>
          <w:rFonts w:cs="Calibri"/>
          <w:b/>
          <w:lang w:val="en-AU"/>
        </w:rPr>
        <w:t>Every boy and girl identified with a specific protection risk receives quality specialized child protection services in line with their best interests</w:t>
      </w:r>
    </w:p>
    <w:p w14:paraId="6A8B3F89" w14:textId="77777777" w:rsidR="00F2760D" w:rsidRPr="00EF2A10" w:rsidRDefault="00F2760D" w:rsidP="00F2760D">
      <w:pPr>
        <w:spacing w:line="240" w:lineRule="auto"/>
        <w:contextualSpacing/>
        <w:jc w:val="both"/>
        <w:rPr>
          <w:rFonts w:cs="Calibri"/>
          <w:lang w:val="en-AU"/>
        </w:rPr>
      </w:pPr>
    </w:p>
    <w:p w14:paraId="67C2F600" w14:textId="1C030344" w:rsidR="00F2760D" w:rsidRDefault="00F2760D" w:rsidP="00F2760D">
      <w:pPr>
        <w:spacing w:after="0" w:line="240" w:lineRule="auto"/>
        <w:jc w:val="both"/>
        <w:rPr>
          <w:lang w:val="en-US"/>
        </w:rPr>
      </w:pPr>
      <w:r>
        <w:rPr>
          <w:lang w:val="en-US"/>
        </w:rPr>
        <w:t xml:space="preserve">According to information captured by LWF partner agency in CPIMS, children in Kakuma are at high risk of violence, abuse, neglect and exploitation. These incidents largely remain unreported due to gaps including weak reporting and referral mechanisms, lack of child friendly spaces and shortage of Children Protection focal points, limited prevention activities and challenges in staff retention. </w:t>
      </w:r>
    </w:p>
    <w:p w14:paraId="3D6450DE" w14:textId="77777777" w:rsidR="00F2760D" w:rsidRDefault="00F2760D" w:rsidP="00F2760D">
      <w:pPr>
        <w:spacing w:line="240" w:lineRule="auto"/>
        <w:contextualSpacing/>
        <w:jc w:val="both"/>
        <w:rPr>
          <w:rFonts w:cs="Calibri"/>
          <w:lang w:val="en-AU"/>
        </w:rPr>
      </w:pPr>
    </w:p>
    <w:p w14:paraId="6D2416B7" w14:textId="1A408C2C" w:rsidR="00F2760D" w:rsidRPr="00EF2A10" w:rsidRDefault="00F2760D" w:rsidP="00F2760D">
      <w:pPr>
        <w:spacing w:line="240" w:lineRule="auto"/>
        <w:contextualSpacing/>
        <w:jc w:val="both"/>
        <w:rPr>
          <w:rFonts w:cs="Calibri"/>
          <w:lang w:val="en-AU"/>
        </w:rPr>
      </w:pPr>
      <w:r w:rsidRPr="00EF2A10">
        <w:rPr>
          <w:rFonts w:cs="Calibri"/>
          <w:lang w:val="en-AU"/>
        </w:rPr>
        <w:t>UNHCR programmes will continue to provide response services for children who are at risk of or victim of violence, neglect, abuse or exploitation or who have specific needs that require an urgent response. UNHCR will provide specialised programmes to ensure that at a minimum all refugee children who are identified as unaccompanied, experience or are at risk of domestic abuse, all forms of sexual abuse, child recruitm</w:t>
      </w:r>
      <w:r w:rsidR="0080570D">
        <w:rPr>
          <w:rFonts w:cs="Calibri"/>
          <w:lang w:val="en-AU"/>
        </w:rPr>
        <w:t xml:space="preserve">ent, </w:t>
      </w:r>
      <w:r w:rsidRPr="00EF2A10">
        <w:rPr>
          <w:rFonts w:cs="Calibri"/>
          <w:lang w:val="en-AU"/>
        </w:rPr>
        <w:t xml:space="preserve">and/or early marriage receive immediate quality services in line with their best interests.  </w:t>
      </w:r>
    </w:p>
    <w:p w14:paraId="1C886358" w14:textId="77777777" w:rsidR="00F2760D" w:rsidRPr="00EF2A10" w:rsidRDefault="00F2760D" w:rsidP="00F2760D">
      <w:pPr>
        <w:spacing w:line="240" w:lineRule="auto"/>
        <w:contextualSpacing/>
        <w:jc w:val="both"/>
        <w:rPr>
          <w:rFonts w:cs="Calibri"/>
          <w:lang w:val="en-AU"/>
        </w:rPr>
      </w:pPr>
    </w:p>
    <w:p w14:paraId="4052D9DD" w14:textId="10740B4E" w:rsidR="00F2760D" w:rsidRPr="00EF2A10" w:rsidRDefault="00F2760D" w:rsidP="00A247EA">
      <w:pPr>
        <w:jc w:val="both"/>
        <w:rPr>
          <w:rFonts w:cs="Calibri"/>
          <w:lang w:val="en-AU"/>
        </w:rPr>
      </w:pPr>
      <w:r w:rsidRPr="00EF2A10">
        <w:rPr>
          <w:rFonts w:cs="Calibri"/>
          <w:lang w:val="en-AU"/>
        </w:rPr>
        <w:t xml:space="preserve">The primary specialised </w:t>
      </w:r>
      <w:r w:rsidR="00E3437C">
        <w:rPr>
          <w:rFonts w:cs="Calibri"/>
          <w:lang w:val="en-AU"/>
        </w:rPr>
        <w:t>approach</w:t>
      </w:r>
      <w:r w:rsidR="00E3437C" w:rsidRPr="00EF2A10">
        <w:rPr>
          <w:rFonts w:cs="Calibri"/>
          <w:lang w:val="en-AU"/>
        </w:rPr>
        <w:t xml:space="preserve"> </w:t>
      </w:r>
      <w:r w:rsidRPr="00EF2A10">
        <w:rPr>
          <w:rFonts w:cs="Calibri"/>
          <w:lang w:val="en-AU"/>
        </w:rPr>
        <w:t xml:space="preserve">to be </w:t>
      </w:r>
      <w:r w:rsidR="00E3437C">
        <w:rPr>
          <w:rFonts w:cs="Calibri"/>
          <w:lang w:val="en-AU"/>
        </w:rPr>
        <w:t>used</w:t>
      </w:r>
      <w:r w:rsidR="00E3437C" w:rsidRPr="00EF2A10">
        <w:rPr>
          <w:rFonts w:cs="Calibri"/>
          <w:lang w:val="en-AU"/>
        </w:rPr>
        <w:t xml:space="preserve"> </w:t>
      </w:r>
      <w:r w:rsidRPr="00EF2A10">
        <w:rPr>
          <w:rFonts w:cs="Calibri"/>
          <w:lang w:val="en-AU"/>
        </w:rPr>
        <w:t>by UNHCR is integrated case management by UNHCR and partner staff including Best Interests Assessment and where relevant Best Interests Determination for children facing a range of child protection risks. Other specialised child protection services to</w:t>
      </w:r>
      <w:r w:rsidR="00A247EA">
        <w:rPr>
          <w:rFonts w:cs="Calibri"/>
          <w:lang w:val="en-AU"/>
        </w:rPr>
        <w:t xml:space="preserve"> be provided include: (1) community</w:t>
      </w:r>
      <w:r w:rsidRPr="00EF2A10">
        <w:rPr>
          <w:rFonts w:cs="Calibri"/>
          <w:lang w:val="en-AU"/>
        </w:rPr>
        <w:t>-based alternative care for unaccompanied children an</w:t>
      </w:r>
      <w:r>
        <w:rPr>
          <w:rFonts w:cs="Calibri"/>
          <w:lang w:val="en-AU"/>
        </w:rPr>
        <w:t>d others in need; (2)</w:t>
      </w:r>
      <w:r w:rsidR="0080570D">
        <w:rPr>
          <w:rFonts w:cs="Calibri"/>
          <w:lang w:val="en-AU"/>
        </w:rPr>
        <w:t xml:space="preserve"> </w:t>
      </w:r>
      <w:r w:rsidR="0080570D" w:rsidRPr="0080570D">
        <w:rPr>
          <w:rFonts w:cs="Calibri"/>
          <w:lang w:val="en-AU"/>
        </w:rPr>
        <w:t>Coordinate the improvement of child protection systems (SOPs, IMS and inter-agency referral mechanisms especiall</w:t>
      </w:r>
      <w:r w:rsidR="0080570D">
        <w:rPr>
          <w:rFonts w:cs="Calibri"/>
          <w:lang w:val="en-AU"/>
        </w:rPr>
        <w:t xml:space="preserve">y from referrals from schools) (3) </w:t>
      </w:r>
      <w:r w:rsidRPr="00EF2A10">
        <w:rPr>
          <w:rFonts w:cs="Calibri"/>
          <w:lang w:val="en-AU"/>
        </w:rPr>
        <w:t xml:space="preserve">child sensitive protection interventions including registration, refugee status determination, </w:t>
      </w:r>
      <w:r>
        <w:rPr>
          <w:rFonts w:cs="Calibri"/>
          <w:lang w:val="en-AU"/>
        </w:rPr>
        <w:t xml:space="preserve">resettlement, vol-rep, </w:t>
      </w:r>
      <w:r w:rsidRPr="00EF2A10">
        <w:rPr>
          <w:rFonts w:cs="Calibri"/>
          <w:lang w:val="en-AU"/>
        </w:rPr>
        <w:t xml:space="preserve">interventions to prevent </w:t>
      </w:r>
      <w:r w:rsidRPr="00EF2A10">
        <w:rPr>
          <w:rFonts w:cs="Calibri"/>
          <w:i/>
          <w:lang w:val="en-AU"/>
        </w:rPr>
        <w:t>refoulement</w:t>
      </w:r>
      <w:r>
        <w:rPr>
          <w:rFonts w:cs="Calibri"/>
          <w:lang w:val="en-AU"/>
        </w:rPr>
        <w:t>;</w:t>
      </w:r>
      <w:r w:rsidRPr="00EF2A10">
        <w:rPr>
          <w:rFonts w:cs="Calibri"/>
          <w:lang w:val="en-AU"/>
        </w:rPr>
        <w:t xml:space="preserve"> </w:t>
      </w:r>
      <w:r w:rsidR="0080570D">
        <w:rPr>
          <w:rFonts w:cs="Calibri"/>
          <w:lang w:val="en-AU"/>
        </w:rPr>
        <w:t>(4</w:t>
      </w:r>
      <w:r w:rsidRPr="00EF2A10">
        <w:rPr>
          <w:rFonts w:cs="Calibri"/>
          <w:lang w:val="en-AU"/>
        </w:rPr>
        <w:t xml:space="preserve">) </w:t>
      </w:r>
      <w:r>
        <w:rPr>
          <w:rFonts w:cs="Calibri"/>
          <w:lang w:val="en-AU"/>
        </w:rPr>
        <w:t xml:space="preserve">mental and </w:t>
      </w:r>
      <w:r w:rsidRPr="00EF2A10">
        <w:rPr>
          <w:rFonts w:cs="Calibri"/>
          <w:lang w:val="en-AU"/>
        </w:rPr>
        <w:t>psychosocial services such as family, couple and individual counselling and anger management to prevent domestic violence</w:t>
      </w:r>
      <w:r w:rsidR="0080570D">
        <w:rPr>
          <w:rFonts w:cs="Calibri"/>
          <w:lang w:val="en-AU"/>
        </w:rPr>
        <w:t xml:space="preserve"> (5)</w:t>
      </w:r>
      <w:r w:rsidR="00DD23B1">
        <w:rPr>
          <w:rFonts w:cs="Calibri"/>
          <w:lang w:val="en-AU"/>
        </w:rPr>
        <w:t xml:space="preserve"> </w:t>
      </w:r>
      <w:r w:rsidR="00DD23B1" w:rsidRPr="00DD23B1">
        <w:rPr>
          <w:rFonts w:cs="Calibri"/>
          <w:lang w:val="en-AU"/>
        </w:rPr>
        <w:t>Coordinate the development and increase the availability of child-friendly spaces around the camp;</w:t>
      </w:r>
      <w:r w:rsidR="00A247EA">
        <w:rPr>
          <w:rFonts w:cs="Calibri"/>
          <w:lang w:val="en-AU"/>
        </w:rPr>
        <w:t xml:space="preserve"> </w:t>
      </w:r>
    </w:p>
    <w:p w14:paraId="457CBF0A" w14:textId="77777777" w:rsidR="00F2760D" w:rsidRPr="00971831" w:rsidRDefault="00F2760D" w:rsidP="00F2760D">
      <w:pPr>
        <w:spacing w:after="0" w:line="240" w:lineRule="auto"/>
        <w:contextualSpacing/>
        <w:jc w:val="both"/>
      </w:pPr>
      <w:r w:rsidRPr="00971831">
        <w:t>For specific child protection risks, UNHCR addresses each risk using a combination of specialized services, relevant national child protection systems, community-based protection and advocacy and knowledge generation as described below:</w:t>
      </w:r>
    </w:p>
    <w:p w14:paraId="5DB9AE9C" w14:textId="77777777" w:rsidR="00F2760D" w:rsidRPr="00EF2A10" w:rsidRDefault="00F2760D" w:rsidP="00F2760D">
      <w:pPr>
        <w:spacing w:line="240" w:lineRule="auto"/>
        <w:ind w:left="720"/>
        <w:contextualSpacing/>
        <w:jc w:val="both"/>
        <w:rPr>
          <w:rFonts w:cs="Calibri"/>
          <w:b/>
          <w:lang w:val="en-AU"/>
        </w:rPr>
      </w:pPr>
    </w:p>
    <w:p w14:paraId="376C778E" w14:textId="77777777" w:rsidR="00F2760D" w:rsidRPr="00EF2A10" w:rsidRDefault="00F2760D" w:rsidP="00F2760D">
      <w:pPr>
        <w:spacing w:line="240" w:lineRule="auto"/>
        <w:ind w:left="284"/>
        <w:contextualSpacing/>
        <w:jc w:val="both"/>
        <w:rPr>
          <w:rFonts w:cs="Calibri"/>
          <w:lang w:val="en-AU"/>
        </w:rPr>
      </w:pPr>
      <w:r w:rsidRPr="00EF2A10">
        <w:rPr>
          <w:rFonts w:cs="Calibri"/>
          <w:b/>
          <w:lang w:val="en-AU"/>
        </w:rPr>
        <w:t xml:space="preserve">Protecting children from child abuse. </w:t>
      </w:r>
      <w:r w:rsidRPr="00EF2A10">
        <w:rPr>
          <w:rFonts w:cs="Calibri"/>
          <w:lang w:val="en-AU"/>
        </w:rPr>
        <w:t xml:space="preserve">UNHCR works to protect and respond to abuse of children in the family and school through the following approaches: (1) strengthening the capacity of children and parents to prevent and respond to child abuse; (2) supporting community-based child protection mechanisms to change community attitudes to child abuse and identify and refer children experiencing abuse; (3) establishing inter-agency plans to strengthen policies, procedures and capacity of education staff to make schools safer and more supportive (see education strategy); and (4) providing child-sensitive case management, protection, health and legal services for victims of child abuse that addresses the specific risks faced by girls and boys, especially adolescents. </w:t>
      </w:r>
    </w:p>
    <w:p w14:paraId="5733571B" w14:textId="77777777" w:rsidR="00F2760D" w:rsidRDefault="00F2760D" w:rsidP="00F2760D">
      <w:pPr>
        <w:spacing w:line="240" w:lineRule="auto"/>
        <w:ind w:left="284"/>
        <w:contextualSpacing/>
        <w:jc w:val="both"/>
        <w:rPr>
          <w:rFonts w:cs="Calibri"/>
          <w:b/>
          <w:lang w:val="en-AU"/>
        </w:rPr>
      </w:pPr>
    </w:p>
    <w:p w14:paraId="67A17C73" w14:textId="159BE57E" w:rsidR="00F2760D" w:rsidRPr="00EF2A10" w:rsidRDefault="00F2760D" w:rsidP="00F2760D">
      <w:pPr>
        <w:spacing w:line="240" w:lineRule="auto"/>
        <w:ind w:left="284"/>
        <w:contextualSpacing/>
        <w:jc w:val="both"/>
        <w:rPr>
          <w:rFonts w:cs="Calibri"/>
          <w:lang w:val="en-AU"/>
        </w:rPr>
      </w:pPr>
      <w:r w:rsidRPr="00EF2A10">
        <w:rPr>
          <w:rFonts w:cs="Calibri"/>
          <w:b/>
          <w:lang w:val="en-AU"/>
        </w:rPr>
        <w:t>Promoting family unity and protecting unaccompanied and separated children.</w:t>
      </w:r>
      <w:r w:rsidRPr="00EF2A10">
        <w:rPr>
          <w:rFonts w:cs="Calibri"/>
          <w:lang w:val="en-AU"/>
        </w:rPr>
        <w:t xml:space="preserve"> UNHCR focuses on (1) preserving family unity at different stages of the displacement including avoiding separation of families at the border</w:t>
      </w:r>
      <w:r>
        <w:rPr>
          <w:rFonts w:cs="Calibri"/>
          <w:lang w:val="en-AU"/>
        </w:rPr>
        <w:t xml:space="preserve"> or reception </w:t>
      </w:r>
      <w:proofErr w:type="spellStart"/>
      <w:r>
        <w:rPr>
          <w:rFonts w:cs="Calibri"/>
          <w:lang w:val="en-AU"/>
        </w:rPr>
        <w:t>centers</w:t>
      </w:r>
      <w:proofErr w:type="spellEnd"/>
      <w:r w:rsidRPr="00EF2A10">
        <w:rPr>
          <w:rFonts w:cs="Calibri"/>
          <w:lang w:val="en-AU"/>
        </w:rPr>
        <w:t xml:space="preserve">, preventing </w:t>
      </w:r>
      <w:r w:rsidRPr="00EF2A10">
        <w:rPr>
          <w:rFonts w:cs="Calibri"/>
          <w:i/>
          <w:lang w:val="en-AU"/>
        </w:rPr>
        <w:t>refoulement</w:t>
      </w:r>
      <w:r w:rsidRPr="00EF2A10">
        <w:rPr>
          <w:rFonts w:cs="Calibri"/>
          <w:lang w:val="en-AU"/>
        </w:rPr>
        <w:t xml:space="preserve"> and supporting families to avoid secondary separation; (2) identifying unaccompanied or separated children </w:t>
      </w:r>
      <w:r w:rsidR="00E3437C">
        <w:rPr>
          <w:rFonts w:cs="Calibri"/>
          <w:lang w:val="en-AU"/>
        </w:rPr>
        <w:t xml:space="preserve">at the earliest stage possible </w:t>
      </w:r>
      <w:r w:rsidRPr="00EF2A10">
        <w:rPr>
          <w:rFonts w:cs="Calibri"/>
          <w:lang w:val="en-AU"/>
        </w:rPr>
        <w:t xml:space="preserve">and undertaking best interests procedures including family tracing and reunification </w:t>
      </w:r>
      <w:r w:rsidRPr="00EF2A10">
        <w:rPr>
          <w:rFonts w:cs="Calibri"/>
          <w:lang w:val="en-AU"/>
        </w:rPr>
        <w:lastRenderedPageBreak/>
        <w:t>wherever po</w:t>
      </w:r>
      <w:r w:rsidR="00A247EA">
        <w:rPr>
          <w:rFonts w:cs="Calibri"/>
          <w:lang w:val="en-AU"/>
        </w:rPr>
        <w:t>ssible; and (3) promoting community</w:t>
      </w:r>
      <w:r w:rsidRPr="00EF2A10">
        <w:rPr>
          <w:rFonts w:cs="Calibri"/>
          <w:lang w:val="en-AU"/>
        </w:rPr>
        <w:t xml:space="preserve">-based alternative care. Unaccompanied children should be prioritized for case management services, while separated children may be referred to community-based child protection mechanism for monitoring and follow-up if no other protection risks are identified. </w:t>
      </w:r>
    </w:p>
    <w:p w14:paraId="39303938" w14:textId="77777777" w:rsidR="00F2760D" w:rsidRDefault="00F2760D" w:rsidP="00F2760D">
      <w:pPr>
        <w:spacing w:after="0" w:line="240" w:lineRule="auto"/>
        <w:ind w:left="284"/>
        <w:contextualSpacing/>
        <w:jc w:val="both"/>
        <w:rPr>
          <w:b/>
          <w:bCs/>
        </w:rPr>
      </w:pPr>
    </w:p>
    <w:p w14:paraId="0A0FF356" w14:textId="10489ECC" w:rsidR="00F2760D" w:rsidRPr="00971831" w:rsidRDefault="00F2760D" w:rsidP="00F2760D">
      <w:pPr>
        <w:spacing w:after="0" w:line="240" w:lineRule="auto"/>
        <w:ind w:left="284"/>
        <w:contextualSpacing/>
        <w:jc w:val="both"/>
      </w:pPr>
      <w:r w:rsidRPr="00971831">
        <w:rPr>
          <w:b/>
          <w:bCs/>
        </w:rPr>
        <w:t>Preventing and responding to early marriage.</w:t>
      </w:r>
      <w:r>
        <w:rPr>
          <w:b/>
          <w:bCs/>
        </w:rPr>
        <w:t xml:space="preserve"> </w:t>
      </w:r>
      <w:r w:rsidRPr="00971831">
        <w:t xml:space="preserve">UNHCR’s </w:t>
      </w:r>
      <w:r>
        <w:t>approach</w:t>
      </w:r>
      <w:r w:rsidRPr="00971831">
        <w:t xml:space="preserve"> encompasses prevention, identification and response.</w:t>
      </w:r>
      <w:r>
        <w:t xml:space="preserve"> </w:t>
      </w:r>
      <w:r w:rsidRPr="00971831">
        <w:t xml:space="preserve"> Prev</w:t>
      </w:r>
      <w:r>
        <w:t>ention includes supporting the</w:t>
      </w:r>
      <w:r w:rsidRPr="00971831">
        <w:t xml:space="preserve"> empowerment </w:t>
      </w:r>
      <w:r>
        <w:t xml:space="preserve">of girls </w:t>
      </w:r>
      <w:r w:rsidRPr="00971831">
        <w:t>through their access to education and life skills programmes, reducing the socio-economic vulnerability of families, engaging communities, especially men and boys in programmes increasing awareness, and advocating for a stronger legal and policy framework discouraging early marriage. Identification</w:t>
      </w:r>
      <w:r>
        <w:t xml:space="preserve"> includes</w:t>
      </w:r>
      <w:r w:rsidRPr="00971831">
        <w:t xml:space="preserve"> identification of </w:t>
      </w:r>
      <w:r w:rsidR="0080570D">
        <w:t>the root cause of out of school which are at</w:t>
      </w:r>
      <w:r w:rsidRPr="00971831">
        <w:t xml:space="preserve"> risk</w:t>
      </w:r>
      <w:r w:rsidR="0080570D">
        <w:t xml:space="preserve"> of experiencing early marriage</w:t>
      </w:r>
      <w:r w:rsidRPr="00971831">
        <w:t>. Response involves the provision of multi-sectorial case management services to children, especially girls who are survivors of early marriage including those who experience domestic violence and other forms of SGBV.</w:t>
      </w:r>
      <w:r>
        <w:t xml:space="preserve">  These issues should be addressed in collaboration with relevant SGBV colleagues and programmes.  </w:t>
      </w:r>
    </w:p>
    <w:p w14:paraId="28CF53ED" w14:textId="77777777" w:rsidR="00F2760D" w:rsidRPr="00971831" w:rsidRDefault="00F2760D" w:rsidP="0080570D">
      <w:pPr>
        <w:spacing w:after="0" w:line="240" w:lineRule="auto"/>
        <w:contextualSpacing/>
        <w:jc w:val="both"/>
        <w:rPr>
          <w:b/>
          <w:bCs/>
        </w:rPr>
      </w:pPr>
    </w:p>
    <w:p w14:paraId="34D36FCF" w14:textId="5DA4C864" w:rsidR="00F2760D" w:rsidRPr="00971831" w:rsidRDefault="00F2760D" w:rsidP="00F2760D">
      <w:pPr>
        <w:spacing w:after="0" w:line="240" w:lineRule="auto"/>
        <w:ind w:left="284"/>
        <w:contextualSpacing/>
        <w:jc w:val="both"/>
      </w:pPr>
      <w:r w:rsidRPr="00971831">
        <w:rPr>
          <w:b/>
          <w:bCs/>
        </w:rPr>
        <w:t xml:space="preserve">Protecting children at risk of detention. </w:t>
      </w:r>
      <w:r w:rsidRPr="00971831">
        <w:t>UNHCR response includes: (1)</w:t>
      </w:r>
      <w:r w:rsidR="0080570D">
        <w:t xml:space="preserve"> </w:t>
      </w:r>
      <w:r w:rsidRPr="00971831">
        <w:t>advocating that refugee children who are in conflict with the law are treated in line with international juvenile justice standards including that they are detained for the shortest period possible</w:t>
      </w:r>
      <w:r w:rsidR="00AF1EE8">
        <w:t>, not in same cell with adults</w:t>
      </w:r>
      <w:r w:rsidRPr="00971831">
        <w:t xml:space="preserve"> and their best interest is a primary consideration and are protected from </w:t>
      </w:r>
      <w:r w:rsidRPr="00971831">
        <w:rPr>
          <w:i/>
        </w:rPr>
        <w:t>refoulement</w:t>
      </w:r>
      <w:r w:rsidR="0080570D">
        <w:t>; and (2</w:t>
      </w:r>
      <w:r w:rsidRPr="00971831">
        <w:t>) promoting alternatives to detention such as diversion that are sensitive to the specific needs of refugee children in particular, unaccompanied children.</w:t>
      </w:r>
      <w:r>
        <w:t xml:space="preserve"> </w:t>
      </w:r>
    </w:p>
    <w:p w14:paraId="2E752155" w14:textId="77777777" w:rsidR="00F2760D" w:rsidRPr="00971831" w:rsidRDefault="00F2760D" w:rsidP="00F2760D">
      <w:pPr>
        <w:spacing w:after="0" w:line="240" w:lineRule="auto"/>
        <w:ind w:left="284"/>
        <w:contextualSpacing/>
        <w:jc w:val="both"/>
      </w:pPr>
    </w:p>
    <w:p w14:paraId="5E8C7825" w14:textId="77777777" w:rsidR="00F2760D" w:rsidRPr="00971831" w:rsidRDefault="00F2760D" w:rsidP="00F2760D">
      <w:pPr>
        <w:pStyle w:val="ListParagraph"/>
        <w:spacing w:after="0" w:line="240" w:lineRule="auto"/>
        <w:ind w:left="284"/>
        <w:jc w:val="both"/>
      </w:pPr>
      <w:r w:rsidRPr="00971831">
        <w:rPr>
          <w:b/>
        </w:rPr>
        <w:t>Recruitment by armed groups and forces.</w:t>
      </w:r>
      <w:r>
        <w:rPr>
          <w:b/>
        </w:rPr>
        <w:t xml:space="preserve"> </w:t>
      </w:r>
      <w:r w:rsidRPr="00971831">
        <w:t>UNHCR’s actions include: (1) engaging with children, families and communities to promote alternatives to recruitment; (2) increasing formal, non-formal, vocational and tertiary education opportunities for adolescents; (3) monitoring returns to the country of origin with governments; (4) facilitating reunification of children with families; (5) supporting refugee children to access documentation including birth registration providing proof of their age;</w:t>
      </w:r>
      <w:r>
        <w:t xml:space="preserve"> </w:t>
      </w:r>
      <w:r w:rsidRPr="00971831">
        <w:t>and (6) advocating for child-sensitive procedures and specialized services for children who were associated with armed groups or forces.</w:t>
      </w:r>
    </w:p>
    <w:p w14:paraId="4DE9FB1B" w14:textId="77777777" w:rsidR="00F2760D" w:rsidRPr="00971831" w:rsidRDefault="00F2760D" w:rsidP="00F2760D">
      <w:pPr>
        <w:spacing w:after="0" w:line="240" w:lineRule="auto"/>
        <w:ind w:left="284"/>
        <w:contextualSpacing/>
        <w:jc w:val="both"/>
        <w:rPr>
          <w:b/>
          <w:bCs/>
        </w:rPr>
      </w:pPr>
    </w:p>
    <w:p w14:paraId="765F6ABB" w14:textId="792A4E01" w:rsidR="00DD23B1" w:rsidRDefault="00F2760D" w:rsidP="00F2760D">
      <w:pPr>
        <w:spacing w:line="240" w:lineRule="auto"/>
        <w:ind w:left="284"/>
        <w:contextualSpacing/>
        <w:jc w:val="both"/>
      </w:pPr>
      <w:r w:rsidRPr="00971831">
        <w:rPr>
          <w:b/>
          <w:bCs/>
        </w:rPr>
        <w:t xml:space="preserve">Protection from exploitation. </w:t>
      </w:r>
      <w:r w:rsidRPr="00971831">
        <w:t>UNHCR’s strategy is comprised of the following actions: (1) awareness-raising among communities on the risks of exploitation and how to access international protection and seek assistance; (2) establishing mechanisms to prevent and safely report sexual abuse and exploitation (PSEA); (3) advocacy for unhindered access to asylum, prevention of detention; (4) identification and referral of survivors of exploitation to appropriate specialized procedures and services including asylum procedures and legal and psychosocial services.</w:t>
      </w:r>
      <w:r>
        <w:t xml:space="preserve"> These issues should be addressed in collaboration with relevant SGBV colleagues and programmes. </w:t>
      </w:r>
    </w:p>
    <w:p w14:paraId="06D5E63A" w14:textId="77777777" w:rsidR="00DD23B1" w:rsidRDefault="00DD23B1" w:rsidP="00F2760D">
      <w:pPr>
        <w:spacing w:line="240" w:lineRule="auto"/>
        <w:ind w:left="284"/>
        <w:contextualSpacing/>
        <w:jc w:val="both"/>
      </w:pPr>
    </w:p>
    <w:p w14:paraId="19B53CBD" w14:textId="01EC25D6" w:rsidR="00A247EA" w:rsidRDefault="00DD23B1" w:rsidP="00B84B9E">
      <w:pPr>
        <w:spacing w:line="240" w:lineRule="auto"/>
        <w:ind w:left="284"/>
        <w:contextualSpacing/>
        <w:jc w:val="both"/>
      </w:pPr>
      <w:r w:rsidRPr="00A247EA">
        <w:rPr>
          <w:b/>
        </w:rPr>
        <w:t>Protection from survival sex</w:t>
      </w:r>
      <w:r w:rsidRPr="00A247EA">
        <w:t>.</w:t>
      </w:r>
      <w:r w:rsidR="00F2760D" w:rsidRPr="00A247EA">
        <w:t xml:space="preserve"> </w:t>
      </w:r>
      <w:r w:rsidRPr="00A247EA">
        <w:rPr>
          <w:rFonts w:eastAsia="Times New Roman" w:cs="Times New Roman"/>
          <w:szCs w:val="20"/>
          <w:lang w:eastAsia="en-GB"/>
        </w:rPr>
        <w:t xml:space="preserve">Based on the information on survival sex from the recent 2017 Participatory Assessment conducted in Kakuma refugee camp, </w:t>
      </w:r>
      <w:r w:rsidR="00A247EA" w:rsidRPr="00A247EA">
        <w:rPr>
          <w:rFonts w:eastAsia="Times New Roman" w:cs="Times New Roman"/>
          <w:szCs w:val="20"/>
          <w:lang w:eastAsia="en-GB"/>
        </w:rPr>
        <w:t xml:space="preserve">the main cause is reported to be the levels of poverty linked to the lack of basic needs and services, particularly the levels in food rations and </w:t>
      </w:r>
      <w:proofErr w:type="spellStart"/>
      <w:r w:rsidR="00A247EA" w:rsidRPr="00A247EA">
        <w:rPr>
          <w:rFonts w:eastAsia="Times New Roman" w:cs="Times New Roman"/>
          <w:szCs w:val="20"/>
          <w:lang w:eastAsia="en-GB"/>
        </w:rPr>
        <w:t>bamba</w:t>
      </w:r>
      <w:proofErr w:type="spellEnd"/>
      <w:r w:rsidR="00A247EA" w:rsidRPr="00A247EA">
        <w:rPr>
          <w:rFonts w:eastAsia="Times New Roman" w:cs="Times New Roman"/>
          <w:szCs w:val="20"/>
          <w:lang w:eastAsia="en-GB"/>
        </w:rPr>
        <w:t xml:space="preserve"> </w:t>
      </w:r>
      <w:proofErr w:type="spellStart"/>
      <w:r w:rsidR="00A247EA" w:rsidRPr="00A247EA">
        <w:rPr>
          <w:rFonts w:eastAsia="Times New Roman" w:cs="Times New Roman"/>
          <w:szCs w:val="20"/>
          <w:lang w:eastAsia="en-GB"/>
        </w:rPr>
        <w:t>chakula</w:t>
      </w:r>
      <w:proofErr w:type="spellEnd"/>
      <w:r w:rsidR="00A247EA" w:rsidRPr="00A247EA">
        <w:rPr>
          <w:rFonts w:eastAsia="Times New Roman" w:cs="Times New Roman"/>
          <w:szCs w:val="20"/>
          <w:lang w:eastAsia="en-GB"/>
        </w:rPr>
        <w:t xml:space="preserve">, and lack of other employment opportunities. Teenage girls are reported to mainly be interested in “luxury” goods (lotions, soaps, earrings). UNHCR strategy included (1) strengthen the SGBV referral pathways through Inter-Agency Task Force (2) </w:t>
      </w:r>
      <w:r w:rsidR="00A247EA" w:rsidRPr="00A247EA">
        <w:rPr>
          <w:rFonts w:eastAsia="Times New Roman" w:cs="Times New Roman"/>
          <w:szCs w:val="20"/>
          <w:lang w:val="en-US" w:eastAsia="en-GB"/>
        </w:rPr>
        <w:t>Community-based awareness activities need to be undertaken to engage men in prevention of SGBV (3) advocacy for the active involvement of camp management and authorities for the preven</w:t>
      </w:r>
      <w:r w:rsidR="00A247EA">
        <w:rPr>
          <w:rFonts w:eastAsia="Times New Roman" w:cs="Times New Roman"/>
          <w:szCs w:val="20"/>
          <w:lang w:val="en-US" w:eastAsia="en-GB"/>
        </w:rPr>
        <w:t>tion activities.</w:t>
      </w:r>
      <w:r w:rsidR="00A247EA" w:rsidRPr="00A247EA">
        <w:t xml:space="preserve"> </w:t>
      </w:r>
      <w:r w:rsidR="00B84B9E">
        <w:t>(4) Supporting the</w:t>
      </w:r>
      <w:r w:rsidR="00B84B9E" w:rsidRPr="00971831">
        <w:t xml:space="preserve"> empowerment </w:t>
      </w:r>
      <w:r w:rsidR="00B84B9E">
        <w:t xml:space="preserve">of girls </w:t>
      </w:r>
      <w:r w:rsidR="00B84B9E" w:rsidRPr="00971831">
        <w:t xml:space="preserve">through their access to education and life </w:t>
      </w:r>
      <w:r w:rsidR="00B84B9E">
        <w:t xml:space="preserve">skills programmes. </w:t>
      </w:r>
      <w:r w:rsidR="00A247EA">
        <w:t xml:space="preserve">These issues should be addressed in collaboration with relevant SGBV colleagues and programmes. </w:t>
      </w:r>
    </w:p>
    <w:p w14:paraId="5B742475" w14:textId="77777777" w:rsidR="00B84B9E" w:rsidRPr="00B84B9E" w:rsidRDefault="00B84B9E" w:rsidP="00B84B9E">
      <w:pPr>
        <w:spacing w:line="240" w:lineRule="auto"/>
        <w:ind w:left="284"/>
        <w:contextualSpacing/>
        <w:jc w:val="both"/>
      </w:pPr>
    </w:p>
    <w:p w14:paraId="73773F70" w14:textId="6128889E" w:rsidR="00DD23B1" w:rsidRPr="00B84B9E" w:rsidRDefault="00AF1EE8" w:rsidP="00B84B9E">
      <w:pPr>
        <w:ind w:left="284"/>
        <w:jc w:val="both"/>
        <w:rPr>
          <w:rFonts w:eastAsia="Times New Roman" w:cs="Times New Roman"/>
          <w:szCs w:val="20"/>
          <w:lang w:val="en-US" w:eastAsia="en-GB"/>
        </w:rPr>
      </w:pPr>
      <w:r w:rsidRPr="00AF1EE8">
        <w:rPr>
          <w:b/>
        </w:rPr>
        <w:lastRenderedPageBreak/>
        <w:t>Civil</w:t>
      </w:r>
      <w:r>
        <w:rPr>
          <w:b/>
        </w:rPr>
        <w:t xml:space="preserve"> Documentation and Registration</w:t>
      </w:r>
      <w:r w:rsidR="00F2760D" w:rsidRPr="00EF2A10">
        <w:rPr>
          <w:rFonts w:cs="Calibri"/>
          <w:b/>
        </w:rPr>
        <w:t xml:space="preserve">. </w:t>
      </w:r>
      <w:r w:rsidR="00F2760D" w:rsidRPr="00EF2A10">
        <w:rPr>
          <w:rFonts w:cs="Calibri"/>
        </w:rPr>
        <w:t xml:space="preserve">UNHCR strategy includes: </w:t>
      </w:r>
      <w:r w:rsidR="00F2760D" w:rsidRPr="00971831">
        <w:t xml:space="preserve">1) </w:t>
      </w:r>
      <w:r w:rsidR="00F2760D">
        <w:rPr>
          <w:lang w:eastAsia="en-GB"/>
        </w:rPr>
        <w:t>a</w:t>
      </w:r>
      <w:r w:rsidR="00F2760D" w:rsidRPr="00971831">
        <w:rPr>
          <w:lang w:eastAsia="en-GB"/>
        </w:rPr>
        <w:t xml:space="preserve">dvocacy with the authorities to remove procedural barriers to birth and marriage registration, and to promote equal access by refugees to civil registration; and </w:t>
      </w:r>
      <w:r w:rsidR="00F2760D">
        <w:rPr>
          <w:lang w:val="en-AU"/>
        </w:rPr>
        <w:t>(2) a</w:t>
      </w:r>
      <w:r w:rsidR="00F2760D" w:rsidRPr="00971831">
        <w:rPr>
          <w:lang w:val="en-AU"/>
        </w:rPr>
        <w:t xml:space="preserve">ctivities to raise awareness of the importance of birth and marriage registration and the relevant procedures, and counselling on these procedures including legal aid as required. </w:t>
      </w:r>
    </w:p>
    <w:p w14:paraId="360F0C2C" w14:textId="7306D2DC" w:rsidR="00525982" w:rsidRDefault="00BB0502" w:rsidP="007A3EF1">
      <w:pPr>
        <w:spacing w:after="0" w:line="240" w:lineRule="auto"/>
        <w:jc w:val="both"/>
        <w:rPr>
          <w:b/>
          <w:lang w:val="en-US"/>
        </w:rPr>
      </w:pPr>
      <w:r>
        <w:rPr>
          <w:b/>
          <w:lang w:val="en-US"/>
        </w:rPr>
        <w:t xml:space="preserve">Objective 2: Number </w:t>
      </w:r>
      <w:r w:rsidR="0056466D">
        <w:rPr>
          <w:b/>
          <w:lang w:val="en-US"/>
        </w:rPr>
        <w:t>of</w:t>
      </w:r>
      <w:r w:rsidR="00525982">
        <w:rPr>
          <w:b/>
          <w:lang w:val="en-US"/>
        </w:rPr>
        <w:t xml:space="preserve"> children who are actively participating in their own protection increases</w:t>
      </w:r>
    </w:p>
    <w:p w14:paraId="00C3C608" w14:textId="77777777" w:rsidR="00BB0502" w:rsidRDefault="00BB0502" w:rsidP="007A3EF1">
      <w:pPr>
        <w:spacing w:after="0" w:line="240" w:lineRule="auto"/>
        <w:jc w:val="both"/>
        <w:rPr>
          <w:b/>
          <w:lang w:val="en-US"/>
        </w:rPr>
      </w:pPr>
    </w:p>
    <w:p w14:paraId="62E19D6A" w14:textId="57A283BC" w:rsidR="00BB0502" w:rsidRDefault="005B528B" w:rsidP="007A3EF1">
      <w:pPr>
        <w:spacing w:after="0" w:line="240" w:lineRule="auto"/>
        <w:jc w:val="both"/>
        <w:rPr>
          <w:lang w:val="en-US"/>
        </w:rPr>
      </w:pPr>
      <w:r>
        <w:rPr>
          <w:lang w:val="en-US"/>
        </w:rPr>
        <w:t>Children are willing and keen on actively participating in the</w:t>
      </w:r>
      <w:r w:rsidR="00AF1EE8">
        <w:rPr>
          <w:lang w:val="en-US"/>
        </w:rPr>
        <w:t>ir</w:t>
      </w:r>
      <w:r>
        <w:rPr>
          <w:lang w:val="en-US"/>
        </w:rPr>
        <w:t xml:space="preserve"> own protection however too often they are not engaged by involved agencies. As a large number of incidences of harm against children remain unreported, UNHCR recognizes the importance of engaging children through recreational and educational activities and other community structures to ensure early interventions. </w:t>
      </w:r>
    </w:p>
    <w:p w14:paraId="0FECF418" w14:textId="77777777" w:rsidR="00BB0502" w:rsidRDefault="00BB0502" w:rsidP="007A3EF1">
      <w:pPr>
        <w:spacing w:after="0" w:line="240" w:lineRule="auto"/>
        <w:jc w:val="both"/>
        <w:rPr>
          <w:lang w:val="en-US"/>
        </w:rPr>
      </w:pPr>
    </w:p>
    <w:p w14:paraId="3B0EE519" w14:textId="02341A3B" w:rsidR="007A3EF1" w:rsidRDefault="00742DFC" w:rsidP="007A3EF1">
      <w:pPr>
        <w:spacing w:after="0" w:line="240" w:lineRule="auto"/>
        <w:jc w:val="both"/>
        <w:rPr>
          <w:lang w:val="en-US"/>
        </w:rPr>
      </w:pPr>
      <w:r>
        <w:rPr>
          <w:lang w:val="en-US"/>
        </w:rPr>
        <w:t>The activities that UNHCR and partners undertake may include</w:t>
      </w:r>
      <w:r w:rsidR="005B528B">
        <w:rPr>
          <w:lang w:val="en-US"/>
        </w:rPr>
        <w:t xml:space="preserve">: </w:t>
      </w:r>
    </w:p>
    <w:p w14:paraId="28C7CFBB" w14:textId="77777777" w:rsidR="00742DFC" w:rsidRPr="00525982" w:rsidRDefault="00742DFC" w:rsidP="007A3EF1">
      <w:pPr>
        <w:spacing w:after="0" w:line="240" w:lineRule="auto"/>
        <w:jc w:val="both"/>
        <w:rPr>
          <w:lang w:val="en-US"/>
        </w:rPr>
      </w:pPr>
    </w:p>
    <w:p w14:paraId="1F6151F8" w14:textId="66013F62" w:rsidR="007A3EF1" w:rsidRPr="00525982" w:rsidRDefault="007A3EF1" w:rsidP="007A3EF1">
      <w:pPr>
        <w:pStyle w:val="ListParagraph"/>
        <w:numPr>
          <w:ilvl w:val="0"/>
          <w:numId w:val="30"/>
        </w:numPr>
        <w:spacing w:after="0" w:line="240" w:lineRule="auto"/>
        <w:jc w:val="both"/>
      </w:pPr>
      <w:r w:rsidRPr="00525982">
        <w:t xml:space="preserve">Support child-led protection initiatives and </w:t>
      </w:r>
      <w:r w:rsidR="00BB0502">
        <w:t xml:space="preserve">wider </w:t>
      </w:r>
      <w:r w:rsidRPr="00525982">
        <w:t>networks</w:t>
      </w:r>
      <w:r w:rsidR="00560252" w:rsidRPr="00525982">
        <w:t>, including child protection focal points in schools</w:t>
      </w:r>
      <w:r w:rsidR="00742DFC">
        <w:t>. S</w:t>
      </w:r>
      <w:proofErr w:type="spellStart"/>
      <w:r w:rsidR="00BB0502">
        <w:rPr>
          <w:lang w:val="en-US"/>
        </w:rPr>
        <w:t>ome</w:t>
      </w:r>
      <w:proofErr w:type="spellEnd"/>
      <w:r w:rsidR="00BB0502">
        <w:rPr>
          <w:lang w:val="en-US"/>
        </w:rPr>
        <w:t xml:space="preserve"> activities to make schools safer for all, such as “buddy systems” to ensure girls’ </w:t>
      </w:r>
      <w:r w:rsidR="00AF1EE8">
        <w:rPr>
          <w:lang w:val="en-US"/>
        </w:rPr>
        <w:t xml:space="preserve">and boys’ </w:t>
      </w:r>
      <w:r w:rsidR="00BB0502">
        <w:rPr>
          <w:lang w:val="en-US"/>
        </w:rPr>
        <w:t>safe movement to and from schools, child protection guidelines, referral mechanisms should be explored and/or strengthened;</w:t>
      </w:r>
    </w:p>
    <w:p w14:paraId="50A4F94B" w14:textId="60FB897A" w:rsidR="007A3EF1" w:rsidRPr="00525982" w:rsidRDefault="007A3EF1" w:rsidP="007A3EF1">
      <w:pPr>
        <w:pStyle w:val="ListParagraph"/>
        <w:numPr>
          <w:ilvl w:val="0"/>
          <w:numId w:val="30"/>
        </w:numPr>
        <w:spacing w:after="0" w:line="240" w:lineRule="auto"/>
        <w:jc w:val="both"/>
      </w:pPr>
      <w:r w:rsidRPr="00525982">
        <w:t>Increase the participation of children in all stages</w:t>
      </w:r>
      <w:r w:rsidR="009A2E53">
        <w:t xml:space="preserve"> particularly in schools</w:t>
      </w:r>
      <w:r w:rsidR="00BB0502">
        <w:t xml:space="preserve"> through student councils, child rights clubs, identifying student champions and</w:t>
      </w:r>
      <w:r w:rsidR="00BB0502" w:rsidRPr="00BB0502">
        <w:t xml:space="preserve"> </w:t>
      </w:r>
      <w:r w:rsidR="00BB0502">
        <w:t>using sports, drama and music as ways children can express themselves;</w:t>
      </w:r>
    </w:p>
    <w:p w14:paraId="3D41D6CD" w14:textId="3C6DE469" w:rsidR="007B1BA5" w:rsidRDefault="005B528B" w:rsidP="00525982">
      <w:pPr>
        <w:pStyle w:val="ListParagraph"/>
        <w:numPr>
          <w:ilvl w:val="0"/>
          <w:numId w:val="30"/>
        </w:numPr>
        <w:spacing w:after="0" w:line="240" w:lineRule="auto"/>
        <w:jc w:val="both"/>
      </w:pPr>
      <w:r>
        <w:t>Raise awareness of children through advocacy strategies which will be aimed at reducing harmful practices such as FGM and substance abuse</w:t>
      </w:r>
      <w:r w:rsidR="00BB0502">
        <w:t>.</w:t>
      </w:r>
    </w:p>
    <w:p w14:paraId="2FB739A4" w14:textId="77777777" w:rsidR="00FD5663" w:rsidRDefault="00FD5663" w:rsidP="00FD5663">
      <w:pPr>
        <w:spacing w:after="0" w:line="240" w:lineRule="auto"/>
        <w:jc w:val="both"/>
      </w:pPr>
    </w:p>
    <w:p w14:paraId="214A72F0" w14:textId="282CA94B" w:rsidR="0080570D" w:rsidRDefault="0080570D" w:rsidP="0080570D">
      <w:pPr>
        <w:pStyle w:val="ListParagraph"/>
        <w:spacing w:line="240" w:lineRule="auto"/>
        <w:ind w:left="0"/>
        <w:jc w:val="both"/>
        <w:rPr>
          <w:rFonts w:cs="Calibri"/>
          <w:b/>
          <w:lang w:val="en-AU"/>
        </w:rPr>
      </w:pPr>
      <w:r w:rsidRPr="00EF2A10">
        <w:rPr>
          <w:rFonts w:cs="Calibri"/>
          <w:b/>
          <w:lang w:val="en-AU"/>
        </w:rPr>
        <w:t>Ob</w:t>
      </w:r>
      <w:r w:rsidR="00DD23B1">
        <w:rPr>
          <w:rFonts w:cs="Calibri"/>
          <w:b/>
          <w:lang w:val="en-AU"/>
        </w:rPr>
        <w:t>jective 3</w:t>
      </w:r>
      <w:r w:rsidRPr="00EF2A10">
        <w:rPr>
          <w:rFonts w:cs="Calibri"/>
          <w:b/>
          <w:lang w:val="en-AU"/>
        </w:rPr>
        <w:t xml:space="preserve">: More refugee children benefit from quality national child protection systems </w:t>
      </w:r>
    </w:p>
    <w:p w14:paraId="54676D40" w14:textId="77777777" w:rsidR="00DD23B1" w:rsidRPr="00EF2A10" w:rsidRDefault="00DD23B1" w:rsidP="0080570D">
      <w:pPr>
        <w:pStyle w:val="ListParagraph"/>
        <w:spacing w:line="240" w:lineRule="auto"/>
        <w:ind w:left="0"/>
        <w:jc w:val="both"/>
        <w:rPr>
          <w:rFonts w:cs="Calibri"/>
          <w:b/>
          <w:lang w:val="en-AU"/>
        </w:rPr>
      </w:pPr>
    </w:p>
    <w:p w14:paraId="402824D9" w14:textId="770C4471" w:rsidR="0080570D" w:rsidRPr="00EF2A10" w:rsidRDefault="0080570D" w:rsidP="0080570D">
      <w:pPr>
        <w:pStyle w:val="ListParagraph"/>
        <w:spacing w:line="240" w:lineRule="auto"/>
        <w:ind w:left="0"/>
        <w:jc w:val="both"/>
        <w:rPr>
          <w:rFonts w:cs="Calibri"/>
          <w:lang w:val="en-AU"/>
        </w:rPr>
      </w:pPr>
      <w:r w:rsidRPr="00EF2A10">
        <w:rPr>
          <w:rFonts w:cs="Calibri"/>
          <w:lang w:val="en-AU"/>
        </w:rPr>
        <w:t>In order to provide more sustainable protection for refugee children, UNHCR will increase the investment in national child protection systems provided by the State and national civil society partners, based on country level analysis of the availability of these systems, access of refugee children to these systems and their acceptability, affordability and quality</w:t>
      </w:r>
      <w:r w:rsidRPr="00EF2A10">
        <w:rPr>
          <w:rFonts w:cs="Calibri"/>
          <w:bCs/>
          <w:lang w:val="en-AU"/>
        </w:rPr>
        <w:t xml:space="preserve">. This includes </w:t>
      </w:r>
      <w:r w:rsidRPr="00EF2A10">
        <w:rPr>
          <w:rFonts w:cs="Calibri"/>
          <w:lang w:val="en-AU"/>
        </w:rPr>
        <w:t>child-sensitive polic</w:t>
      </w:r>
      <w:r w:rsidR="004A2D98">
        <w:rPr>
          <w:rFonts w:cs="Calibri"/>
          <w:lang w:val="en-AU"/>
        </w:rPr>
        <w:t xml:space="preserve">y </w:t>
      </w:r>
      <w:r w:rsidRPr="00EF2A10">
        <w:rPr>
          <w:rFonts w:cs="Calibri"/>
          <w:lang w:val="en-AU"/>
        </w:rPr>
        <w:t xml:space="preserve">and legal procedures for custody, legal guardianship and child victims of violence, child-sensitive social welfare services such as shelters for child survivors of violence, national health services for child survivors of violence, birth registration services, and safe and supportive education. </w:t>
      </w:r>
    </w:p>
    <w:p w14:paraId="6819A884" w14:textId="77777777" w:rsidR="004A2D98" w:rsidRDefault="0080570D" w:rsidP="004A2D98">
      <w:pPr>
        <w:spacing w:after="0" w:line="240" w:lineRule="auto"/>
        <w:contextualSpacing/>
        <w:jc w:val="both"/>
        <w:rPr>
          <w:rFonts w:cs="Calibri"/>
          <w:lang w:val="en-AU"/>
        </w:rPr>
      </w:pPr>
      <w:r w:rsidRPr="00EF2A10">
        <w:rPr>
          <w:rFonts w:cs="Calibri"/>
          <w:lang w:val="en-AU"/>
        </w:rPr>
        <w:t>UNHCR:</w:t>
      </w:r>
    </w:p>
    <w:p w14:paraId="6459C064" w14:textId="6A8A1B32" w:rsidR="004A2D98" w:rsidRPr="004A2D98" w:rsidRDefault="001735A0" w:rsidP="004A2D98">
      <w:pPr>
        <w:pStyle w:val="ListParagraph"/>
        <w:numPr>
          <w:ilvl w:val="0"/>
          <w:numId w:val="36"/>
        </w:numPr>
        <w:spacing w:after="0" w:line="240" w:lineRule="auto"/>
        <w:jc w:val="both"/>
        <w:rPr>
          <w:rFonts w:cs="Calibri"/>
          <w:lang w:val="en-AU"/>
        </w:rPr>
      </w:pPr>
      <w:r w:rsidRPr="004A2D98">
        <w:rPr>
          <w:rFonts w:cs="Calibri"/>
          <w:b/>
          <w:lang w:val="en-AU"/>
        </w:rPr>
        <w:t>Advocates</w:t>
      </w:r>
      <w:r w:rsidR="0080570D" w:rsidRPr="004A2D98">
        <w:rPr>
          <w:rFonts w:cs="Calibri"/>
          <w:lang w:val="en-AU"/>
        </w:rPr>
        <w:t xml:space="preserve"> with authorities </w:t>
      </w:r>
      <w:r w:rsidR="004A2D98">
        <w:rPr>
          <w:rFonts w:cs="Calibri"/>
          <w:lang w:val="en-AU"/>
        </w:rPr>
        <w:t xml:space="preserve">like </w:t>
      </w:r>
      <w:r w:rsidR="004A2D98">
        <w:t xml:space="preserve">Ministry of Education and Ministry of Public Service, Youth and Gender, Ministry of Labour (Home Affairs). </w:t>
      </w:r>
    </w:p>
    <w:p w14:paraId="14CDA0BD" w14:textId="0166A0C4" w:rsidR="0080570D" w:rsidRPr="00EF2A10" w:rsidRDefault="0080570D" w:rsidP="0080570D">
      <w:pPr>
        <w:pStyle w:val="ListParagraph"/>
        <w:numPr>
          <w:ilvl w:val="0"/>
          <w:numId w:val="35"/>
        </w:numPr>
        <w:spacing w:after="200" w:line="240" w:lineRule="auto"/>
        <w:jc w:val="both"/>
        <w:rPr>
          <w:rFonts w:cs="Calibri"/>
          <w:lang w:val="en-AU"/>
        </w:rPr>
      </w:pPr>
      <w:r w:rsidRPr="00EF2A10">
        <w:rPr>
          <w:rFonts w:cs="Calibri"/>
          <w:lang w:val="en-AU"/>
        </w:rPr>
        <w:t xml:space="preserve">to increase the non-discriminatory access of refugee children to national child protection systems and remove barriers for refugee children to access these services </w:t>
      </w:r>
      <w:r w:rsidR="004A2D98">
        <w:rPr>
          <w:rFonts w:cs="Calibri"/>
          <w:lang w:val="en-AU"/>
        </w:rPr>
        <w:t>including through</w:t>
      </w:r>
      <w:r w:rsidRPr="00EF2A10">
        <w:rPr>
          <w:rFonts w:cs="Calibri"/>
          <w:lang w:val="en-AU"/>
        </w:rPr>
        <w:t xml:space="preserve"> policy, procedures and practices</w:t>
      </w:r>
    </w:p>
    <w:p w14:paraId="2F9C1EB8" w14:textId="77777777" w:rsidR="0080570D" w:rsidRPr="00EF2A10" w:rsidRDefault="0080570D" w:rsidP="0080570D">
      <w:pPr>
        <w:pStyle w:val="ListParagraph"/>
        <w:numPr>
          <w:ilvl w:val="0"/>
          <w:numId w:val="35"/>
        </w:numPr>
        <w:spacing w:after="200" w:line="240" w:lineRule="auto"/>
        <w:jc w:val="both"/>
        <w:rPr>
          <w:rFonts w:cs="Calibri"/>
          <w:lang w:val="en-AU"/>
        </w:rPr>
      </w:pPr>
      <w:r w:rsidRPr="00EF2A10">
        <w:rPr>
          <w:rFonts w:cs="Calibri"/>
          <w:lang w:val="en-AU"/>
        </w:rPr>
        <w:t xml:space="preserve">provides </w:t>
      </w:r>
      <w:r w:rsidRPr="00EF2A10">
        <w:rPr>
          <w:rFonts w:cs="Calibri"/>
          <w:b/>
          <w:lang w:val="en-AU"/>
        </w:rPr>
        <w:t>financial support</w:t>
      </w:r>
      <w:r w:rsidRPr="00EF2A10">
        <w:rPr>
          <w:rFonts w:cs="Calibri"/>
          <w:lang w:val="en-AU"/>
        </w:rPr>
        <w:t xml:space="preserve"> to expand the capacity of governmental and national civil society child protection services to respond to the increased number of refugee children in specific regions in their territories </w:t>
      </w:r>
    </w:p>
    <w:p w14:paraId="0E982FB8" w14:textId="77777777" w:rsidR="00DD23B1" w:rsidRDefault="0080570D" w:rsidP="00DD23B1">
      <w:pPr>
        <w:pStyle w:val="ListParagraph"/>
        <w:numPr>
          <w:ilvl w:val="0"/>
          <w:numId w:val="35"/>
        </w:numPr>
        <w:spacing w:after="200" w:line="240" w:lineRule="auto"/>
        <w:jc w:val="both"/>
        <w:rPr>
          <w:rFonts w:cs="Calibri"/>
          <w:lang w:val="en-AU"/>
        </w:rPr>
      </w:pPr>
      <w:r w:rsidRPr="00EF2A10">
        <w:rPr>
          <w:rFonts w:cs="Calibri"/>
          <w:lang w:val="en-AU"/>
        </w:rPr>
        <w:t xml:space="preserve">provides </w:t>
      </w:r>
      <w:r w:rsidRPr="00EF2A10">
        <w:rPr>
          <w:rFonts w:cs="Calibri"/>
          <w:b/>
          <w:lang w:val="en-AU"/>
        </w:rPr>
        <w:t>technical support</w:t>
      </w:r>
      <w:r w:rsidRPr="00EF2A10">
        <w:rPr>
          <w:rFonts w:cs="Calibri"/>
          <w:lang w:val="en-AU"/>
        </w:rPr>
        <w:t xml:space="preserve"> to improve the quality of these systems in line with international standards and ensure that they are able to respond appropriately to the age and gender specific risks faced by refugee children including through training and tool development</w:t>
      </w:r>
    </w:p>
    <w:p w14:paraId="7798844F" w14:textId="7F6B5AE4" w:rsidR="00DD23B1" w:rsidRPr="00DD23B1" w:rsidRDefault="0080570D" w:rsidP="00DD23B1">
      <w:pPr>
        <w:pStyle w:val="ListParagraph"/>
        <w:numPr>
          <w:ilvl w:val="0"/>
          <w:numId w:val="35"/>
        </w:numPr>
        <w:spacing w:after="200" w:line="240" w:lineRule="auto"/>
        <w:jc w:val="both"/>
        <w:rPr>
          <w:rFonts w:cs="Calibri"/>
          <w:lang w:val="en-AU"/>
        </w:rPr>
      </w:pPr>
      <w:r w:rsidRPr="00DD23B1">
        <w:rPr>
          <w:rFonts w:cs="Calibri"/>
          <w:b/>
          <w:lang w:val="en-AU"/>
        </w:rPr>
        <w:t>works in collaboration</w:t>
      </w:r>
      <w:r w:rsidRPr="00DD23B1">
        <w:rPr>
          <w:rFonts w:cs="Calibri"/>
          <w:lang w:val="en-AU"/>
        </w:rPr>
        <w:t xml:space="preserve"> with other key partners supporting national child protection systems, services and reforms to ensure that these ef</w:t>
      </w:r>
      <w:r w:rsidR="00DD23B1" w:rsidRPr="00DD23B1">
        <w:rPr>
          <w:rFonts w:cs="Calibri"/>
          <w:lang w:val="en-AU"/>
        </w:rPr>
        <w:t>forts benefit refugee children</w:t>
      </w:r>
      <w:r w:rsidR="00DD23B1" w:rsidRPr="00DD23B1">
        <w:t xml:space="preserve"> </w:t>
      </w:r>
    </w:p>
    <w:p w14:paraId="7D78622D" w14:textId="698DBE9B" w:rsidR="0080570D" w:rsidRPr="00DD23B1" w:rsidRDefault="00DD23B1" w:rsidP="00DD23B1">
      <w:pPr>
        <w:pStyle w:val="ListParagraph"/>
        <w:numPr>
          <w:ilvl w:val="0"/>
          <w:numId w:val="31"/>
        </w:numPr>
        <w:spacing w:after="0" w:line="240" w:lineRule="auto"/>
        <w:jc w:val="both"/>
      </w:pPr>
      <w:r w:rsidRPr="00DD23B1">
        <w:rPr>
          <w:b/>
        </w:rPr>
        <w:t>Advocates</w:t>
      </w:r>
      <w:r w:rsidRPr="00525982">
        <w:t xml:space="preserve"> for access to specialised national children’s services</w:t>
      </w:r>
      <w:r>
        <w:t xml:space="preserve"> especially like for children with specific </w:t>
      </w:r>
      <w:proofErr w:type="gramStart"/>
      <w:r>
        <w:t>impairments’</w:t>
      </w:r>
      <w:proofErr w:type="gramEnd"/>
      <w:r>
        <w:t>.</w:t>
      </w:r>
      <w:r w:rsidR="0080570D" w:rsidRPr="00DD23B1">
        <w:rPr>
          <w:rFonts w:cs="Calibri"/>
          <w:lang w:val="en-AU"/>
        </w:rPr>
        <w:t xml:space="preserve"> </w:t>
      </w:r>
    </w:p>
    <w:p w14:paraId="5FF92C4B" w14:textId="77777777" w:rsidR="00525982" w:rsidRPr="00525982" w:rsidRDefault="00525982" w:rsidP="0080570D">
      <w:pPr>
        <w:spacing w:after="0" w:line="240" w:lineRule="auto"/>
        <w:jc w:val="both"/>
      </w:pPr>
    </w:p>
    <w:p w14:paraId="1FE37701" w14:textId="39A551CC" w:rsidR="00FD5663" w:rsidRDefault="00AF2043" w:rsidP="00FD5663">
      <w:pPr>
        <w:spacing w:after="0" w:line="240" w:lineRule="auto"/>
        <w:contextualSpacing/>
        <w:jc w:val="both"/>
        <w:rPr>
          <w:b/>
          <w:lang w:val="en-US"/>
        </w:rPr>
      </w:pPr>
      <w:r>
        <w:rPr>
          <w:b/>
          <w:lang w:val="en-US"/>
        </w:rPr>
        <w:t>O</w:t>
      </w:r>
      <w:r w:rsidR="00DD23B1">
        <w:rPr>
          <w:b/>
          <w:lang w:val="en-US"/>
        </w:rPr>
        <w:t>bjective 4</w:t>
      </w:r>
      <w:r>
        <w:rPr>
          <w:b/>
          <w:lang w:val="en-US"/>
        </w:rPr>
        <w:t xml:space="preserve">: </w:t>
      </w:r>
      <w:r w:rsidR="0024013B">
        <w:rPr>
          <w:b/>
          <w:lang w:val="en-US"/>
        </w:rPr>
        <w:t>Improved data and information management inform responses</w:t>
      </w:r>
    </w:p>
    <w:p w14:paraId="2446E473" w14:textId="77777777" w:rsidR="0024013B" w:rsidRPr="00EF2A10" w:rsidRDefault="0024013B" w:rsidP="00FD5663">
      <w:pPr>
        <w:spacing w:after="0" w:line="240" w:lineRule="auto"/>
        <w:contextualSpacing/>
        <w:jc w:val="both"/>
        <w:rPr>
          <w:rFonts w:cs="Calibri"/>
          <w:b/>
          <w:lang w:val="en-AU"/>
        </w:rPr>
      </w:pPr>
    </w:p>
    <w:p w14:paraId="58DE3737" w14:textId="064BEF8C" w:rsidR="00525982" w:rsidRPr="00310D14" w:rsidRDefault="0056466D" w:rsidP="00310D14">
      <w:pPr>
        <w:spacing w:after="0"/>
        <w:jc w:val="both"/>
        <w:rPr>
          <w:lang w:val="en-US"/>
        </w:rPr>
      </w:pPr>
      <w:r>
        <w:rPr>
          <w:lang w:val="en-US"/>
        </w:rPr>
        <w:t xml:space="preserve">UNHCR </w:t>
      </w:r>
      <w:r w:rsidR="00310D14">
        <w:rPr>
          <w:lang w:val="en-US"/>
        </w:rPr>
        <w:t xml:space="preserve">will </w:t>
      </w:r>
      <w:r w:rsidR="00FD5663" w:rsidRPr="00310D14">
        <w:rPr>
          <w:rFonts w:cs="Calibri"/>
        </w:rPr>
        <w:t>work in partnership with government actors, civil society and UN actors to advocate for policy and legal reforms, improved knowledge and data and greater resources needed to protect refugee children. Comprehensive assessments on refugee child protection needs and responses including the specific needs of boys, girls, adolescents and youth will be undertaken at least once a year through inter-agency process and regular updates will be provided on new developments.</w:t>
      </w:r>
      <w:r w:rsidR="00525982" w:rsidRPr="00310D14">
        <w:rPr>
          <w:lang w:val="en-US"/>
        </w:rPr>
        <w:t>Through a multi-sectoral approach</w:t>
      </w:r>
      <w:r w:rsidR="00120224" w:rsidRPr="00310D14">
        <w:rPr>
          <w:lang w:val="en-US"/>
        </w:rPr>
        <w:t xml:space="preserve"> and with data sharing agreements</w:t>
      </w:r>
      <w:r w:rsidR="00525982" w:rsidRPr="00310D14">
        <w:rPr>
          <w:lang w:val="en-US"/>
        </w:rPr>
        <w:t xml:space="preserve">, UNHCR seeks to harmonize existing information systems, including </w:t>
      </w:r>
      <w:proofErr w:type="spellStart"/>
      <w:r w:rsidR="00525982" w:rsidRPr="00310D14">
        <w:rPr>
          <w:lang w:val="en-US"/>
        </w:rPr>
        <w:t>proGres</w:t>
      </w:r>
      <w:proofErr w:type="spellEnd"/>
      <w:r w:rsidR="00525982" w:rsidRPr="00310D14">
        <w:rPr>
          <w:lang w:val="en-US"/>
        </w:rPr>
        <w:t xml:space="preserve">, Education Management Information System (EMIS), Child Protection Information Management System (CPIMS) and Gender-Based Violence Information Management System (GBVIMS) to capture categories of abuse and improve reporting mechanisms. </w:t>
      </w:r>
    </w:p>
    <w:p w14:paraId="535358D9" w14:textId="77777777" w:rsidR="00477D0F" w:rsidRPr="00525982" w:rsidRDefault="00477D0F" w:rsidP="00477D0F">
      <w:pPr>
        <w:spacing w:after="0" w:line="240" w:lineRule="auto"/>
        <w:jc w:val="both"/>
      </w:pPr>
    </w:p>
    <w:p w14:paraId="027DA59E" w14:textId="6EB03E09" w:rsidR="00377457" w:rsidRPr="00525982" w:rsidRDefault="00377457" w:rsidP="00AF29FD">
      <w:pPr>
        <w:rPr>
          <w:b/>
          <w:color w:val="9CC2E5" w:themeColor="accent1" w:themeTint="99"/>
          <w:lang w:val="en-US"/>
        </w:rPr>
      </w:pPr>
      <w:r w:rsidRPr="00525982">
        <w:rPr>
          <w:b/>
          <w:color w:val="9CC2E5" w:themeColor="accent1" w:themeTint="99"/>
          <w:lang w:val="en-US"/>
        </w:rPr>
        <w:t>Strategic Approach</w:t>
      </w:r>
      <w:r w:rsidR="002A6019" w:rsidRPr="00525982">
        <w:rPr>
          <w:b/>
          <w:color w:val="9CC2E5" w:themeColor="accent1" w:themeTint="99"/>
          <w:lang w:val="en-US"/>
        </w:rPr>
        <w:t>es</w:t>
      </w:r>
    </w:p>
    <w:p w14:paraId="376993CA" w14:textId="6008BBB6" w:rsidR="002A6019" w:rsidRPr="00525982" w:rsidRDefault="002A6019" w:rsidP="004735B8">
      <w:pPr>
        <w:spacing w:after="0" w:line="240" w:lineRule="auto"/>
        <w:jc w:val="both"/>
        <w:rPr>
          <w:b/>
          <w:lang w:val="en-US"/>
        </w:rPr>
      </w:pPr>
      <w:r w:rsidRPr="00525982">
        <w:rPr>
          <w:b/>
          <w:lang w:val="en-US"/>
        </w:rPr>
        <w:t>Prevention and Response Services</w:t>
      </w:r>
    </w:p>
    <w:p w14:paraId="04C55C87" w14:textId="632767C5" w:rsidR="00B45EA0" w:rsidRPr="00525982" w:rsidRDefault="00560252" w:rsidP="004735B8">
      <w:pPr>
        <w:spacing w:after="0" w:line="240" w:lineRule="auto"/>
        <w:jc w:val="both"/>
        <w:rPr>
          <w:lang w:val="en-US"/>
        </w:rPr>
      </w:pPr>
      <w:r w:rsidRPr="00525982">
        <w:rPr>
          <w:lang w:val="en-US"/>
        </w:rPr>
        <w:t xml:space="preserve">UNHCR will focus primarily on child protection </w:t>
      </w:r>
      <w:r w:rsidR="00AC1B5A" w:rsidRPr="00525982">
        <w:rPr>
          <w:lang w:val="en-US"/>
        </w:rPr>
        <w:t>through</w:t>
      </w:r>
      <w:r w:rsidRPr="00525982">
        <w:rPr>
          <w:lang w:val="en-US"/>
        </w:rPr>
        <w:t xml:space="preserve"> reduction of cases of violence, </w:t>
      </w:r>
      <w:r w:rsidR="00AC1B5A" w:rsidRPr="00525982">
        <w:rPr>
          <w:lang w:val="en-US"/>
        </w:rPr>
        <w:t>abuse</w:t>
      </w:r>
      <w:r w:rsidRPr="00525982">
        <w:rPr>
          <w:lang w:val="en-US"/>
        </w:rPr>
        <w:t>, exploitation and neglect of refugee children. The goal is to increase the number of child friend</w:t>
      </w:r>
      <w:r w:rsidR="00AC1B5A" w:rsidRPr="00525982">
        <w:rPr>
          <w:lang w:val="en-US"/>
        </w:rPr>
        <w:t>ly spaces in schools, appoint</w:t>
      </w:r>
      <w:r w:rsidRPr="00525982">
        <w:rPr>
          <w:lang w:val="en-US"/>
        </w:rPr>
        <w:t xml:space="preserve"> child protection focal persons or counselors amongst teachers in schools, and enhance the capacity of children to become their own protection agents.</w:t>
      </w:r>
    </w:p>
    <w:p w14:paraId="53EC7D5A" w14:textId="77777777" w:rsidR="004735B8" w:rsidRPr="00525982" w:rsidRDefault="004735B8" w:rsidP="004735B8">
      <w:pPr>
        <w:spacing w:after="0" w:line="240" w:lineRule="auto"/>
        <w:jc w:val="both"/>
        <w:rPr>
          <w:lang w:val="en-US"/>
        </w:rPr>
      </w:pPr>
    </w:p>
    <w:p w14:paraId="27BF1CD7" w14:textId="266B17F1" w:rsidR="007A3EF1" w:rsidRPr="00525982" w:rsidRDefault="002A6019" w:rsidP="004735B8">
      <w:pPr>
        <w:spacing w:after="0" w:line="240" w:lineRule="auto"/>
        <w:jc w:val="both"/>
        <w:rPr>
          <w:b/>
          <w:lang w:val="en-US"/>
        </w:rPr>
      </w:pPr>
      <w:r w:rsidRPr="00525982">
        <w:rPr>
          <w:b/>
          <w:lang w:val="en-US"/>
        </w:rPr>
        <w:t>Coordination</w:t>
      </w:r>
      <w:r w:rsidR="007A3EF1" w:rsidRPr="00525982">
        <w:rPr>
          <w:b/>
          <w:lang w:val="en-US"/>
        </w:rPr>
        <w:t xml:space="preserve"> and </w:t>
      </w:r>
      <w:r w:rsidR="00560252" w:rsidRPr="00525982">
        <w:rPr>
          <w:b/>
          <w:lang w:val="en-US"/>
        </w:rPr>
        <w:t>Programming</w:t>
      </w:r>
    </w:p>
    <w:p w14:paraId="20E1EDD9" w14:textId="079CBD7B" w:rsidR="00F00927" w:rsidRPr="00525982" w:rsidRDefault="007A3EF1" w:rsidP="004735B8">
      <w:pPr>
        <w:spacing w:after="0" w:line="240" w:lineRule="auto"/>
        <w:jc w:val="both"/>
        <w:rPr>
          <w:lang w:val="en-US"/>
        </w:rPr>
      </w:pPr>
      <w:r w:rsidRPr="00525982">
        <w:rPr>
          <w:lang w:val="en-US"/>
        </w:rPr>
        <w:t xml:space="preserve">UNHCR </w:t>
      </w:r>
      <w:r w:rsidR="00560252" w:rsidRPr="00525982">
        <w:rPr>
          <w:lang w:val="en-US"/>
        </w:rPr>
        <w:t xml:space="preserve">and partners </w:t>
      </w:r>
      <w:r w:rsidRPr="00525982">
        <w:rPr>
          <w:lang w:val="en-US"/>
        </w:rPr>
        <w:t xml:space="preserve">will </w:t>
      </w:r>
      <w:r w:rsidR="00560252" w:rsidRPr="00525982">
        <w:rPr>
          <w:lang w:val="en-US"/>
        </w:rPr>
        <w:t xml:space="preserve">strengthen </w:t>
      </w:r>
      <w:r w:rsidRPr="00525982">
        <w:rPr>
          <w:lang w:val="en-US"/>
        </w:rPr>
        <w:t xml:space="preserve">existing </w:t>
      </w:r>
      <w:r w:rsidR="00B45EA0" w:rsidRPr="00525982">
        <w:rPr>
          <w:lang w:val="en-US"/>
        </w:rPr>
        <w:t xml:space="preserve">child protection </w:t>
      </w:r>
      <w:r w:rsidR="00477D0F" w:rsidRPr="00525982">
        <w:rPr>
          <w:lang w:val="en-US"/>
        </w:rPr>
        <w:t>management system</w:t>
      </w:r>
      <w:r w:rsidR="00AC1B5A" w:rsidRPr="00525982">
        <w:rPr>
          <w:lang w:val="en-US"/>
        </w:rPr>
        <w:t xml:space="preserve">s </w:t>
      </w:r>
      <w:r w:rsidR="004735B8" w:rsidRPr="00525982">
        <w:rPr>
          <w:lang w:val="en-US"/>
        </w:rPr>
        <w:t>as this</w:t>
      </w:r>
      <w:r w:rsidR="00560252" w:rsidRPr="00525982">
        <w:rPr>
          <w:lang w:val="en-US"/>
        </w:rPr>
        <w:t xml:space="preserve"> will improve </w:t>
      </w:r>
      <w:r w:rsidR="00B45EA0" w:rsidRPr="00525982">
        <w:rPr>
          <w:lang w:val="en-US"/>
        </w:rPr>
        <w:t>access to</w:t>
      </w:r>
      <w:r w:rsidR="00120224">
        <w:rPr>
          <w:lang w:val="en-US"/>
        </w:rPr>
        <w:t xml:space="preserve"> services for children</w:t>
      </w:r>
      <w:r w:rsidR="00B45EA0" w:rsidRPr="00525982">
        <w:rPr>
          <w:lang w:val="en-US"/>
        </w:rPr>
        <w:t xml:space="preserve"> in the camp and in the host community</w:t>
      </w:r>
      <w:r w:rsidR="00477D0F" w:rsidRPr="00525982">
        <w:rPr>
          <w:lang w:val="en-US"/>
        </w:rPr>
        <w:t>. There will also be emphasis on child protection training for</w:t>
      </w:r>
      <w:r w:rsidR="00B45EA0" w:rsidRPr="00525982">
        <w:rPr>
          <w:lang w:val="en-US"/>
        </w:rPr>
        <w:t xml:space="preserve"> </w:t>
      </w:r>
      <w:r w:rsidR="00AC1B5A" w:rsidRPr="00525982">
        <w:rPr>
          <w:lang w:val="en-US"/>
        </w:rPr>
        <w:t xml:space="preserve">partners, </w:t>
      </w:r>
      <w:r w:rsidR="00B45EA0" w:rsidRPr="00525982">
        <w:rPr>
          <w:lang w:val="en-US"/>
        </w:rPr>
        <w:t>staff and child development incentive workers</w:t>
      </w:r>
      <w:r w:rsidR="00477D0F" w:rsidRPr="00525982">
        <w:rPr>
          <w:lang w:val="en-US"/>
        </w:rPr>
        <w:t xml:space="preserve"> to ensure that community networks are also involved in the decision-making process</w:t>
      </w:r>
      <w:r w:rsidR="00B45EA0" w:rsidRPr="00525982">
        <w:rPr>
          <w:lang w:val="en-US"/>
        </w:rPr>
        <w:t>.</w:t>
      </w:r>
      <w:r w:rsidR="00560252" w:rsidRPr="00525982">
        <w:rPr>
          <w:lang w:val="en-US"/>
        </w:rPr>
        <w:t xml:space="preserve"> UNHCR will also assist the Government with advocacy forums</w:t>
      </w:r>
      <w:r w:rsidR="004735B8" w:rsidRPr="00525982">
        <w:rPr>
          <w:lang w:val="en-US"/>
        </w:rPr>
        <w:t xml:space="preserve"> and strengthening child protection mechanisms </w:t>
      </w:r>
      <w:r w:rsidR="00560252" w:rsidRPr="00525982">
        <w:rPr>
          <w:lang w:val="en-US"/>
        </w:rPr>
        <w:t xml:space="preserve">to address the problem of </w:t>
      </w:r>
      <w:r w:rsidR="00AC1B5A" w:rsidRPr="00525982">
        <w:rPr>
          <w:lang w:val="en-US"/>
        </w:rPr>
        <w:t xml:space="preserve">high </w:t>
      </w:r>
      <w:r w:rsidR="00560252" w:rsidRPr="00525982">
        <w:rPr>
          <w:lang w:val="en-US"/>
        </w:rPr>
        <w:t xml:space="preserve">child </w:t>
      </w:r>
      <w:r w:rsidR="00FD1057" w:rsidRPr="00525982">
        <w:rPr>
          <w:lang w:val="en-US"/>
        </w:rPr>
        <w:t>labor</w:t>
      </w:r>
      <w:r w:rsidR="00560252" w:rsidRPr="00525982">
        <w:rPr>
          <w:lang w:val="en-US"/>
        </w:rPr>
        <w:t xml:space="preserve"> amongst the host community. </w:t>
      </w:r>
    </w:p>
    <w:p w14:paraId="7E6E6B14" w14:textId="77777777" w:rsidR="004735B8" w:rsidRPr="00525982" w:rsidRDefault="004735B8" w:rsidP="004735B8">
      <w:pPr>
        <w:spacing w:after="0" w:line="240" w:lineRule="auto"/>
        <w:jc w:val="both"/>
        <w:rPr>
          <w:b/>
          <w:lang w:val="en-US"/>
        </w:rPr>
      </w:pPr>
    </w:p>
    <w:p w14:paraId="5FAD79C7" w14:textId="77777777" w:rsidR="004735B8" w:rsidRPr="00525982" w:rsidRDefault="002A6019" w:rsidP="004735B8">
      <w:pPr>
        <w:spacing w:after="0" w:line="240" w:lineRule="auto"/>
        <w:jc w:val="both"/>
        <w:rPr>
          <w:b/>
          <w:lang w:val="en-US"/>
        </w:rPr>
      </w:pPr>
      <w:r w:rsidRPr="00525982">
        <w:rPr>
          <w:b/>
          <w:lang w:val="en-US"/>
        </w:rPr>
        <w:t>Advocacy and Awareness</w:t>
      </w:r>
      <w:r w:rsidR="00477D0F" w:rsidRPr="00525982">
        <w:rPr>
          <w:b/>
          <w:lang w:val="en-US"/>
        </w:rPr>
        <w:t xml:space="preserve"> </w:t>
      </w:r>
    </w:p>
    <w:p w14:paraId="2299F596" w14:textId="5FF64BDC" w:rsidR="00B45EA0" w:rsidRPr="00525982" w:rsidRDefault="004735B8" w:rsidP="004735B8">
      <w:pPr>
        <w:spacing w:after="0" w:line="240" w:lineRule="auto"/>
        <w:jc w:val="both"/>
        <w:rPr>
          <w:lang w:val="en-US"/>
        </w:rPr>
      </w:pPr>
      <w:r w:rsidRPr="00525982">
        <w:rPr>
          <w:lang w:val="en-US"/>
        </w:rPr>
        <w:t>UNHCR and partners will enhance th</w:t>
      </w:r>
      <w:r w:rsidR="00120224">
        <w:rPr>
          <w:lang w:val="en-US"/>
        </w:rPr>
        <w:t>e capacity of children structure</w:t>
      </w:r>
      <w:r w:rsidRPr="00525982">
        <w:rPr>
          <w:lang w:val="en-US"/>
        </w:rPr>
        <w:t xml:space="preserve"> in order for them to be more involved in the </w:t>
      </w:r>
      <w:proofErr w:type="gramStart"/>
      <w:r w:rsidRPr="00525982">
        <w:rPr>
          <w:lang w:val="en-US"/>
        </w:rPr>
        <w:t>decision making</w:t>
      </w:r>
      <w:proofErr w:type="gramEnd"/>
      <w:r w:rsidRPr="00525982">
        <w:rPr>
          <w:lang w:val="en-US"/>
        </w:rPr>
        <w:t xml:space="preserve"> process. This will be done through sensitization campaigns, advocacy forums with government institutions, and dialogue sessions between children and adults on various child-protection related concerns. UNHCR will ensure that information on the asylum, registration, protection and assistance procedures are well understood by children and caregivers for informed decisions.  </w:t>
      </w:r>
    </w:p>
    <w:p w14:paraId="6CE8DF8C" w14:textId="77777777" w:rsidR="00AC1B5A" w:rsidRPr="00525982" w:rsidRDefault="00AC1B5A" w:rsidP="00AC1B5A">
      <w:pPr>
        <w:spacing w:after="0" w:line="240" w:lineRule="auto"/>
        <w:jc w:val="both"/>
        <w:rPr>
          <w:b/>
          <w:lang w:val="en-US"/>
        </w:rPr>
      </w:pPr>
    </w:p>
    <w:p w14:paraId="28BA5BB8" w14:textId="6E9CCC15" w:rsidR="00AC1B5A" w:rsidRPr="00525982" w:rsidRDefault="00120224" w:rsidP="00AC1B5A">
      <w:pPr>
        <w:spacing w:after="0" w:line="240" w:lineRule="auto"/>
        <w:jc w:val="both"/>
        <w:rPr>
          <w:b/>
          <w:lang w:val="en-US"/>
        </w:rPr>
      </w:pPr>
      <w:r>
        <w:rPr>
          <w:b/>
          <w:lang w:val="en-US"/>
        </w:rPr>
        <w:t>Linkages between Children Protection</w:t>
      </w:r>
      <w:r w:rsidR="00AC1B5A" w:rsidRPr="00525982">
        <w:rPr>
          <w:b/>
          <w:lang w:val="en-US"/>
        </w:rPr>
        <w:t xml:space="preserve"> Framework and Education, SGBV and Livelihood Strategies</w:t>
      </w:r>
    </w:p>
    <w:p w14:paraId="105D789D" w14:textId="21F06034" w:rsidR="00AC1B5A" w:rsidRDefault="00AC1B5A" w:rsidP="00AC1B5A">
      <w:pPr>
        <w:spacing w:after="0" w:line="240" w:lineRule="auto"/>
        <w:jc w:val="both"/>
        <w:rPr>
          <w:lang w:val="en-US"/>
        </w:rPr>
      </w:pPr>
      <w:r w:rsidRPr="00525982">
        <w:rPr>
          <w:lang w:val="en-US"/>
        </w:rPr>
        <w:t>Child protection mainstreaming in the Education, SGBV and Livelihood thematic areas is essential and can only fully be effective, in tandem, in order to ensure protection and other servic</w:t>
      </w:r>
      <w:r w:rsidR="00120224">
        <w:rPr>
          <w:lang w:val="en-US"/>
        </w:rPr>
        <w:t>e delivery to children</w:t>
      </w:r>
      <w:r w:rsidRPr="00525982">
        <w:rPr>
          <w:lang w:val="en-US"/>
        </w:rPr>
        <w:t xml:space="preserve"> in the camp.</w:t>
      </w:r>
    </w:p>
    <w:p w14:paraId="1CFD4FB7" w14:textId="77777777" w:rsidR="00DD23B1" w:rsidRDefault="00DD23B1" w:rsidP="00AC1B5A">
      <w:pPr>
        <w:spacing w:after="0" w:line="240" w:lineRule="auto"/>
        <w:jc w:val="both"/>
        <w:rPr>
          <w:lang w:val="en-US"/>
        </w:rPr>
      </w:pPr>
    </w:p>
    <w:p w14:paraId="7ACB2AAE" w14:textId="77777777" w:rsidR="00B46132" w:rsidRDefault="00B46132" w:rsidP="00AC1B5A">
      <w:pPr>
        <w:spacing w:after="0" w:line="240" w:lineRule="auto"/>
        <w:jc w:val="both"/>
        <w:rPr>
          <w:lang w:val="en-US"/>
        </w:rPr>
      </w:pPr>
    </w:p>
    <w:p w14:paraId="5F3143BB" w14:textId="73E944BD" w:rsidR="00B46132" w:rsidRDefault="004A2D98" w:rsidP="00AC1B5A">
      <w:pPr>
        <w:spacing w:after="0" w:line="240" w:lineRule="auto"/>
        <w:jc w:val="both"/>
        <w:rPr>
          <w:lang w:val="en-US"/>
        </w:rPr>
      </w:pPr>
      <w:r>
        <w:rPr>
          <w:lang w:val="en-US"/>
        </w:rPr>
        <w:t>31</w:t>
      </w:r>
      <w:r w:rsidR="00B46132">
        <w:rPr>
          <w:lang w:val="en-US"/>
        </w:rPr>
        <w:t xml:space="preserve"> August 2017</w:t>
      </w:r>
    </w:p>
    <w:p w14:paraId="7B39F1CA" w14:textId="79D19F79" w:rsidR="00B46132" w:rsidRPr="00525982" w:rsidRDefault="00B46132" w:rsidP="00AC1B5A">
      <w:pPr>
        <w:spacing w:after="0" w:line="240" w:lineRule="auto"/>
        <w:jc w:val="both"/>
        <w:rPr>
          <w:b/>
          <w:lang w:val="en-US"/>
        </w:rPr>
      </w:pPr>
      <w:r>
        <w:rPr>
          <w:lang w:val="en-US"/>
        </w:rPr>
        <w:t>Kakuma</w:t>
      </w:r>
    </w:p>
    <w:p w14:paraId="6F3AD07C" w14:textId="77777777" w:rsidR="004735B8" w:rsidRPr="00525982" w:rsidRDefault="004735B8" w:rsidP="004735B8">
      <w:pPr>
        <w:spacing w:after="0" w:line="240" w:lineRule="auto"/>
        <w:jc w:val="both"/>
        <w:rPr>
          <w:b/>
          <w:lang w:val="en-US"/>
        </w:rPr>
      </w:pPr>
    </w:p>
    <w:p w14:paraId="4131965E" w14:textId="1ECA1121" w:rsidR="00F00927" w:rsidRPr="00863BFE" w:rsidRDefault="00F00927" w:rsidP="00863BFE">
      <w:pPr>
        <w:rPr>
          <w:lang w:val="en-US"/>
        </w:rPr>
      </w:pPr>
    </w:p>
    <w:p w14:paraId="1565375A" w14:textId="77777777" w:rsidR="00C12505" w:rsidRPr="00525982" w:rsidRDefault="00C12505" w:rsidP="004735B8">
      <w:pPr>
        <w:jc w:val="both"/>
        <w:rPr>
          <w:lang w:val="en-US"/>
        </w:rPr>
      </w:pPr>
    </w:p>
    <w:p w14:paraId="5DE6FC6B" w14:textId="77777777" w:rsidR="00FD5663" w:rsidRDefault="00FD5663" w:rsidP="00FD5663">
      <w:pPr>
        <w:spacing w:after="0" w:line="240" w:lineRule="auto"/>
        <w:ind w:left="284"/>
        <w:contextualSpacing/>
        <w:jc w:val="both"/>
      </w:pPr>
    </w:p>
    <w:p w14:paraId="200CE0C1" w14:textId="77777777" w:rsidR="00FD5663" w:rsidRPr="00EF2A10" w:rsidRDefault="00FD5663" w:rsidP="00FD5663">
      <w:pPr>
        <w:spacing w:after="0" w:line="240" w:lineRule="auto"/>
        <w:contextualSpacing/>
        <w:jc w:val="both"/>
        <w:rPr>
          <w:rFonts w:cs="Calibri"/>
          <w:b/>
          <w:bCs/>
          <w:lang w:val="en-AU"/>
        </w:rPr>
      </w:pPr>
    </w:p>
    <w:p w14:paraId="016E7F0C" w14:textId="77777777" w:rsidR="00FD5663" w:rsidRPr="00971831" w:rsidRDefault="00FD5663" w:rsidP="00FD5663">
      <w:pPr>
        <w:spacing w:after="0" w:line="240" w:lineRule="auto"/>
        <w:ind w:left="284"/>
        <w:contextualSpacing/>
        <w:jc w:val="both"/>
      </w:pPr>
    </w:p>
    <w:p w14:paraId="67092E8A" w14:textId="77777777" w:rsidR="000F162C" w:rsidRPr="00525982" w:rsidRDefault="000F162C" w:rsidP="000F162C">
      <w:pPr>
        <w:jc w:val="both"/>
        <w:rPr>
          <w:lang w:val="en-US"/>
        </w:rPr>
      </w:pPr>
    </w:p>
    <w:p w14:paraId="664B62D6" w14:textId="77777777" w:rsidR="00377457" w:rsidRPr="00525982" w:rsidRDefault="00377457" w:rsidP="000F162C">
      <w:pPr>
        <w:spacing w:after="0" w:line="240" w:lineRule="auto"/>
        <w:ind w:left="360"/>
        <w:jc w:val="both"/>
        <w:rPr>
          <w:b/>
          <w:lang w:val="en-US"/>
        </w:rPr>
      </w:pPr>
    </w:p>
    <w:sectPr w:rsidR="00377457" w:rsidRPr="00525982">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E61FFE" w14:textId="77777777" w:rsidR="0066724C" w:rsidRDefault="0066724C" w:rsidP="00377457">
      <w:pPr>
        <w:spacing w:after="0" w:line="240" w:lineRule="auto"/>
      </w:pPr>
      <w:r>
        <w:separator/>
      </w:r>
    </w:p>
  </w:endnote>
  <w:endnote w:type="continuationSeparator" w:id="0">
    <w:p w14:paraId="155694CC" w14:textId="77777777" w:rsidR="0066724C" w:rsidRDefault="0066724C" w:rsidP="003774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Times-Roman">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779397" w14:textId="77777777" w:rsidR="001E0DB7" w:rsidRDefault="001E0D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7600966"/>
      <w:docPartObj>
        <w:docPartGallery w:val="Page Numbers (Bottom of Page)"/>
        <w:docPartUnique/>
      </w:docPartObj>
    </w:sdtPr>
    <w:sdtEndPr>
      <w:rPr>
        <w:noProof/>
      </w:rPr>
    </w:sdtEndPr>
    <w:sdtContent>
      <w:p w14:paraId="1629BE92" w14:textId="77777777" w:rsidR="004E5D73" w:rsidRDefault="004E5D73">
        <w:pPr>
          <w:pStyle w:val="Footer"/>
          <w:jc w:val="right"/>
        </w:pPr>
        <w:r>
          <w:fldChar w:fldCharType="begin"/>
        </w:r>
        <w:r>
          <w:instrText xml:space="preserve"> PAGE   \* MERGEFORMAT </w:instrText>
        </w:r>
        <w:r>
          <w:fldChar w:fldCharType="separate"/>
        </w:r>
        <w:r w:rsidR="009C3DB1">
          <w:rPr>
            <w:noProof/>
          </w:rPr>
          <w:t>1</w:t>
        </w:r>
        <w:r>
          <w:rPr>
            <w:noProof/>
          </w:rPr>
          <w:fldChar w:fldCharType="end"/>
        </w:r>
      </w:p>
    </w:sdtContent>
  </w:sdt>
  <w:p w14:paraId="5A80A24E" w14:textId="77777777" w:rsidR="004E5D73" w:rsidRDefault="004E5D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FEF4BE" w14:textId="77777777" w:rsidR="001E0DB7" w:rsidRDefault="001E0D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9B9BA1" w14:textId="77777777" w:rsidR="0066724C" w:rsidRDefault="0066724C" w:rsidP="00377457">
      <w:pPr>
        <w:spacing w:after="0" w:line="240" w:lineRule="auto"/>
      </w:pPr>
      <w:r>
        <w:separator/>
      </w:r>
    </w:p>
  </w:footnote>
  <w:footnote w:type="continuationSeparator" w:id="0">
    <w:p w14:paraId="225DB0F5" w14:textId="77777777" w:rsidR="0066724C" w:rsidRDefault="0066724C" w:rsidP="00377457">
      <w:pPr>
        <w:spacing w:after="0" w:line="240" w:lineRule="auto"/>
      </w:pPr>
      <w:r>
        <w:continuationSeparator/>
      </w:r>
    </w:p>
  </w:footnote>
  <w:footnote w:id="1">
    <w:p w14:paraId="2BA790A7" w14:textId="5E6C6777" w:rsidR="00765A94" w:rsidRPr="00765A94" w:rsidRDefault="00765A94">
      <w:pPr>
        <w:pStyle w:val="FootnoteText"/>
        <w:rPr>
          <w:lang w:val="en-US"/>
        </w:rPr>
      </w:pPr>
      <w:r>
        <w:rPr>
          <w:rStyle w:val="FootnoteReference"/>
        </w:rPr>
        <w:footnoteRef/>
      </w:r>
      <w:r>
        <w:t xml:space="preserve"> </w:t>
      </w:r>
      <w:r>
        <w:rPr>
          <w:lang w:val="en-US"/>
        </w:rPr>
        <w:t>Child and Youth Protection: Kakuma and Kalobeyei Strategy, 2017-2019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E4810A" w14:textId="77777777" w:rsidR="001E0DB7" w:rsidRDefault="001E0D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3D0E87" w14:textId="77777777" w:rsidR="00377457" w:rsidRPr="00377457" w:rsidRDefault="00377457" w:rsidP="00377457">
    <w:pPr>
      <w:pStyle w:val="ListParagraph"/>
      <w:rPr>
        <w:rStyle w:val="Strong"/>
      </w:rPr>
    </w:pPr>
  </w:p>
  <w:p w14:paraId="0263227E" w14:textId="77777777" w:rsidR="00377457" w:rsidRPr="00377457" w:rsidRDefault="00377457" w:rsidP="00377457">
    <w:pPr>
      <w:pStyle w:val="ListParagraph"/>
      <w:rPr>
        <w:rStyle w:val="Strong"/>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830C8E" w14:textId="77777777" w:rsidR="001E0DB7" w:rsidRDefault="001E0D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9678D"/>
    <w:multiLevelType w:val="hybridMultilevel"/>
    <w:tmpl w:val="CFAA6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4A6DD0"/>
    <w:multiLevelType w:val="hybridMultilevel"/>
    <w:tmpl w:val="2EBC49BA"/>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3F0836"/>
    <w:multiLevelType w:val="multilevel"/>
    <w:tmpl w:val="66240C0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bullet"/>
      <w:lvlText w:val=""/>
      <w:lvlJc w:val="left"/>
      <w:pPr>
        <w:ind w:left="1440" w:hanging="720"/>
      </w:pPr>
      <w:rPr>
        <w:rFonts w:ascii="Wingdings" w:hAnsi="Wingdings" w:hint="default"/>
      </w:rPr>
    </w:lvl>
    <w:lvl w:ilvl="3">
      <w:start w:val="1"/>
      <w:numFmt w:val="bullet"/>
      <w:lvlText w:val=""/>
      <w:lvlJc w:val="left"/>
      <w:pPr>
        <w:ind w:left="1800" w:hanging="720"/>
      </w:pPr>
      <w:rPr>
        <w:rFonts w:ascii="Wingdings" w:hAnsi="Wingding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DCC070D"/>
    <w:multiLevelType w:val="hybridMultilevel"/>
    <w:tmpl w:val="80945370"/>
    <w:lvl w:ilvl="0" w:tplc="04090009">
      <w:start w:val="1"/>
      <w:numFmt w:val="bullet"/>
      <w:lvlText w:val=""/>
      <w:lvlJc w:val="left"/>
      <w:pPr>
        <w:ind w:left="720" w:hanging="360"/>
      </w:pPr>
      <w:rPr>
        <w:rFonts w:ascii="Wingdings" w:hAnsi="Wingdings" w:hint="default"/>
      </w:rPr>
    </w:lvl>
    <w:lvl w:ilvl="1" w:tplc="C8865F5E">
      <w:start w:val="2"/>
      <w:numFmt w:val="bullet"/>
      <w:lvlText w:val="-"/>
      <w:lvlJc w:val="left"/>
      <w:pPr>
        <w:ind w:left="1440" w:hanging="360"/>
      </w:pPr>
      <w:rPr>
        <w:rFonts w:ascii="Calibri" w:eastAsiaTheme="minorHAnsi" w:hAnsi="Calibri"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A3604B"/>
    <w:multiLevelType w:val="hybridMultilevel"/>
    <w:tmpl w:val="CA92BF96"/>
    <w:lvl w:ilvl="0" w:tplc="04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1D83C90"/>
    <w:multiLevelType w:val="hybridMultilevel"/>
    <w:tmpl w:val="0F660E8E"/>
    <w:lvl w:ilvl="0" w:tplc="0409000B">
      <w:start w:val="1"/>
      <w:numFmt w:val="bullet"/>
      <w:lvlText w:val=""/>
      <w:lvlJc w:val="left"/>
      <w:pPr>
        <w:ind w:left="720" w:hanging="360"/>
      </w:pPr>
      <w:rPr>
        <w:rFonts w:ascii="Wingdings" w:hAnsi="Wingdings" w:hint="default"/>
      </w:rPr>
    </w:lvl>
    <w:lvl w:ilvl="1" w:tplc="DBA4A57C">
      <w:numFmt w:val="bullet"/>
      <w:lvlText w:val="-"/>
      <w:lvlJc w:val="left"/>
      <w:pPr>
        <w:ind w:left="1440" w:hanging="360"/>
      </w:pPr>
      <w:rPr>
        <w:rFonts w:ascii="Calibri" w:eastAsiaTheme="minorHAnsi" w:hAnsi="Calibri" w:cstheme="minorBidi" w:hint="default"/>
      </w:rPr>
    </w:lvl>
    <w:lvl w:ilvl="2" w:tplc="0409000B">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3E764F"/>
    <w:multiLevelType w:val="hybridMultilevel"/>
    <w:tmpl w:val="FCD4FB5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AEF0140"/>
    <w:multiLevelType w:val="multilevel"/>
    <w:tmpl w:val="958A501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lowerLetter"/>
      <w:lvlText w:val="%3."/>
      <w:lvlJc w:val="left"/>
      <w:pPr>
        <w:ind w:left="1440" w:hanging="720"/>
      </w:pPr>
      <w:rPr>
        <w:rFonts w:asciiTheme="minorHAnsi" w:eastAsiaTheme="minorHAnsi" w:hAnsiTheme="minorHAnsi" w:cstheme="minorBidi"/>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F57072A"/>
    <w:multiLevelType w:val="hybridMultilevel"/>
    <w:tmpl w:val="23A2526A"/>
    <w:lvl w:ilvl="0" w:tplc="0409000B">
      <w:start w:val="1"/>
      <w:numFmt w:val="bullet"/>
      <w:lvlText w:val=""/>
      <w:lvlJc w:val="left"/>
      <w:pPr>
        <w:ind w:left="720" w:hanging="360"/>
      </w:pPr>
      <w:rPr>
        <w:rFonts w:ascii="Wingdings" w:hAnsi="Wingdings" w:hint="default"/>
      </w:rPr>
    </w:lvl>
    <w:lvl w:ilvl="1" w:tplc="DBA4A57C">
      <w:numFmt w:val="bullet"/>
      <w:lvlText w:val="-"/>
      <w:lvlJc w:val="left"/>
      <w:pPr>
        <w:ind w:left="1440" w:hanging="360"/>
      </w:pPr>
      <w:rPr>
        <w:rFonts w:ascii="Calibri" w:eastAsiaTheme="minorHAnsi" w:hAnsi="Calibri" w:cstheme="minorBidi"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7729E3"/>
    <w:multiLevelType w:val="multilevel"/>
    <w:tmpl w:val="2F1EEC5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bullet"/>
      <w:lvlText w:val=""/>
      <w:lvlJc w:val="left"/>
      <w:pPr>
        <w:ind w:left="1440" w:hanging="720"/>
      </w:pPr>
      <w:rPr>
        <w:rFonts w:ascii="Symbol" w:hAnsi="Symbol"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5F44488"/>
    <w:multiLevelType w:val="hybridMultilevel"/>
    <w:tmpl w:val="9DFC4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4F52D0"/>
    <w:multiLevelType w:val="hybridMultilevel"/>
    <w:tmpl w:val="60D076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3905405"/>
    <w:multiLevelType w:val="hybridMultilevel"/>
    <w:tmpl w:val="21DC4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6A7F00"/>
    <w:multiLevelType w:val="hybridMultilevel"/>
    <w:tmpl w:val="F1E0B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6E23C8"/>
    <w:multiLevelType w:val="hybridMultilevel"/>
    <w:tmpl w:val="C4100E4A"/>
    <w:lvl w:ilvl="0" w:tplc="04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3B9467ED"/>
    <w:multiLevelType w:val="hybridMultilevel"/>
    <w:tmpl w:val="718C96B4"/>
    <w:lvl w:ilvl="0" w:tplc="04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F3B6E83"/>
    <w:multiLevelType w:val="hybridMultilevel"/>
    <w:tmpl w:val="C50E4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1479B6"/>
    <w:multiLevelType w:val="multilevel"/>
    <w:tmpl w:val="F5AA083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bullet"/>
      <w:lvlText w:val=""/>
      <w:lvlJc w:val="left"/>
      <w:pPr>
        <w:ind w:left="1440" w:hanging="720"/>
      </w:pPr>
      <w:rPr>
        <w:rFonts w:ascii="Wingdings" w:hAnsi="Wingding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A154F92"/>
    <w:multiLevelType w:val="hybridMultilevel"/>
    <w:tmpl w:val="62F81DC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1DA5FB6"/>
    <w:multiLevelType w:val="hybridMultilevel"/>
    <w:tmpl w:val="2FDEB2F0"/>
    <w:lvl w:ilvl="0" w:tplc="175A5572">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42D13DC"/>
    <w:multiLevelType w:val="hybridMultilevel"/>
    <w:tmpl w:val="0D443A02"/>
    <w:lvl w:ilvl="0" w:tplc="04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55002475"/>
    <w:multiLevelType w:val="hybridMultilevel"/>
    <w:tmpl w:val="4344E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6829FF"/>
    <w:multiLevelType w:val="hybridMultilevel"/>
    <w:tmpl w:val="C05C3B7A"/>
    <w:lvl w:ilvl="0" w:tplc="9DBA6E88">
      <w:start w:val="1"/>
      <w:numFmt w:val="bullet"/>
      <w:lvlText w:val=""/>
      <w:lvlJc w:val="left"/>
      <w:pPr>
        <w:ind w:left="-432" w:hanging="360"/>
      </w:pPr>
      <w:rPr>
        <w:rFonts w:ascii="Wingdings" w:hAnsi="Wingdings" w:hint="default"/>
        <w:color w:val="4472C4" w:themeColor="accent5"/>
        <w:sz w:val="28"/>
        <w:szCs w:val="28"/>
      </w:rPr>
    </w:lvl>
    <w:lvl w:ilvl="1" w:tplc="04090003" w:tentative="1">
      <w:start w:val="1"/>
      <w:numFmt w:val="bullet"/>
      <w:lvlText w:val="o"/>
      <w:lvlJc w:val="left"/>
      <w:pPr>
        <w:ind w:left="288" w:hanging="360"/>
      </w:pPr>
      <w:rPr>
        <w:rFonts w:ascii="Courier New" w:hAnsi="Courier New" w:cs="Courier New" w:hint="default"/>
      </w:rPr>
    </w:lvl>
    <w:lvl w:ilvl="2" w:tplc="04090005" w:tentative="1">
      <w:start w:val="1"/>
      <w:numFmt w:val="bullet"/>
      <w:lvlText w:val=""/>
      <w:lvlJc w:val="left"/>
      <w:pPr>
        <w:ind w:left="1008" w:hanging="360"/>
      </w:pPr>
      <w:rPr>
        <w:rFonts w:ascii="Wingdings" w:hAnsi="Wingdings" w:hint="default"/>
      </w:rPr>
    </w:lvl>
    <w:lvl w:ilvl="3" w:tplc="04090001" w:tentative="1">
      <w:start w:val="1"/>
      <w:numFmt w:val="bullet"/>
      <w:lvlText w:val=""/>
      <w:lvlJc w:val="left"/>
      <w:pPr>
        <w:ind w:left="1728" w:hanging="360"/>
      </w:pPr>
      <w:rPr>
        <w:rFonts w:ascii="Symbol" w:hAnsi="Symbol" w:hint="default"/>
      </w:rPr>
    </w:lvl>
    <w:lvl w:ilvl="4" w:tplc="04090003" w:tentative="1">
      <w:start w:val="1"/>
      <w:numFmt w:val="bullet"/>
      <w:lvlText w:val="o"/>
      <w:lvlJc w:val="left"/>
      <w:pPr>
        <w:ind w:left="2448" w:hanging="360"/>
      </w:pPr>
      <w:rPr>
        <w:rFonts w:ascii="Courier New" w:hAnsi="Courier New" w:cs="Courier New" w:hint="default"/>
      </w:rPr>
    </w:lvl>
    <w:lvl w:ilvl="5" w:tplc="04090005" w:tentative="1">
      <w:start w:val="1"/>
      <w:numFmt w:val="bullet"/>
      <w:lvlText w:val=""/>
      <w:lvlJc w:val="left"/>
      <w:pPr>
        <w:ind w:left="3168" w:hanging="360"/>
      </w:pPr>
      <w:rPr>
        <w:rFonts w:ascii="Wingdings" w:hAnsi="Wingdings" w:hint="default"/>
      </w:rPr>
    </w:lvl>
    <w:lvl w:ilvl="6" w:tplc="04090001" w:tentative="1">
      <w:start w:val="1"/>
      <w:numFmt w:val="bullet"/>
      <w:lvlText w:val=""/>
      <w:lvlJc w:val="left"/>
      <w:pPr>
        <w:ind w:left="3888" w:hanging="360"/>
      </w:pPr>
      <w:rPr>
        <w:rFonts w:ascii="Symbol" w:hAnsi="Symbol" w:hint="default"/>
      </w:rPr>
    </w:lvl>
    <w:lvl w:ilvl="7" w:tplc="04090003" w:tentative="1">
      <w:start w:val="1"/>
      <w:numFmt w:val="bullet"/>
      <w:lvlText w:val="o"/>
      <w:lvlJc w:val="left"/>
      <w:pPr>
        <w:ind w:left="4608" w:hanging="360"/>
      </w:pPr>
      <w:rPr>
        <w:rFonts w:ascii="Courier New" w:hAnsi="Courier New" w:cs="Courier New" w:hint="default"/>
      </w:rPr>
    </w:lvl>
    <w:lvl w:ilvl="8" w:tplc="04090005" w:tentative="1">
      <w:start w:val="1"/>
      <w:numFmt w:val="bullet"/>
      <w:lvlText w:val=""/>
      <w:lvlJc w:val="left"/>
      <w:pPr>
        <w:ind w:left="5328" w:hanging="360"/>
      </w:pPr>
      <w:rPr>
        <w:rFonts w:ascii="Wingdings" w:hAnsi="Wingdings" w:hint="default"/>
      </w:rPr>
    </w:lvl>
  </w:abstractNum>
  <w:abstractNum w:abstractNumId="23" w15:restartNumberingAfterBreak="0">
    <w:nsid w:val="5A0709E0"/>
    <w:multiLevelType w:val="hybridMultilevel"/>
    <w:tmpl w:val="10F60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C7A026C"/>
    <w:multiLevelType w:val="multilevel"/>
    <w:tmpl w:val="6848E96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60044E2F"/>
    <w:multiLevelType w:val="multilevel"/>
    <w:tmpl w:val="506CD57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3A753EB"/>
    <w:multiLevelType w:val="hybridMultilevel"/>
    <w:tmpl w:val="65667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8B44E7"/>
    <w:multiLevelType w:val="multilevel"/>
    <w:tmpl w:val="23C6E4D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8" w15:restartNumberingAfterBreak="0">
    <w:nsid w:val="6BAF7123"/>
    <w:multiLevelType w:val="hybridMultilevel"/>
    <w:tmpl w:val="2C566A42"/>
    <w:lvl w:ilvl="0" w:tplc="04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6EAA3B62"/>
    <w:multiLevelType w:val="hybridMultilevel"/>
    <w:tmpl w:val="C562D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0275013"/>
    <w:multiLevelType w:val="hybridMultilevel"/>
    <w:tmpl w:val="43D6D188"/>
    <w:lvl w:ilvl="0" w:tplc="04090001">
      <w:start w:val="1"/>
      <w:numFmt w:val="bullet"/>
      <w:lvlText w:val=""/>
      <w:lvlJc w:val="left"/>
      <w:pPr>
        <w:ind w:left="1440" w:hanging="360"/>
      </w:pPr>
      <w:rPr>
        <w:rFonts w:ascii="Symbol" w:hAnsi="Symbol" w:hint="default"/>
      </w:rPr>
    </w:lvl>
    <w:lvl w:ilvl="1" w:tplc="1C090019">
      <w:start w:val="1"/>
      <w:numFmt w:val="lowerLetter"/>
      <w:lvlText w:val="%2."/>
      <w:lvlJc w:val="left"/>
      <w:pPr>
        <w:ind w:left="2160" w:hanging="360"/>
      </w:pPr>
    </w:lvl>
    <w:lvl w:ilvl="2" w:tplc="92AC790A">
      <w:start w:val="1"/>
      <w:numFmt w:val="lowerRoman"/>
      <w:lvlText w:val="%3."/>
      <w:lvlJc w:val="left"/>
      <w:pPr>
        <w:ind w:left="3420" w:hanging="720"/>
      </w:pPr>
      <w:rPr>
        <w:rFonts w:hint="default"/>
      </w:r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31" w15:restartNumberingAfterBreak="0">
    <w:nsid w:val="75D35FD4"/>
    <w:multiLevelType w:val="hybridMultilevel"/>
    <w:tmpl w:val="10886DA4"/>
    <w:lvl w:ilvl="0" w:tplc="07F482FC">
      <w:numFmt w:val="bullet"/>
      <w:lvlText w:val="-"/>
      <w:lvlJc w:val="left"/>
      <w:pPr>
        <w:ind w:left="1080" w:hanging="360"/>
      </w:pPr>
      <w:rPr>
        <w:rFonts w:ascii="Calibri" w:eastAsiaTheme="minorHAnsi" w:hAnsi="Calibri" w:cstheme="minorBidi" w:hint="default"/>
        <w:i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78CC7779"/>
    <w:multiLevelType w:val="hybridMultilevel"/>
    <w:tmpl w:val="445C0B72"/>
    <w:lvl w:ilvl="0" w:tplc="04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A1D0D61"/>
    <w:multiLevelType w:val="hybridMultilevel"/>
    <w:tmpl w:val="03FE77E8"/>
    <w:lvl w:ilvl="0" w:tplc="78B8C0F4">
      <w:start w:val="1"/>
      <w:numFmt w:val="bullet"/>
      <w:pStyle w:val="UNHCRbulletpoint"/>
      <w:lvlText w:val=""/>
      <w:lvlJc w:val="left"/>
      <w:pPr>
        <w:ind w:left="3060" w:hanging="360"/>
      </w:pPr>
      <w:rPr>
        <w:rFonts w:ascii="Wingdings 2" w:hAnsi="Wingdings 2" w:hint="default"/>
        <w:color w:val="0077C0"/>
      </w:rPr>
    </w:lvl>
    <w:lvl w:ilvl="1" w:tplc="8DEE58F6">
      <w:start w:val="1"/>
      <w:numFmt w:val="bullet"/>
      <w:lvlText w:val=""/>
      <w:lvlJc w:val="left"/>
      <w:pPr>
        <w:ind w:left="3780" w:hanging="360"/>
      </w:pPr>
      <w:rPr>
        <w:rFonts w:ascii="Symbol" w:hAnsi="Symbol" w:hint="default"/>
        <w:color w:val="E6656A"/>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34" w15:restartNumberingAfterBreak="0">
    <w:nsid w:val="7C261C3F"/>
    <w:multiLevelType w:val="hybridMultilevel"/>
    <w:tmpl w:val="C24671AE"/>
    <w:lvl w:ilvl="0" w:tplc="7D385094">
      <w:start w:val="1"/>
      <w:numFmt w:val="bullet"/>
      <w:lvlText w:val="•"/>
      <w:lvlJc w:val="left"/>
      <w:pPr>
        <w:tabs>
          <w:tab w:val="num" w:pos="720"/>
        </w:tabs>
        <w:ind w:left="720" w:hanging="360"/>
      </w:pPr>
      <w:rPr>
        <w:rFonts w:ascii="Times New Roman" w:hAnsi="Times New Roman" w:hint="default"/>
      </w:rPr>
    </w:lvl>
    <w:lvl w:ilvl="1" w:tplc="A7563D6A" w:tentative="1">
      <w:start w:val="1"/>
      <w:numFmt w:val="bullet"/>
      <w:lvlText w:val="•"/>
      <w:lvlJc w:val="left"/>
      <w:pPr>
        <w:tabs>
          <w:tab w:val="num" w:pos="1440"/>
        </w:tabs>
        <w:ind w:left="1440" w:hanging="360"/>
      </w:pPr>
      <w:rPr>
        <w:rFonts w:ascii="Times New Roman" w:hAnsi="Times New Roman" w:hint="default"/>
      </w:rPr>
    </w:lvl>
    <w:lvl w:ilvl="2" w:tplc="90CA01BE" w:tentative="1">
      <w:start w:val="1"/>
      <w:numFmt w:val="bullet"/>
      <w:lvlText w:val="•"/>
      <w:lvlJc w:val="left"/>
      <w:pPr>
        <w:tabs>
          <w:tab w:val="num" w:pos="2160"/>
        </w:tabs>
        <w:ind w:left="2160" w:hanging="360"/>
      </w:pPr>
      <w:rPr>
        <w:rFonts w:ascii="Times New Roman" w:hAnsi="Times New Roman" w:hint="default"/>
      </w:rPr>
    </w:lvl>
    <w:lvl w:ilvl="3" w:tplc="19EA8D38" w:tentative="1">
      <w:start w:val="1"/>
      <w:numFmt w:val="bullet"/>
      <w:lvlText w:val="•"/>
      <w:lvlJc w:val="left"/>
      <w:pPr>
        <w:tabs>
          <w:tab w:val="num" w:pos="2880"/>
        </w:tabs>
        <w:ind w:left="2880" w:hanging="360"/>
      </w:pPr>
      <w:rPr>
        <w:rFonts w:ascii="Times New Roman" w:hAnsi="Times New Roman" w:hint="default"/>
      </w:rPr>
    </w:lvl>
    <w:lvl w:ilvl="4" w:tplc="038082E6" w:tentative="1">
      <w:start w:val="1"/>
      <w:numFmt w:val="bullet"/>
      <w:lvlText w:val="•"/>
      <w:lvlJc w:val="left"/>
      <w:pPr>
        <w:tabs>
          <w:tab w:val="num" w:pos="3600"/>
        </w:tabs>
        <w:ind w:left="3600" w:hanging="360"/>
      </w:pPr>
      <w:rPr>
        <w:rFonts w:ascii="Times New Roman" w:hAnsi="Times New Roman" w:hint="default"/>
      </w:rPr>
    </w:lvl>
    <w:lvl w:ilvl="5" w:tplc="54244310" w:tentative="1">
      <w:start w:val="1"/>
      <w:numFmt w:val="bullet"/>
      <w:lvlText w:val="•"/>
      <w:lvlJc w:val="left"/>
      <w:pPr>
        <w:tabs>
          <w:tab w:val="num" w:pos="4320"/>
        </w:tabs>
        <w:ind w:left="4320" w:hanging="360"/>
      </w:pPr>
      <w:rPr>
        <w:rFonts w:ascii="Times New Roman" w:hAnsi="Times New Roman" w:hint="default"/>
      </w:rPr>
    </w:lvl>
    <w:lvl w:ilvl="6" w:tplc="50DA2B14" w:tentative="1">
      <w:start w:val="1"/>
      <w:numFmt w:val="bullet"/>
      <w:lvlText w:val="•"/>
      <w:lvlJc w:val="left"/>
      <w:pPr>
        <w:tabs>
          <w:tab w:val="num" w:pos="5040"/>
        </w:tabs>
        <w:ind w:left="5040" w:hanging="360"/>
      </w:pPr>
      <w:rPr>
        <w:rFonts w:ascii="Times New Roman" w:hAnsi="Times New Roman" w:hint="default"/>
      </w:rPr>
    </w:lvl>
    <w:lvl w:ilvl="7" w:tplc="ECF03D94" w:tentative="1">
      <w:start w:val="1"/>
      <w:numFmt w:val="bullet"/>
      <w:lvlText w:val="•"/>
      <w:lvlJc w:val="left"/>
      <w:pPr>
        <w:tabs>
          <w:tab w:val="num" w:pos="5760"/>
        </w:tabs>
        <w:ind w:left="5760" w:hanging="360"/>
      </w:pPr>
      <w:rPr>
        <w:rFonts w:ascii="Times New Roman" w:hAnsi="Times New Roman" w:hint="default"/>
      </w:rPr>
    </w:lvl>
    <w:lvl w:ilvl="8" w:tplc="B9DA69BC" w:tentative="1">
      <w:start w:val="1"/>
      <w:numFmt w:val="bullet"/>
      <w:lvlText w:val="•"/>
      <w:lvlJc w:val="left"/>
      <w:pPr>
        <w:tabs>
          <w:tab w:val="num" w:pos="6480"/>
        </w:tabs>
        <w:ind w:left="6480" w:hanging="360"/>
      </w:pPr>
      <w:rPr>
        <w:rFonts w:ascii="Times New Roman" w:hAnsi="Times New Roman" w:hint="default"/>
      </w:rPr>
    </w:lvl>
  </w:abstractNum>
  <w:abstractNum w:abstractNumId="35" w15:restartNumberingAfterBreak="0">
    <w:nsid w:val="7F3F56F5"/>
    <w:multiLevelType w:val="hybridMultilevel"/>
    <w:tmpl w:val="296C6BB8"/>
    <w:lvl w:ilvl="0" w:tplc="04090009">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30"/>
  </w:num>
  <w:num w:numId="3">
    <w:abstractNumId w:val="24"/>
  </w:num>
  <w:num w:numId="4">
    <w:abstractNumId w:val="34"/>
  </w:num>
  <w:num w:numId="5">
    <w:abstractNumId w:val="11"/>
  </w:num>
  <w:num w:numId="6">
    <w:abstractNumId w:val="35"/>
  </w:num>
  <w:num w:numId="7">
    <w:abstractNumId w:val="27"/>
  </w:num>
  <w:num w:numId="8">
    <w:abstractNumId w:val="7"/>
  </w:num>
  <w:num w:numId="9">
    <w:abstractNumId w:val="33"/>
  </w:num>
  <w:num w:numId="10">
    <w:abstractNumId w:val="22"/>
  </w:num>
  <w:num w:numId="11">
    <w:abstractNumId w:val="25"/>
  </w:num>
  <w:num w:numId="12">
    <w:abstractNumId w:val="31"/>
  </w:num>
  <w:num w:numId="13">
    <w:abstractNumId w:val="12"/>
  </w:num>
  <w:num w:numId="14">
    <w:abstractNumId w:val="26"/>
  </w:num>
  <w:num w:numId="15">
    <w:abstractNumId w:val="14"/>
  </w:num>
  <w:num w:numId="16">
    <w:abstractNumId w:val="2"/>
  </w:num>
  <w:num w:numId="17">
    <w:abstractNumId w:val="5"/>
  </w:num>
  <w:num w:numId="18">
    <w:abstractNumId w:val="15"/>
  </w:num>
  <w:num w:numId="19">
    <w:abstractNumId w:val="17"/>
  </w:num>
  <w:num w:numId="20">
    <w:abstractNumId w:val="4"/>
  </w:num>
  <w:num w:numId="21">
    <w:abstractNumId w:val="1"/>
  </w:num>
  <w:num w:numId="22">
    <w:abstractNumId w:val="28"/>
  </w:num>
  <w:num w:numId="23">
    <w:abstractNumId w:val="32"/>
  </w:num>
  <w:num w:numId="24">
    <w:abstractNumId w:val="20"/>
  </w:num>
  <w:num w:numId="25">
    <w:abstractNumId w:val="8"/>
  </w:num>
  <w:num w:numId="26">
    <w:abstractNumId w:val="9"/>
  </w:num>
  <w:num w:numId="27">
    <w:abstractNumId w:val="18"/>
  </w:num>
  <w:num w:numId="28">
    <w:abstractNumId w:val="3"/>
  </w:num>
  <w:num w:numId="29">
    <w:abstractNumId w:val="21"/>
  </w:num>
  <w:num w:numId="30">
    <w:abstractNumId w:val="29"/>
  </w:num>
  <w:num w:numId="31">
    <w:abstractNumId w:val="10"/>
  </w:num>
  <w:num w:numId="32">
    <w:abstractNumId w:val="23"/>
  </w:num>
  <w:num w:numId="33">
    <w:abstractNumId w:val="6"/>
  </w:num>
  <w:num w:numId="34">
    <w:abstractNumId w:val="0"/>
  </w:num>
  <w:num w:numId="35">
    <w:abstractNumId w:val="16"/>
  </w:num>
  <w:num w:numId="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457"/>
    <w:rsid w:val="00050D5D"/>
    <w:rsid w:val="00073E22"/>
    <w:rsid w:val="00074AC5"/>
    <w:rsid w:val="000A70B3"/>
    <w:rsid w:val="000F162C"/>
    <w:rsid w:val="00105108"/>
    <w:rsid w:val="00111242"/>
    <w:rsid w:val="00120224"/>
    <w:rsid w:val="001735A0"/>
    <w:rsid w:val="001849A8"/>
    <w:rsid w:val="001D4869"/>
    <w:rsid w:val="001E0DB7"/>
    <w:rsid w:val="001F7550"/>
    <w:rsid w:val="00207084"/>
    <w:rsid w:val="0024013B"/>
    <w:rsid w:val="002A6019"/>
    <w:rsid w:val="003060B3"/>
    <w:rsid w:val="00310D14"/>
    <w:rsid w:val="00310FBF"/>
    <w:rsid w:val="00360F4C"/>
    <w:rsid w:val="00365921"/>
    <w:rsid w:val="00377457"/>
    <w:rsid w:val="00391DC5"/>
    <w:rsid w:val="003A0EB0"/>
    <w:rsid w:val="003E07D5"/>
    <w:rsid w:val="003E4D24"/>
    <w:rsid w:val="00422F6B"/>
    <w:rsid w:val="004239C5"/>
    <w:rsid w:val="00435EC1"/>
    <w:rsid w:val="00454DA5"/>
    <w:rsid w:val="004735B8"/>
    <w:rsid w:val="00477D0F"/>
    <w:rsid w:val="004A2D98"/>
    <w:rsid w:val="004B16C2"/>
    <w:rsid w:val="004E5D73"/>
    <w:rsid w:val="00505D51"/>
    <w:rsid w:val="00525982"/>
    <w:rsid w:val="00560252"/>
    <w:rsid w:val="0056466D"/>
    <w:rsid w:val="0057732C"/>
    <w:rsid w:val="00580511"/>
    <w:rsid w:val="00580927"/>
    <w:rsid w:val="005B528B"/>
    <w:rsid w:val="00611B4D"/>
    <w:rsid w:val="00611DCF"/>
    <w:rsid w:val="006142D8"/>
    <w:rsid w:val="00620F80"/>
    <w:rsid w:val="00637B45"/>
    <w:rsid w:val="006608E6"/>
    <w:rsid w:val="0066119F"/>
    <w:rsid w:val="0066724C"/>
    <w:rsid w:val="00691CE2"/>
    <w:rsid w:val="00742DFC"/>
    <w:rsid w:val="00765A94"/>
    <w:rsid w:val="007A3EF1"/>
    <w:rsid w:val="007B1BA5"/>
    <w:rsid w:val="007C2751"/>
    <w:rsid w:val="007C68A2"/>
    <w:rsid w:val="0080570D"/>
    <w:rsid w:val="00842EEA"/>
    <w:rsid w:val="0085005C"/>
    <w:rsid w:val="00863BFE"/>
    <w:rsid w:val="008A539C"/>
    <w:rsid w:val="008C449F"/>
    <w:rsid w:val="008F507C"/>
    <w:rsid w:val="009324E1"/>
    <w:rsid w:val="009414AA"/>
    <w:rsid w:val="009A2E53"/>
    <w:rsid w:val="009B7BD3"/>
    <w:rsid w:val="009C3DB1"/>
    <w:rsid w:val="009E172E"/>
    <w:rsid w:val="00A01599"/>
    <w:rsid w:val="00A247EA"/>
    <w:rsid w:val="00A42E80"/>
    <w:rsid w:val="00A71F02"/>
    <w:rsid w:val="00A87219"/>
    <w:rsid w:val="00AC1B5A"/>
    <w:rsid w:val="00AF169E"/>
    <w:rsid w:val="00AF1EE8"/>
    <w:rsid w:val="00AF2043"/>
    <w:rsid w:val="00AF29FD"/>
    <w:rsid w:val="00AF545A"/>
    <w:rsid w:val="00B1024E"/>
    <w:rsid w:val="00B45EA0"/>
    <w:rsid w:val="00B46132"/>
    <w:rsid w:val="00B568F0"/>
    <w:rsid w:val="00B84B9E"/>
    <w:rsid w:val="00BA0A02"/>
    <w:rsid w:val="00BB0502"/>
    <w:rsid w:val="00BB0626"/>
    <w:rsid w:val="00BB7394"/>
    <w:rsid w:val="00BC3F9B"/>
    <w:rsid w:val="00BD07EE"/>
    <w:rsid w:val="00BE47C9"/>
    <w:rsid w:val="00C12505"/>
    <w:rsid w:val="00D614D1"/>
    <w:rsid w:val="00DA3728"/>
    <w:rsid w:val="00DA4E32"/>
    <w:rsid w:val="00DA7682"/>
    <w:rsid w:val="00DD23B1"/>
    <w:rsid w:val="00DF6DD7"/>
    <w:rsid w:val="00E05B6F"/>
    <w:rsid w:val="00E3437C"/>
    <w:rsid w:val="00E74224"/>
    <w:rsid w:val="00ED4A5C"/>
    <w:rsid w:val="00F00927"/>
    <w:rsid w:val="00F104FF"/>
    <w:rsid w:val="00F2760D"/>
    <w:rsid w:val="00F3320D"/>
    <w:rsid w:val="00F9781D"/>
    <w:rsid w:val="00FA4C3C"/>
    <w:rsid w:val="00FB53D5"/>
    <w:rsid w:val="00FC1828"/>
    <w:rsid w:val="00FD1057"/>
    <w:rsid w:val="00FD56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38FCB0"/>
  <w15:chartTrackingRefBased/>
  <w15:docId w15:val="{AD2D3D74-3C4E-4460-AE6C-4B2510A38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745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7745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77457"/>
    <w:pPr>
      <w:ind w:left="720"/>
      <w:contextualSpacing/>
    </w:pPr>
  </w:style>
  <w:style w:type="character" w:customStyle="1" w:styleId="Heading2Char">
    <w:name w:val="Heading 2 Char"/>
    <w:basedOn w:val="DefaultParagraphFont"/>
    <w:link w:val="Heading2"/>
    <w:uiPriority w:val="9"/>
    <w:rsid w:val="00377457"/>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377457"/>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377457"/>
    <w:pPr>
      <w:spacing w:after="0" w:line="240" w:lineRule="auto"/>
    </w:pPr>
  </w:style>
  <w:style w:type="character" w:styleId="Strong">
    <w:name w:val="Strong"/>
    <w:basedOn w:val="DefaultParagraphFont"/>
    <w:uiPriority w:val="22"/>
    <w:qFormat/>
    <w:rsid w:val="00377457"/>
    <w:rPr>
      <w:b/>
      <w:bCs/>
    </w:rPr>
  </w:style>
  <w:style w:type="paragraph" w:styleId="Quote">
    <w:name w:val="Quote"/>
    <w:basedOn w:val="Normal"/>
    <w:next w:val="Normal"/>
    <w:link w:val="QuoteChar"/>
    <w:uiPriority w:val="29"/>
    <w:qFormat/>
    <w:rsid w:val="0037745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377457"/>
    <w:rPr>
      <w:i/>
      <w:iCs/>
      <w:color w:val="404040" w:themeColor="text1" w:themeTint="BF"/>
    </w:rPr>
  </w:style>
  <w:style w:type="character" w:styleId="Emphasis">
    <w:name w:val="Emphasis"/>
    <w:basedOn w:val="DefaultParagraphFont"/>
    <w:uiPriority w:val="20"/>
    <w:qFormat/>
    <w:rsid w:val="00377457"/>
    <w:rPr>
      <w:i/>
      <w:iCs/>
    </w:rPr>
  </w:style>
  <w:style w:type="paragraph" w:styleId="Header">
    <w:name w:val="header"/>
    <w:basedOn w:val="Normal"/>
    <w:link w:val="HeaderChar"/>
    <w:uiPriority w:val="99"/>
    <w:unhideWhenUsed/>
    <w:rsid w:val="003774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7457"/>
  </w:style>
  <w:style w:type="paragraph" w:styleId="Footer">
    <w:name w:val="footer"/>
    <w:basedOn w:val="Normal"/>
    <w:link w:val="FooterChar"/>
    <w:uiPriority w:val="99"/>
    <w:unhideWhenUsed/>
    <w:rsid w:val="003774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7457"/>
  </w:style>
  <w:style w:type="character" w:styleId="SubtleEmphasis">
    <w:name w:val="Subtle Emphasis"/>
    <w:basedOn w:val="DefaultParagraphFont"/>
    <w:uiPriority w:val="19"/>
    <w:qFormat/>
    <w:rsid w:val="000F162C"/>
    <w:rPr>
      <w:i/>
      <w:iCs/>
      <w:color w:val="404040" w:themeColor="text1" w:themeTint="BF"/>
    </w:rPr>
  </w:style>
  <w:style w:type="paragraph" w:styleId="EndnoteText">
    <w:name w:val="endnote text"/>
    <w:basedOn w:val="Normal"/>
    <w:link w:val="EndnoteTextChar"/>
    <w:uiPriority w:val="99"/>
    <w:semiHidden/>
    <w:unhideWhenUsed/>
    <w:rsid w:val="00C1250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12505"/>
    <w:rPr>
      <w:sz w:val="20"/>
      <w:szCs w:val="20"/>
    </w:rPr>
  </w:style>
  <w:style w:type="character" w:styleId="EndnoteReference">
    <w:name w:val="endnote reference"/>
    <w:basedOn w:val="DefaultParagraphFont"/>
    <w:uiPriority w:val="99"/>
    <w:semiHidden/>
    <w:unhideWhenUsed/>
    <w:rsid w:val="00C12505"/>
    <w:rPr>
      <w:vertAlign w:val="superscript"/>
    </w:rPr>
  </w:style>
  <w:style w:type="paragraph" w:styleId="FootnoteText">
    <w:name w:val="footnote text"/>
    <w:aliases w:val="single space,ft,ALTS FOOTNOTE,ADB,FOOTNOTES,fn,Footnote Text Char Char Char,Footnote Text1 Char,Footnote Text2,Footnote Text Char Char Char1 Char,Footnote Text Char Char Char1,Footnote Text1,Footnote Text Char2,Footnote Text Char Char1,5_G"/>
    <w:basedOn w:val="Normal"/>
    <w:link w:val="FootnoteTextChar"/>
    <w:uiPriority w:val="99"/>
    <w:unhideWhenUsed/>
    <w:qFormat/>
    <w:rsid w:val="00C12505"/>
    <w:pPr>
      <w:spacing w:after="0" w:line="240" w:lineRule="auto"/>
    </w:pPr>
    <w:rPr>
      <w:sz w:val="20"/>
      <w:szCs w:val="20"/>
    </w:rPr>
  </w:style>
  <w:style w:type="character" w:customStyle="1" w:styleId="FootnoteTextChar">
    <w:name w:val="Footnote Text Char"/>
    <w:aliases w:val="single space Char,ft Char,ALTS FOOTNOTE Char,ADB Char,FOOTNOTES Char,fn Char,Footnote Text Char Char Char Char,Footnote Text1 Char Char,Footnote Text2 Char,Footnote Text Char Char Char1 Char Char,Footnote Text Char Char Char1 Char1"/>
    <w:basedOn w:val="DefaultParagraphFont"/>
    <w:link w:val="FootnoteText"/>
    <w:uiPriority w:val="99"/>
    <w:rsid w:val="00C12505"/>
    <w:rPr>
      <w:sz w:val="20"/>
      <w:szCs w:val="20"/>
    </w:rPr>
  </w:style>
  <w:style w:type="character" w:styleId="FootnoteReference">
    <w:name w:val="footnote reference"/>
    <w:aliases w:val="ftref,16 Point,Superscript 6 Point,Footnote Reference1,Footnotes refss,Carattere Char1,Carattere Char Char Carattere Carattere Char Char,Error-Fußnotenzeichen5,Error-Fußnotenzeichen6,Error-Fußnotenzeichen3,16 Point Char,BVI fnr Char"/>
    <w:basedOn w:val="DefaultParagraphFont"/>
    <w:link w:val="BVIfnrCarattereCarZchnChar"/>
    <w:uiPriority w:val="99"/>
    <w:unhideWhenUsed/>
    <w:qFormat/>
    <w:rsid w:val="00C12505"/>
    <w:rPr>
      <w:vertAlign w:val="superscript"/>
    </w:rPr>
  </w:style>
  <w:style w:type="paragraph" w:customStyle="1" w:styleId="UNHCRbulletpoint">
    <w:name w:val="UNHCR_bullet_point"/>
    <w:basedOn w:val="Normal"/>
    <w:link w:val="UNHCRbulletpointChar"/>
    <w:qFormat/>
    <w:rsid w:val="003E4D24"/>
    <w:pPr>
      <w:numPr>
        <w:numId w:val="9"/>
      </w:numPr>
      <w:spacing w:before="100" w:after="100" w:line="240" w:lineRule="auto"/>
    </w:pPr>
    <w:rPr>
      <w:rFonts w:ascii="Calibri" w:eastAsia="Calibri" w:hAnsi="Calibri" w:cs="Times New Roman"/>
      <w:color w:val="404040"/>
      <w:lang w:val="en-US"/>
    </w:rPr>
  </w:style>
  <w:style w:type="character" w:customStyle="1" w:styleId="UNHCRbulletpointChar">
    <w:name w:val="UNHCR_bullet_point Char"/>
    <w:link w:val="UNHCRbulletpoint"/>
    <w:rsid w:val="003E4D24"/>
    <w:rPr>
      <w:rFonts w:ascii="Calibri" w:eastAsia="Calibri" w:hAnsi="Calibri" w:cs="Times New Roman"/>
      <w:color w:val="404040"/>
      <w:lang w:val="en-US"/>
    </w:rPr>
  </w:style>
  <w:style w:type="character" w:styleId="IntenseEmphasis">
    <w:name w:val="Intense Emphasis"/>
    <w:basedOn w:val="DefaultParagraphFont"/>
    <w:uiPriority w:val="21"/>
    <w:qFormat/>
    <w:rsid w:val="003E4D24"/>
    <w:rPr>
      <w:i/>
      <w:iCs/>
      <w:color w:val="5B9BD5" w:themeColor="accent1"/>
    </w:rPr>
  </w:style>
  <w:style w:type="paragraph" w:customStyle="1" w:styleId="ColorfulList-Accent11">
    <w:name w:val="Colorful List - Accent 11"/>
    <w:basedOn w:val="Normal"/>
    <w:uiPriority w:val="34"/>
    <w:qFormat/>
    <w:rsid w:val="00842EEA"/>
    <w:pPr>
      <w:spacing w:after="200" w:line="276" w:lineRule="auto"/>
      <w:ind w:left="720"/>
    </w:pPr>
    <w:rPr>
      <w:rFonts w:ascii="Calibri" w:eastAsia="Calibri" w:hAnsi="Calibri" w:cs="Calibri"/>
      <w:lang w:val="en-US"/>
    </w:rPr>
  </w:style>
  <w:style w:type="character" w:customStyle="1" w:styleId="ListParagraphChar">
    <w:name w:val="List Paragraph Char"/>
    <w:link w:val="ListParagraph"/>
    <w:uiPriority w:val="34"/>
    <w:rsid w:val="00842EEA"/>
  </w:style>
  <w:style w:type="paragraph" w:styleId="BalloonText">
    <w:name w:val="Balloon Text"/>
    <w:basedOn w:val="Normal"/>
    <w:link w:val="BalloonTextChar"/>
    <w:uiPriority w:val="99"/>
    <w:semiHidden/>
    <w:unhideWhenUsed/>
    <w:rsid w:val="00842E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2EEA"/>
    <w:rPr>
      <w:rFonts w:ascii="Segoe UI" w:hAnsi="Segoe UI" w:cs="Segoe UI"/>
      <w:sz w:val="18"/>
      <w:szCs w:val="18"/>
    </w:rPr>
  </w:style>
  <w:style w:type="character" w:styleId="CommentReference">
    <w:name w:val="annotation reference"/>
    <w:basedOn w:val="DefaultParagraphFont"/>
    <w:uiPriority w:val="99"/>
    <w:semiHidden/>
    <w:unhideWhenUsed/>
    <w:rsid w:val="00842EEA"/>
    <w:rPr>
      <w:sz w:val="16"/>
      <w:szCs w:val="16"/>
    </w:rPr>
  </w:style>
  <w:style w:type="paragraph" w:styleId="CommentText">
    <w:name w:val="annotation text"/>
    <w:basedOn w:val="Normal"/>
    <w:link w:val="CommentTextChar"/>
    <w:uiPriority w:val="99"/>
    <w:semiHidden/>
    <w:unhideWhenUsed/>
    <w:rsid w:val="00842EEA"/>
    <w:pPr>
      <w:spacing w:line="240" w:lineRule="auto"/>
    </w:pPr>
    <w:rPr>
      <w:sz w:val="20"/>
      <w:szCs w:val="20"/>
    </w:rPr>
  </w:style>
  <w:style w:type="character" w:customStyle="1" w:styleId="CommentTextChar">
    <w:name w:val="Comment Text Char"/>
    <w:basedOn w:val="DefaultParagraphFont"/>
    <w:link w:val="CommentText"/>
    <w:uiPriority w:val="99"/>
    <w:semiHidden/>
    <w:rsid w:val="00842EEA"/>
    <w:rPr>
      <w:sz w:val="20"/>
      <w:szCs w:val="20"/>
    </w:rPr>
  </w:style>
  <w:style w:type="paragraph" w:styleId="CommentSubject">
    <w:name w:val="annotation subject"/>
    <w:basedOn w:val="CommentText"/>
    <w:next w:val="CommentText"/>
    <w:link w:val="CommentSubjectChar"/>
    <w:uiPriority w:val="99"/>
    <w:semiHidden/>
    <w:unhideWhenUsed/>
    <w:rsid w:val="00842EEA"/>
    <w:rPr>
      <w:b/>
      <w:bCs/>
    </w:rPr>
  </w:style>
  <w:style w:type="character" w:customStyle="1" w:styleId="CommentSubjectChar">
    <w:name w:val="Comment Subject Char"/>
    <w:basedOn w:val="CommentTextChar"/>
    <w:link w:val="CommentSubject"/>
    <w:uiPriority w:val="99"/>
    <w:semiHidden/>
    <w:rsid w:val="00842EEA"/>
    <w:rPr>
      <w:b/>
      <w:bCs/>
      <w:sz w:val="20"/>
      <w:szCs w:val="20"/>
    </w:rPr>
  </w:style>
  <w:style w:type="paragraph" w:styleId="Revision">
    <w:name w:val="Revision"/>
    <w:hidden/>
    <w:uiPriority w:val="99"/>
    <w:semiHidden/>
    <w:rsid w:val="00A01599"/>
    <w:pPr>
      <w:spacing w:after="0" w:line="240" w:lineRule="auto"/>
    </w:pPr>
  </w:style>
  <w:style w:type="table" w:styleId="TableGrid">
    <w:name w:val="Table Grid"/>
    <w:basedOn w:val="TableNormal"/>
    <w:uiPriority w:val="39"/>
    <w:rsid w:val="005773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VIfnrCarattereCarZchnChar">
    <w:name w:val="BVI fnr Carattere Car Zchn Char"/>
    <w:aliases w:val="BVI fnr Car Car Carattere Car Zchn Char,BVI fnr Car Carattere Car Zchn Char,BVI fnr Car Car Car Car Carattere Car Zchn Char,BVI fnr Carattere Car Char"/>
    <w:basedOn w:val="Normal"/>
    <w:link w:val="FootnoteReference"/>
    <w:uiPriority w:val="99"/>
    <w:rsid w:val="00F2760D"/>
    <w:pPr>
      <w:spacing w:line="240" w:lineRule="exact"/>
    </w:pPr>
    <w:rPr>
      <w:vertAlign w:val="superscript"/>
    </w:rPr>
  </w:style>
  <w:style w:type="character" w:styleId="Hyperlink">
    <w:name w:val="Hyperlink"/>
    <w:basedOn w:val="DefaultParagraphFont"/>
    <w:uiPriority w:val="99"/>
    <w:semiHidden/>
    <w:unhideWhenUsed/>
    <w:rsid w:val="00D614D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1879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B516D1-6902-411E-9EED-5D17CE96AA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2548</Words>
  <Characters>14530</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UNHCR</Company>
  <LinksUpToDate>false</LinksUpToDate>
  <CharactersWithSpaces>17044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Kerre</dc:creator>
  <cp:keywords/>
  <dc:description/>
  <cp:lastModifiedBy>Anna Gawn</cp:lastModifiedBy>
  <cp:revision>2</cp:revision>
  <dcterms:created xsi:type="dcterms:W3CDTF">2020-01-23T12:40:00Z</dcterms:created>
  <dcterms:modified xsi:type="dcterms:W3CDTF">2020-01-23T12:40:00Z</dcterms:modified>
</cp:coreProperties>
</file>