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C9E4F" w14:textId="77777777" w:rsidR="009E6679" w:rsidRPr="00C82577" w:rsidRDefault="009E6679" w:rsidP="00330311">
      <w:pPr>
        <w:tabs>
          <w:tab w:val="left" w:pos="360"/>
          <w:tab w:val="left" w:pos="720"/>
          <w:tab w:val="left" w:pos="1080"/>
          <w:tab w:val="left" w:pos="1440"/>
          <w:tab w:val="left" w:pos="1800"/>
          <w:tab w:val="left" w:pos="2160"/>
        </w:tabs>
        <w:jc w:val="both"/>
        <w:rPr>
          <w:rFonts w:ascii="Calibri" w:hAnsi="Calibri"/>
          <w:b/>
          <w:color w:val="2E74B5" w:themeColor="accent5" w:themeShade="BF"/>
          <w:sz w:val="28"/>
          <w:szCs w:val="28"/>
          <w:lang w:val="en-GB"/>
        </w:rPr>
      </w:pPr>
      <w:bookmarkStart w:id="0" w:name="_GoBack"/>
      <w:bookmarkEnd w:id="0"/>
      <w:r w:rsidRPr="00C82577">
        <w:rPr>
          <w:rFonts w:ascii="Calibri" w:hAnsi="Calibri"/>
          <w:b/>
          <w:color w:val="2E74B5" w:themeColor="accent5" w:themeShade="BF"/>
          <w:sz w:val="28"/>
          <w:szCs w:val="28"/>
          <w:lang w:val="en-GB"/>
        </w:rPr>
        <w:t>Practical Guidance for Transfer of Cases</w:t>
      </w:r>
    </w:p>
    <w:p w14:paraId="77C1E887" w14:textId="77777777" w:rsidR="009E6679" w:rsidRPr="00C82577" w:rsidRDefault="009E6679" w:rsidP="00330311">
      <w:pPr>
        <w:tabs>
          <w:tab w:val="left" w:pos="360"/>
          <w:tab w:val="left" w:pos="720"/>
          <w:tab w:val="left" w:pos="1080"/>
          <w:tab w:val="left" w:pos="1440"/>
          <w:tab w:val="left" w:pos="1800"/>
          <w:tab w:val="left" w:pos="2160"/>
        </w:tabs>
        <w:ind w:left="360"/>
        <w:jc w:val="both"/>
        <w:rPr>
          <w:rFonts w:ascii="Calibri" w:hAnsi="Calibri"/>
          <w:b/>
          <w:color w:val="2E74B5" w:themeColor="accent5" w:themeShade="BF"/>
          <w:sz w:val="22"/>
          <w:szCs w:val="22"/>
          <w:lang w:val="en-GB"/>
        </w:rPr>
      </w:pPr>
    </w:p>
    <w:p w14:paraId="65028D35" w14:textId="77777777" w:rsidR="009E6679" w:rsidRDefault="009E6679" w:rsidP="00330311">
      <w:pPr>
        <w:tabs>
          <w:tab w:val="left" w:pos="360"/>
          <w:tab w:val="left" w:pos="720"/>
          <w:tab w:val="left" w:pos="1080"/>
          <w:tab w:val="left" w:pos="1440"/>
          <w:tab w:val="left" w:pos="1800"/>
          <w:tab w:val="left" w:pos="2160"/>
        </w:tabs>
        <w:jc w:val="both"/>
        <w:rPr>
          <w:rFonts w:ascii="Calibri" w:hAnsi="Calibri"/>
          <w:b/>
          <w:color w:val="2E74B5" w:themeColor="accent5" w:themeShade="BF"/>
          <w:sz w:val="22"/>
          <w:szCs w:val="22"/>
          <w:lang w:val="en-GB"/>
        </w:rPr>
      </w:pPr>
      <w:r w:rsidRPr="00C82577">
        <w:rPr>
          <w:rFonts w:ascii="Calibri" w:hAnsi="Calibri"/>
          <w:b/>
          <w:color w:val="2E74B5" w:themeColor="accent5" w:themeShade="BF"/>
          <w:sz w:val="22"/>
          <w:szCs w:val="22"/>
          <w:lang w:val="en-GB"/>
        </w:rPr>
        <w:t>Introduction</w:t>
      </w:r>
    </w:p>
    <w:p w14:paraId="48670905" w14:textId="77777777" w:rsidR="00C82577" w:rsidRPr="00C82577" w:rsidRDefault="00C82577" w:rsidP="00330311">
      <w:pPr>
        <w:tabs>
          <w:tab w:val="left" w:pos="360"/>
          <w:tab w:val="left" w:pos="720"/>
          <w:tab w:val="left" w:pos="1080"/>
          <w:tab w:val="left" w:pos="1440"/>
          <w:tab w:val="left" w:pos="1800"/>
          <w:tab w:val="left" w:pos="2160"/>
        </w:tabs>
        <w:jc w:val="both"/>
        <w:rPr>
          <w:rFonts w:ascii="Calibri" w:hAnsi="Calibri"/>
          <w:b/>
          <w:color w:val="2E74B5" w:themeColor="accent5" w:themeShade="BF"/>
          <w:sz w:val="22"/>
          <w:szCs w:val="22"/>
          <w:lang w:val="en-GB"/>
        </w:rPr>
      </w:pPr>
    </w:p>
    <w:p w14:paraId="2DF0285C" w14:textId="3429E91F" w:rsidR="009E6679" w:rsidRPr="00C82577" w:rsidRDefault="009E6679" w:rsidP="00330311">
      <w:pPr>
        <w:jc w:val="both"/>
        <w:rPr>
          <w:rFonts w:ascii="Calibri" w:hAnsi="Calibri"/>
          <w:sz w:val="22"/>
          <w:szCs w:val="22"/>
        </w:rPr>
      </w:pPr>
      <w:r w:rsidRPr="00C82577">
        <w:rPr>
          <w:rFonts w:ascii="Calibri" w:hAnsi="Calibri"/>
          <w:sz w:val="22"/>
          <w:szCs w:val="22"/>
        </w:rPr>
        <w:t xml:space="preserve">The following document provides information for all actors providing </w:t>
      </w:r>
      <w:r w:rsidR="0080334E">
        <w:rPr>
          <w:rFonts w:ascii="Calibri" w:hAnsi="Calibri"/>
          <w:sz w:val="22"/>
          <w:szCs w:val="22"/>
        </w:rPr>
        <w:t>Child Protection</w:t>
      </w:r>
      <w:r w:rsidR="0080334E" w:rsidRPr="00C82577">
        <w:rPr>
          <w:rFonts w:ascii="Calibri" w:hAnsi="Calibri"/>
          <w:sz w:val="22"/>
          <w:szCs w:val="22"/>
        </w:rPr>
        <w:t xml:space="preserve"> </w:t>
      </w:r>
      <w:r w:rsidRPr="00C82577">
        <w:rPr>
          <w:rFonts w:ascii="Calibri" w:hAnsi="Calibri"/>
          <w:sz w:val="22"/>
          <w:szCs w:val="22"/>
        </w:rPr>
        <w:t xml:space="preserve">Case Management services for refugees and migrant children </w:t>
      </w:r>
      <w:r w:rsidR="00F573D5" w:rsidRPr="00C82577">
        <w:rPr>
          <w:rFonts w:ascii="Calibri" w:hAnsi="Calibri"/>
          <w:sz w:val="22"/>
          <w:szCs w:val="22"/>
        </w:rPr>
        <w:t>across Greece</w:t>
      </w:r>
      <w:r w:rsidRPr="00C82577">
        <w:rPr>
          <w:rFonts w:ascii="Calibri" w:hAnsi="Calibri"/>
          <w:sz w:val="22"/>
          <w:szCs w:val="22"/>
        </w:rPr>
        <w:t>, in the event cases are transferred from one agency to the other.</w:t>
      </w:r>
    </w:p>
    <w:p w14:paraId="71491FCB" w14:textId="77777777" w:rsidR="009E6679" w:rsidRPr="00C82577" w:rsidRDefault="009E6679" w:rsidP="00330311">
      <w:pPr>
        <w:jc w:val="both"/>
        <w:rPr>
          <w:rFonts w:ascii="Calibri" w:hAnsi="Calibri"/>
          <w:sz w:val="22"/>
          <w:szCs w:val="22"/>
        </w:rPr>
      </w:pPr>
    </w:p>
    <w:p w14:paraId="1D55AECD" w14:textId="2A2F9CE2" w:rsidR="003B6F00" w:rsidRPr="00C82577" w:rsidRDefault="009E6679" w:rsidP="00330311">
      <w:pPr>
        <w:jc w:val="both"/>
        <w:rPr>
          <w:rFonts w:ascii="Calibri" w:hAnsi="Calibri"/>
          <w:sz w:val="22"/>
          <w:szCs w:val="22"/>
        </w:rPr>
      </w:pPr>
      <w:r w:rsidRPr="00C82577">
        <w:rPr>
          <w:rFonts w:ascii="Calibri" w:hAnsi="Calibri"/>
          <w:sz w:val="22"/>
          <w:szCs w:val="22"/>
        </w:rPr>
        <w:t>The purpose of the document is to ensure that the transfer happens timely, that all information and documentation regarding the case is shared with the receiving agency, with the consent/assent of the child and/or caregiver and maintaining confidentiality, to ensure that the child continues to receive the necessary support with minimal disruption of services.</w:t>
      </w:r>
    </w:p>
    <w:p w14:paraId="7B1FB248" w14:textId="77777777" w:rsidR="00016B9D" w:rsidRPr="00C82577" w:rsidRDefault="00016B9D" w:rsidP="00330311">
      <w:pPr>
        <w:jc w:val="both"/>
        <w:rPr>
          <w:rFonts w:ascii="Calibri" w:hAnsi="Calibri"/>
          <w:sz w:val="22"/>
          <w:szCs w:val="22"/>
        </w:rPr>
      </w:pPr>
    </w:p>
    <w:p w14:paraId="0A075CC2" w14:textId="77777777" w:rsidR="00016B9D" w:rsidRPr="00C82577" w:rsidRDefault="00016B9D" w:rsidP="00330311">
      <w:pPr>
        <w:pStyle w:val="ListParagraph"/>
        <w:numPr>
          <w:ilvl w:val="0"/>
          <w:numId w:val="1"/>
        </w:numPr>
        <w:jc w:val="both"/>
        <w:rPr>
          <w:rFonts w:ascii="Calibri" w:hAnsi="Calibri"/>
          <w:b/>
          <w:color w:val="2E74B5" w:themeColor="accent5" w:themeShade="BF"/>
          <w:sz w:val="22"/>
          <w:szCs w:val="22"/>
          <w:lang w:val="en-GB"/>
        </w:rPr>
      </w:pPr>
      <w:r w:rsidRPr="00C82577">
        <w:rPr>
          <w:rFonts w:ascii="Calibri" w:hAnsi="Calibri"/>
          <w:b/>
          <w:color w:val="2E74B5" w:themeColor="accent5" w:themeShade="BF"/>
          <w:sz w:val="22"/>
          <w:szCs w:val="22"/>
          <w:lang w:val="en-GB"/>
        </w:rPr>
        <w:t xml:space="preserve">                Key Definitions and Guiding Principles</w:t>
      </w:r>
    </w:p>
    <w:p w14:paraId="577E47D5" w14:textId="77777777" w:rsidR="00016B9D" w:rsidRPr="00C82577" w:rsidRDefault="00016B9D" w:rsidP="00330311">
      <w:pPr>
        <w:jc w:val="both"/>
        <w:rPr>
          <w:rFonts w:ascii="Calibri" w:hAnsi="Calibri"/>
          <w:sz w:val="22"/>
          <w:szCs w:val="22"/>
        </w:rPr>
      </w:pPr>
    </w:p>
    <w:p w14:paraId="138877BF" w14:textId="77777777" w:rsidR="00642020" w:rsidRPr="00C82577" w:rsidRDefault="00642020" w:rsidP="00330311">
      <w:pPr>
        <w:jc w:val="both"/>
        <w:rPr>
          <w:rFonts w:ascii="Calibri" w:hAnsi="Calibri"/>
          <w:b/>
          <w:sz w:val="22"/>
          <w:szCs w:val="22"/>
        </w:rPr>
      </w:pPr>
      <w:r w:rsidRPr="00C82577">
        <w:rPr>
          <w:rFonts w:ascii="Calibri" w:hAnsi="Calibri"/>
          <w:b/>
          <w:sz w:val="22"/>
          <w:szCs w:val="22"/>
        </w:rPr>
        <w:t>Case transfer</w:t>
      </w:r>
    </w:p>
    <w:p w14:paraId="5ACEF297" w14:textId="366BD49F" w:rsidR="00D330F2" w:rsidRPr="00891E9E" w:rsidRDefault="00D330F2" w:rsidP="00330311">
      <w:pPr>
        <w:tabs>
          <w:tab w:val="left" w:pos="360"/>
          <w:tab w:val="left" w:pos="720"/>
          <w:tab w:val="left" w:pos="1080"/>
        </w:tabs>
        <w:jc w:val="both"/>
        <w:rPr>
          <w:rFonts w:asciiTheme="minorHAnsi" w:hAnsiTheme="minorHAnsi" w:cs="Arial"/>
          <w:sz w:val="22"/>
          <w:szCs w:val="22"/>
          <w:lang w:val="en-GB"/>
        </w:rPr>
      </w:pPr>
      <w:r w:rsidRPr="00891E9E">
        <w:rPr>
          <w:rFonts w:asciiTheme="minorHAnsi" w:hAnsiTheme="minorHAnsi" w:cs="Arial"/>
          <w:sz w:val="22"/>
          <w:szCs w:val="22"/>
          <w:lang w:val="en-GB"/>
        </w:rPr>
        <w:t xml:space="preserve">The transfer of a case indicates that the full responsibility for coordination of the case plan, follow up and monitoring of the child is being handed over to another agency or department. This is often appropriate when a child moves but still requires support to ensure </w:t>
      </w:r>
      <w:r w:rsidR="00B33F7A">
        <w:rPr>
          <w:rFonts w:asciiTheme="minorHAnsi" w:hAnsiTheme="minorHAnsi" w:cs="Arial"/>
          <w:sz w:val="22"/>
          <w:szCs w:val="22"/>
          <w:lang w:val="en-GB"/>
        </w:rPr>
        <w:t xml:space="preserve">his/her </w:t>
      </w:r>
      <w:r w:rsidRPr="00891E9E">
        <w:rPr>
          <w:rFonts w:asciiTheme="minorHAnsi" w:hAnsiTheme="minorHAnsi" w:cs="Arial"/>
          <w:sz w:val="22"/>
          <w:szCs w:val="22"/>
          <w:lang w:val="en-GB"/>
        </w:rPr>
        <w:t xml:space="preserve">protection. When transferring a case, caseworkers, supervisors and managers will need to put in place a clear plan for hand-over to the receiving agency, and clearly communicate this to the child and </w:t>
      </w:r>
      <w:r w:rsidR="0023006C">
        <w:rPr>
          <w:rFonts w:asciiTheme="minorHAnsi" w:hAnsiTheme="minorHAnsi" w:cs="Arial"/>
          <w:sz w:val="22"/>
          <w:szCs w:val="22"/>
          <w:lang w:val="en-GB"/>
        </w:rPr>
        <w:t>his/her</w:t>
      </w:r>
      <w:r w:rsidR="0023006C" w:rsidRPr="00891E9E">
        <w:rPr>
          <w:rFonts w:asciiTheme="minorHAnsi" w:hAnsiTheme="minorHAnsi" w:cs="Arial"/>
          <w:sz w:val="22"/>
          <w:szCs w:val="22"/>
          <w:lang w:val="en-GB"/>
        </w:rPr>
        <w:t xml:space="preserve"> </w:t>
      </w:r>
      <w:r w:rsidRPr="00891E9E">
        <w:rPr>
          <w:rFonts w:asciiTheme="minorHAnsi" w:hAnsiTheme="minorHAnsi" w:cs="Arial"/>
          <w:sz w:val="22"/>
          <w:szCs w:val="22"/>
          <w:lang w:val="en-GB"/>
        </w:rPr>
        <w:t xml:space="preserve">family.  </w:t>
      </w:r>
    </w:p>
    <w:p w14:paraId="503D7447" w14:textId="77777777" w:rsidR="00D330F2" w:rsidRPr="00891E9E" w:rsidRDefault="00D330F2" w:rsidP="00330311">
      <w:pPr>
        <w:tabs>
          <w:tab w:val="left" w:pos="360"/>
          <w:tab w:val="left" w:pos="720"/>
          <w:tab w:val="left" w:pos="1080"/>
        </w:tabs>
        <w:jc w:val="both"/>
        <w:rPr>
          <w:rFonts w:asciiTheme="minorHAnsi" w:hAnsiTheme="minorHAnsi"/>
          <w:color w:val="FF0000"/>
          <w:sz w:val="22"/>
          <w:szCs w:val="22"/>
          <w:lang w:val="en-GB"/>
        </w:rPr>
      </w:pPr>
    </w:p>
    <w:p w14:paraId="60A2B76F" w14:textId="4782F880" w:rsidR="00D330F2" w:rsidRPr="00891E9E" w:rsidRDefault="00D330F2" w:rsidP="00330311">
      <w:pPr>
        <w:tabs>
          <w:tab w:val="left" w:pos="360"/>
          <w:tab w:val="left" w:pos="720"/>
          <w:tab w:val="left" w:pos="1080"/>
        </w:tabs>
        <w:jc w:val="both"/>
        <w:rPr>
          <w:rFonts w:asciiTheme="minorHAnsi" w:hAnsiTheme="minorHAnsi"/>
          <w:sz w:val="22"/>
          <w:szCs w:val="22"/>
          <w:lang w:val="en-GB"/>
        </w:rPr>
      </w:pPr>
      <w:r w:rsidRPr="00891E9E">
        <w:rPr>
          <w:rFonts w:asciiTheme="minorHAnsi" w:hAnsiTheme="minorHAnsi"/>
          <w:sz w:val="22"/>
          <w:szCs w:val="22"/>
          <w:lang w:val="en-GB"/>
        </w:rPr>
        <w:t xml:space="preserve">Transfer of a child’s case should be avoided unless it is absolutely necessary. </w:t>
      </w:r>
      <w:r w:rsidR="00B33F7A">
        <w:rPr>
          <w:rFonts w:asciiTheme="minorHAnsi" w:hAnsiTheme="minorHAnsi"/>
          <w:sz w:val="22"/>
          <w:szCs w:val="22"/>
          <w:lang w:val="en-GB"/>
        </w:rPr>
        <w:t xml:space="preserve">To consider </w:t>
      </w:r>
      <w:r w:rsidRPr="00891E9E">
        <w:rPr>
          <w:rFonts w:asciiTheme="minorHAnsi" w:hAnsiTheme="minorHAnsi"/>
          <w:sz w:val="22"/>
          <w:szCs w:val="22"/>
          <w:lang w:val="en-GB"/>
        </w:rPr>
        <w:t xml:space="preserve">the transfer of a child’s case, there must be good cause and a clear indication that the child will receive a </w:t>
      </w:r>
      <w:r w:rsidR="0023006C">
        <w:rPr>
          <w:rFonts w:asciiTheme="minorHAnsi" w:hAnsiTheme="minorHAnsi"/>
          <w:sz w:val="22"/>
          <w:szCs w:val="22"/>
          <w:lang w:val="en-GB"/>
        </w:rPr>
        <w:t xml:space="preserve">similar or </w:t>
      </w:r>
      <w:r w:rsidRPr="00891E9E">
        <w:rPr>
          <w:rFonts w:asciiTheme="minorHAnsi" w:hAnsiTheme="minorHAnsi"/>
          <w:sz w:val="22"/>
          <w:szCs w:val="22"/>
          <w:lang w:val="en-GB"/>
        </w:rPr>
        <w:t>better degree of service than they are currently receiving. When transferring whole caseloads to another agency and/or the government, the process should include a review of all case files to confirm consent</w:t>
      </w:r>
      <w:r w:rsidR="00147991">
        <w:rPr>
          <w:rFonts w:asciiTheme="minorHAnsi" w:hAnsiTheme="minorHAnsi"/>
          <w:sz w:val="22"/>
          <w:szCs w:val="22"/>
          <w:lang w:val="en-GB"/>
        </w:rPr>
        <w:t>/assent</w:t>
      </w:r>
      <w:r w:rsidRPr="00891E9E">
        <w:rPr>
          <w:rFonts w:asciiTheme="minorHAnsi" w:hAnsiTheme="minorHAnsi"/>
          <w:sz w:val="22"/>
          <w:szCs w:val="22"/>
          <w:lang w:val="en-GB"/>
        </w:rPr>
        <w:t xml:space="preserve"> on sharing information where this is needed.</w:t>
      </w:r>
    </w:p>
    <w:p w14:paraId="33D1DBA9" w14:textId="77777777" w:rsidR="00C82577" w:rsidRDefault="00C82577" w:rsidP="00330311">
      <w:pPr>
        <w:jc w:val="both"/>
        <w:rPr>
          <w:rFonts w:ascii="Calibri" w:hAnsi="Calibri"/>
          <w:sz w:val="22"/>
          <w:szCs w:val="22"/>
        </w:rPr>
      </w:pPr>
    </w:p>
    <w:p w14:paraId="14E4A9E1" w14:textId="78DD18C8" w:rsidR="00C82577" w:rsidRDefault="00C82577" w:rsidP="00330311">
      <w:pPr>
        <w:jc w:val="both"/>
        <w:rPr>
          <w:rFonts w:ascii="Calibri" w:hAnsi="Calibri"/>
          <w:b/>
          <w:sz w:val="22"/>
          <w:szCs w:val="22"/>
        </w:rPr>
      </w:pPr>
      <w:r>
        <w:rPr>
          <w:rFonts w:ascii="Calibri" w:hAnsi="Calibri"/>
          <w:b/>
          <w:sz w:val="22"/>
          <w:szCs w:val="22"/>
        </w:rPr>
        <w:t>Case conference</w:t>
      </w:r>
      <w:r w:rsidR="00F573D5">
        <w:rPr>
          <w:rFonts w:ascii="Calibri" w:hAnsi="Calibri"/>
          <w:b/>
          <w:sz w:val="22"/>
          <w:szCs w:val="22"/>
        </w:rPr>
        <w:t xml:space="preserve"> </w:t>
      </w:r>
    </w:p>
    <w:p w14:paraId="2355DB28" w14:textId="6304F398" w:rsidR="00C82577" w:rsidRPr="00C82577" w:rsidRDefault="00C82577" w:rsidP="00330311">
      <w:pPr>
        <w:jc w:val="both"/>
        <w:rPr>
          <w:rFonts w:ascii="Calibri" w:hAnsi="Calibri"/>
          <w:sz w:val="22"/>
          <w:szCs w:val="22"/>
        </w:rPr>
      </w:pPr>
      <w:r>
        <w:rPr>
          <w:rFonts w:ascii="Calibri" w:hAnsi="Calibri"/>
          <w:sz w:val="22"/>
          <w:szCs w:val="22"/>
        </w:rPr>
        <w:t>It’s the forum in which information is shared between the referring agency and the receiving agency; it takes place in person when the agencies are in the same location, remotely (i.e. via skype), when the agencies are in different locations. The case conference should always happen within 24 hours for high priority cases, within 3 days for medium priority cases, within a week for low priority cases.</w:t>
      </w:r>
    </w:p>
    <w:p w14:paraId="0427B188" w14:textId="77777777" w:rsidR="006566EC" w:rsidRPr="00C82577" w:rsidRDefault="006566EC" w:rsidP="00330311">
      <w:pPr>
        <w:jc w:val="both"/>
        <w:rPr>
          <w:rFonts w:ascii="Calibri" w:hAnsi="Calibri"/>
          <w:sz w:val="22"/>
          <w:szCs w:val="22"/>
        </w:rPr>
      </w:pPr>
    </w:p>
    <w:p w14:paraId="7EE1075D" w14:textId="77777777" w:rsidR="00642020" w:rsidRPr="00C82577" w:rsidRDefault="00642020" w:rsidP="00330311">
      <w:pPr>
        <w:jc w:val="both"/>
        <w:rPr>
          <w:rFonts w:ascii="Calibri" w:hAnsi="Calibri"/>
          <w:b/>
          <w:sz w:val="22"/>
          <w:szCs w:val="22"/>
          <w:lang w:val="en-GB"/>
        </w:rPr>
      </w:pPr>
      <w:r w:rsidRPr="00C82577">
        <w:rPr>
          <w:rFonts w:ascii="Calibri" w:hAnsi="Calibri"/>
          <w:b/>
          <w:sz w:val="22"/>
          <w:szCs w:val="22"/>
          <w:lang w:val="en-GB"/>
        </w:rPr>
        <w:t>Best Interests of the Child</w:t>
      </w:r>
    </w:p>
    <w:p w14:paraId="19E47645" w14:textId="2AE5175D" w:rsidR="00642020" w:rsidRPr="006F025C" w:rsidRDefault="00642020" w:rsidP="006F025C">
      <w:pPr>
        <w:rPr>
          <w:lang w:val="en-GB" w:eastAsia="en-GB"/>
        </w:rPr>
      </w:pPr>
      <w:r w:rsidRPr="00C82577">
        <w:rPr>
          <w:rFonts w:ascii="Calibri" w:hAnsi="Calibri"/>
          <w:sz w:val="22"/>
          <w:szCs w:val="22"/>
          <w:lang w:val="en-GB"/>
        </w:rPr>
        <w:t>The “best interests of the child” encompass a child’s physical and emotional safety (their well-being) as well as their right to positive development. In line with Article 3 of the United Nations Convention on the Rights of the Child (UNCRC)</w:t>
      </w:r>
      <w:r w:rsidR="006F025C">
        <w:rPr>
          <w:rFonts w:ascii="Calibri" w:hAnsi="Calibri"/>
          <w:sz w:val="22"/>
          <w:szCs w:val="22"/>
          <w:lang w:val="en-GB"/>
        </w:rPr>
        <w:t>, as ratified by Law 2101/1992</w:t>
      </w:r>
      <w:r w:rsidRPr="00C82577">
        <w:rPr>
          <w:rFonts w:ascii="Calibri" w:hAnsi="Calibri"/>
          <w:sz w:val="22"/>
          <w:szCs w:val="22"/>
          <w:lang w:val="en-GB"/>
        </w:rPr>
        <w:t xml:space="preserve">, the best interests of the child should provide </w:t>
      </w:r>
      <w:r w:rsidRPr="00C82577">
        <w:rPr>
          <w:rFonts w:ascii="Calibri" w:hAnsi="Calibri"/>
          <w:i/>
          <w:sz w:val="22"/>
          <w:szCs w:val="22"/>
          <w:lang w:val="en-GB"/>
        </w:rPr>
        <w:t xml:space="preserve">the basis for all decisions and actions taken, </w:t>
      </w:r>
      <w:r w:rsidRPr="00C82577">
        <w:rPr>
          <w:rFonts w:ascii="Calibri" w:hAnsi="Calibri"/>
          <w:sz w:val="22"/>
          <w:szCs w:val="22"/>
          <w:lang w:val="en-GB"/>
        </w:rPr>
        <w:t>and</w:t>
      </w:r>
      <w:r w:rsidRPr="00C82577">
        <w:rPr>
          <w:rFonts w:ascii="Calibri" w:hAnsi="Calibri"/>
          <w:i/>
          <w:sz w:val="22"/>
          <w:szCs w:val="22"/>
          <w:lang w:val="en-GB"/>
        </w:rPr>
        <w:t xml:space="preserve"> for the way in which service providers interact with children and their families</w:t>
      </w:r>
      <w:r w:rsidRPr="00C82577">
        <w:rPr>
          <w:rFonts w:ascii="Calibri" w:hAnsi="Calibri"/>
          <w:sz w:val="22"/>
          <w:szCs w:val="22"/>
          <w:lang w:val="en-GB"/>
        </w:rPr>
        <w:t>. Caseworkers and their supervisors must constantly evaluate the positive and negative consequences of actions and discuss these with the child and their caregivers when taking decisions. The least harmful course of action is always preferred. All actions should ensure that the child’s rights to safety and on-going development are never compromised.</w:t>
      </w:r>
    </w:p>
    <w:p w14:paraId="6C99F5BA" w14:textId="77777777" w:rsidR="00642020" w:rsidRPr="00C82577" w:rsidRDefault="00642020" w:rsidP="00330311">
      <w:pPr>
        <w:jc w:val="both"/>
        <w:rPr>
          <w:rFonts w:ascii="Calibri" w:hAnsi="Calibri"/>
          <w:b/>
          <w:sz w:val="22"/>
          <w:szCs w:val="22"/>
          <w:lang w:val="en-GB"/>
        </w:rPr>
      </w:pPr>
    </w:p>
    <w:p w14:paraId="6974D768" w14:textId="77777777" w:rsidR="00642020" w:rsidRPr="00C82577" w:rsidRDefault="00642020" w:rsidP="00330311">
      <w:pPr>
        <w:jc w:val="both"/>
        <w:rPr>
          <w:rFonts w:ascii="Calibri" w:hAnsi="Calibri"/>
          <w:b/>
          <w:sz w:val="22"/>
          <w:szCs w:val="22"/>
          <w:lang w:val="en-GB"/>
        </w:rPr>
      </w:pPr>
      <w:r w:rsidRPr="00C82577">
        <w:rPr>
          <w:rFonts w:ascii="Calibri" w:hAnsi="Calibri"/>
          <w:b/>
          <w:sz w:val="22"/>
          <w:szCs w:val="22"/>
          <w:lang w:val="en-GB"/>
        </w:rPr>
        <w:t>Confidentiality</w:t>
      </w:r>
    </w:p>
    <w:p w14:paraId="42788DEB" w14:textId="046F21AE" w:rsidR="00642020" w:rsidRPr="00C82577" w:rsidRDefault="00642020" w:rsidP="00330311">
      <w:pPr>
        <w:jc w:val="both"/>
        <w:rPr>
          <w:rFonts w:ascii="Calibri" w:hAnsi="Calibri"/>
          <w:sz w:val="22"/>
          <w:szCs w:val="22"/>
          <w:lang w:val="en-GB"/>
        </w:rPr>
      </w:pPr>
      <w:r w:rsidRPr="00C82577">
        <w:rPr>
          <w:rFonts w:ascii="Calibri" w:hAnsi="Calibri"/>
          <w:sz w:val="22"/>
          <w:szCs w:val="22"/>
          <w:lang w:val="en-GB"/>
        </w:rPr>
        <w:t xml:space="preserve">Confidentiality requires service providers to protect information gathered about </w:t>
      </w:r>
      <w:r w:rsidR="00E460C7">
        <w:rPr>
          <w:rFonts w:ascii="Calibri" w:hAnsi="Calibri"/>
          <w:sz w:val="22"/>
          <w:szCs w:val="22"/>
          <w:lang w:val="en-GB"/>
        </w:rPr>
        <w:t>beneficiaries</w:t>
      </w:r>
      <w:r w:rsidR="00C07430">
        <w:rPr>
          <w:rFonts w:ascii="Calibri" w:hAnsi="Calibri"/>
          <w:sz w:val="22"/>
          <w:szCs w:val="22"/>
          <w:lang w:val="en-GB"/>
        </w:rPr>
        <w:t xml:space="preserve"> </w:t>
      </w:r>
      <w:r w:rsidRPr="00C82577">
        <w:rPr>
          <w:rFonts w:ascii="Calibri" w:hAnsi="Calibri"/>
          <w:sz w:val="22"/>
          <w:szCs w:val="22"/>
          <w:lang w:val="en-GB"/>
        </w:rPr>
        <w:t xml:space="preserve">and to ensure it is accessible only with a </w:t>
      </w:r>
      <w:r w:rsidR="00CF7A88">
        <w:rPr>
          <w:rFonts w:ascii="Calibri" w:hAnsi="Calibri"/>
          <w:sz w:val="22"/>
          <w:szCs w:val="22"/>
          <w:lang w:val="en-GB"/>
        </w:rPr>
        <w:t>beneficiary</w:t>
      </w:r>
      <w:r w:rsidRPr="00C82577">
        <w:rPr>
          <w:rFonts w:ascii="Calibri" w:hAnsi="Calibri"/>
          <w:sz w:val="22"/>
          <w:szCs w:val="22"/>
          <w:lang w:val="en-GB"/>
        </w:rPr>
        <w:t>’s</w:t>
      </w:r>
      <w:r w:rsidR="00E460C7">
        <w:rPr>
          <w:rFonts w:ascii="Calibri" w:hAnsi="Calibri"/>
          <w:sz w:val="22"/>
          <w:szCs w:val="22"/>
          <w:lang w:val="en-GB"/>
        </w:rPr>
        <w:t xml:space="preserve"> </w:t>
      </w:r>
      <w:r w:rsidRPr="00C82577">
        <w:rPr>
          <w:rFonts w:ascii="Calibri" w:hAnsi="Calibri"/>
          <w:sz w:val="22"/>
          <w:szCs w:val="22"/>
          <w:lang w:val="en-GB"/>
        </w:rPr>
        <w:t xml:space="preserve">explicit permission. For agencies and caseworkers involved in case management, it means collecting, keeping and sharing information on individual cases in a safe way and according to agreed data protection policies. Workers should not reveal children’s names or any identifying information to anyone not directly involved in the care of the child.  When information is shared, it should be shared on a need-to-know basis and limited to only the information necessary to enable better protection of the child. </w:t>
      </w:r>
    </w:p>
    <w:p w14:paraId="25E941BF" w14:textId="77777777" w:rsidR="00642020" w:rsidRPr="00C82577" w:rsidRDefault="00642020" w:rsidP="00330311">
      <w:pPr>
        <w:jc w:val="both"/>
        <w:rPr>
          <w:rFonts w:ascii="Calibri" w:hAnsi="Calibri"/>
          <w:sz w:val="22"/>
          <w:szCs w:val="22"/>
          <w:lang w:val="en-GB"/>
        </w:rPr>
      </w:pPr>
    </w:p>
    <w:p w14:paraId="3325CE6A" w14:textId="77777777" w:rsidR="006F5A04" w:rsidRPr="00C82577" w:rsidRDefault="006F5A04" w:rsidP="00330311">
      <w:pPr>
        <w:jc w:val="both"/>
        <w:rPr>
          <w:rFonts w:ascii="Calibri" w:hAnsi="Calibri"/>
          <w:sz w:val="22"/>
          <w:szCs w:val="22"/>
        </w:rPr>
      </w:pPr>
    </w:p>
    <w:p w14:paraId="70369586" w14:textId="703AD9F4" w:rsidR="00642020" w:rsidRPr="00C82577" w:rsidRDefault="00642020" w:rsidP="00330311">
      <w:pPr>
        <w:jc w:val="both"/>
        <w:rPr>
          <w:rFonts w:ascii="Calibri" w:hAnsi="Calibri"/>
          <w:b/>
          <w:sz w:val="22"/>
          <w:szCs w:val="22"/>
        </w:rPr>
      </w:pPr>
      <w:r w:rsidRPr="00C82577">
        <w:rPr>
          <w:rFonts w:ascii="Calibri" w:hAnsi="Calibri"/>
          <w:b/>
          <w:sz w:val="22"/>
          <w:szCs w:val="22"/>
        </w:rPr>
        <w:t>Need to know</w:t>
      </w:r>
    </w:p>
    <w:p w14:paraId="7913308F" w14:textId="120902C8" w:rsidR="00642020" w:rsidRPr="001C2F34" w:rsidRDefault="00642020" w:rsidP="00330311">
      <w:pPr>
        <w:jc w:val="both"/>
        <w:rPr>
          <w:rFonts w:ascii="Calibri" w:hAnsi="Calibri"/>
          <w:sz w:val="22"/>
          <w:szCs w:val="22"/>
        </w:rPr>
      </w:pPr>
      <w:r w:rsidRPr="00C82577">
        <w:rPr>
          <w:rFonts w:ascii="Calibri" w:hAnsi="Calibri"/>
          <w:sz w:val="22"/>
          <w:szCs w:val="22"/>
        </w:rPr>
        <w:t>The information that is not required for management of the case or for a follow up visit should not be shared. Information should be shared only when it’s needed by the receiving team to provide appropriate support and follow up</w:t>
      </w:r>
      <w:r w:rsidRPr="001C2F34">
        <w:rPr>
          <w:rFonts w:ascii="Calibri" w:hAnsi="Calibri"/>
          <w:sz w:val="22"/>
          <w:szCs w:val="22"/>
        </w:rPr>
        <w:t>.</w:t>
      </w:r>
      <w:r w:rsidR="001C2F34" w:rsidRPr="001C2F34">
        <w:rPr>
          <w:rFonts w:ascii="Calibri" w:hAnsi="Calibri"/>
          <w:sz w:val="22"/>
          <w:szCs w:val="22"/>
        </w:rPr>
        <w:t xml:space="preserve"> </w:t>
      </w:r>
      <w:r w:rsidR="001C2F34" w:rsidRPr="000432D7">
        <w:rPr>
          <w:rFonts w:ascii="Calibri" w:hAnsi="Calibri"/>
          <w:sz w:val="22"/>
          <w:szCs w:val="22"/>
        </w:rPr>
        <w:t>Where the case of a child is being fully transferred to another agency, it is usually good practice to share all assessments and support plans with the receiving agency to ensure a complete and consistent transfer of ca</w:t>
      </w:r>
      <w:r w:rsidR="006F025C">
        <w:rPr>
          <w:rFonts w:ascii="Calibri" w:hAnsi="Calibri"/>
          <w:sz w:val="22"/>
          <w:szCs w:val="22"/>
        </w:rPr>
        <w:t>r</w:t>
      </w:r>
      <w:r w:rsidR="001C2F34" w:rsidRPr="000432D7">
        <w:rPr>
          <w:rFonts w:ascii="Calibri" w:hAnsi="Calibri"/>
          <w:sz w:val="22"/>
          <w:szCs w:val="22"/>
        </w:rPr>
        <w:t>e.</w:t>
      </w:r>
    </w:p>
    <w:p w14:paraId="0005327D" w14:textId="593A4AC9" w:rsidR="005D1753" w:rsidRDefault="005D1753" w:rsidP="00330311">
      <w:pPr>
        <w:jc w:val="both"/>
        <w:rPr>
          <w:rFonts w:ascii="Calibri" w:hAnsi="Calibri"/>
          <w:sz w:val="22"/>
          <w:szCs w:val="22"/>
        </w:rPr>
      </w:pPr>
    </w:p>
    <w:p w14:paraId="2C53E234" w14:textId="4C2D5282" w:rsidR="0080334E" w:rsidRPr="005E2D04" w:rsidRDefault="0080334E" w:rsidP="00330311">
      <w:pPr>
        <w:jc w:val="both"/>
        <w:rPr>
          <w:rFonts w:ascii="Calibri" w:hAnsi="Calibri"/>
          <w:b/>
          <w:sz w:val="22"/>
          <w:szCs w:val="22"/>
        </w:rPr>
      </w:pPr>
      <w:r>
        <w:rPr>
          <w:rFonts w:ascii="Calibri" w:hAnsi="Calibri"/>
          <w:b/>
          <w:sz w:val="22"/>
          <w:szCs w:val="22"/>
        </w:rPr>
        <w:t>Informed consent/assent</w:t>
      </w:r>
    </w:p>
    <w:p w14:paraId="600CE191" w14:textId="52CCC690" w:rsidR="0080334E" w:rsidRPr="00A217A9" w:rsidRDefault="0080334E" w:rsidP="00330311">
      <w:pPr>
        <w:suppressAutoHyphens/>
        <w:autoSpaceDN w:val="0"/>
        <w:jc w:val="both"/>
        <w:textAlignment w:val="baseline"/>
      </w:pPr>
      <w:r w:rsidRPr="00A217A9">
        <w:rPr>
          <w:rFonts w:ascii="Calibri" w:hAnsi="Calibri" w:cs="Arial"/>
          <w:sz w:val="22"/>
          <w:szCs w:val="22"/>
        </w:rPr>
        <w:t xml:space="preserve">Informed consent from the child (and/ or their parent/ caregiver), should be in written form. In exceptional cases, such as when the person is unable to write, verbal consent can be given with an explanation on the form by the caseworker. Usually, 15-18 years olds are considered mature enough to give informed consent; ideally supportive and non-offending parents/caregivers should also give consent.  </w:t>
      </w:r>
    </w:p>
    <w:p w14:paraId="69365CFA" w14:textId="77777777" w:rsidR="0080334E" w:rsidRPr="00A217A9" w:rsidRDefault="0080334E" w:rsidP="00330311">
      <w:pPr>
        <w:suppressAutoHyphens/>
        <w:autoSpaceDN w:val="0"/>
        <w:ind w:left="360"/>
        <w:jc w:val="both"/>
        <w:textAlignment w:val="baseline"/>
        <w:rPr>
          <w:rFonts w:ascii="Calibri" w:hAnsi="Calibri" w:cs="Arial"/>
          <w:sz w:val="22"/>
          <w:szCs w:val="22"/>
        </w:rPr>
      </w:pPr>
    </w:p>
    <w:p w14:paraId="6599D2D6" w14:textId="0C9CEDC3" w:rsidR="0080334E" w:rsidRPr="00A217A9" w:rsidRDefault="0080334E" w:rsidP="00330311">
      <w:pPr>
        <w:suppressAutoHyphens/>
        <w:autoSpaceDN w:val="0"/>
        <w:jc w:val="both"/>
        <w:textAlignment w:val="baseline"/>
        <w:rPr>
          <w:rFonts w:ascii="Calibri" w:hAnsi="Calibri" w:cs="Arial"/>
          <w:sz w:val="22"/>
          <w:szCs w:val="22"/>
        </w:rPr>
      </w:pPr>
      <w:r w:rsidRPr="00A217A9">
        <w:rPr>
          <w:rFonts w:ascii="Calibri" w:hAnsi="Calibri" w:cs="Arial"/>
          <w:sz w:val="22"/>
          <w:szCs w:val="22"/>
        </w:rPr>
        <w:t>For younger children, decisions should be made on a case-by-case basis. When children are too young (usually under 15 years) to consent, their informed assent should be sought (i.e. willingness to participate in services) while a parent or caregiver gives consent. Even with very young children (i.e. under 5 years old), efforts should be made to share and explain information in an appropriate format</w:t>
      </w:r>
      <w:r w:rsidR="006F025C">
        <w:rPr>
          <w:rFonts w:ascii="Calibri" w:hAnsi="Calibri" w:cs="Arial"/>
          <w:sz w:val="22"/>
          <w:szCs w:val="22"/>
        </w:rPr>
        <w:t xml:space="preserve">. </w:t>
      </w:r>
      <w:r w:rsidR="00CF7A88">
        <w:rPr>
          <w:rFonts w:ascii="Calibri" w:hAnsi="Calibri" w:cs="Arial"/>
          <w:sz w:val="22"/>
          <w:szCs w:val="22"/>
        </w:rPr>
        <w:t xml:space="preserve">In case </w:t>
      </w:r>
      <w:r w:rsidR="00B57D28">
        <w:rPr>
          <w:rFonts w:ascii="Calibri" w:hAnsi="Calibri" w:cs="Arial"/>
          <w:sz w:val="22"/>
          <w:szCs w:val="22"/>
        </w:rPr>
        <w:t>the child is unaccompanied</w:t>
      </w:r>
      <w:r w:rsidR="00CF7A88">
        <w:rPr>
          <w:rFonts w:ascii="Calibri" w:hAnsi="Calibri" w:cs="Arial"/>
          <w:sz w:val="22"/>
          <w:szCs w:val="22"/>
        </w:rPr>
        <w:t xml:space="preserve"> or if </w:t>
      </w:r>
      <w:r w:rsidR="00B57D28">
        <w:rPr>
          <w:rFonts w:ascii="Calibri" w:hAnsi="Calibri" w:cs="Arial"/>
          <w:sz w:val="22"/>
          <w:szCs w:val="22"/>
        </w:rPr>
        <w:t>s/he</w:t>
      </w:r>
      <w:r w:rsidR="00CF7A88">
        <w:rPr>
          <w:rFonts w:ascii="Calibri" w:hAnsi="Calibri" w:cs="Arial"/>
          <w:sz w:val="22"/>
          <w:szCs w:val="22"/>
        </w:rPr>
        <w:t xml:space="preserve"> is legally removed from his</w:t>
      </w:r>
      <w:r w:rsidR="00B57D28">
        <w:rPr>
          <w:rFonts w:ascii="Calibri" w:hAnsi="Calibri" w:cs="Arial"/>
          <w:sz w:val="22"/>
          <w:szCs w:val="22"/>
        </w:rPr>
        <w:t>/her</w:t>
      </w:r>
      <w:r w:rsidR="00CF7A88">
        <w:rPr>
          <w:rFonts w:ascii="Calibri" w:hAnsi="Calibri" w:cs="Arial"/>
          <w:sz w:val="22"/>
          <w:szCs w:val="22"/>
        </w:rPr>
        <w:t xml:space="preserve"> parent’s care due to abuse or other reason, the Public Prosecutor’s approval must be sought</w:t>
      </w:r>
      <w:r w:rsidR="00C431BC">
        <w:rPr>
          <w:rFonts w:ascii="Calibri" w:hAnsi="Calibri" w:cs="Arial"/>
          <w:sz w:val="22"/>
          <w:szCs w:val="22"/>
        </w:rPr>
        <w:t xml:space="preserve"> prior to any action affecting the well-being of the child</w:t>
      </w:r>
      <w:r w:rsidR="00CF7A88">
        <w:rPr>
          <w:rFonts w:ascii="Calibri" w:hAnsi="Calibri" w:cs="Arial"/>
          <w:sz w:val="22"/>
          <w:szCs w:val="22"/>
        </w:rPr>
        <w:t xml:space="preserve">. </w:t>
      </w:r>
    </w:p>
    <w:p w14:paraId="25198B97" w14:textId="77777777" w:rsidR="0080334E" w:rsidRPr="00C82577" w:rsidRDefault="0080334E" w:rsidP="00330311">
      <w:pPr>
        <w:jc w:val="both"/>
        <w:rPr>
          <w:rFonts w:ascii="Calibri" w:hAnsi="Calibri"/>
          <w:sz w:val="22"/>
          <w:szCs w:val="22"/>
        </w:rPr>
      </w:pPr>
    </w:p>
    <w:p w14:paraId="0AF075BC" w14:textId="77777777" w:rsidR="00642020" w:rsidRPr="00C82577" w:rsidRDefault="00642020" w:rsidP="00330311">
      <w:pPr>
        <w:jc w:val="both"/>
        <w:rPr>
          <w:rFonts w:ascii="Calibri" w:hAnsi="Calibri"/>
          <w:sz w:val="22"/>
          <w:szCs w:val="22"/>
        </w:rPr>
      </w:pPr>
    </w:p>
    <w:p w14:paraId="11587E42" w14:textId="2AAB318A" w:rsidR="00642020" w:rsidRPr="00C82577" w:rsidRDefault="005D1753" w:rsidP="00330311">
      <w:pPr>
        <w:pStyle w:val="ListParagraph"/>
        <w:numPr>
          <w:ilvl w:val="0"/>
          <w:numId w:val="1"/>
        </w:numPr>
        <w:tabs>
          <w:tab w:val="left" w:pos="1080"/>
        </w:tabs>
        <w:jc w:val="both"/>
        <w:rPr>
          <w:rFonts w:ascii="Calibri" w:hAnsi="Calibri"/>
          <w:b/>
          <w:color w:val="2E74B5" w:themeColor="accent5" w:themeShade="BF"/>
          <w:sz w:val="22"/>
          <w:szCs w:val="22"/>
          <w:lang w:val="en-GB"/>
        </w:rPr>
      </w:pPr>
      <w:r w:rsidRPr="00C82577">
        <w:rPr>
          <w:rFonts w:ascii="Calibri" w:hAnsi="Calibri"/>
          <w:b/>
          <w:color w:val="2E74B5" w:themeColor="accent5" w:themeShade="BF"/>
          <w:sz w:val="22"/>
          <w:szCs w:val="22"/>
          <w:lang w:val="en-GB"/>
        </w:rPr>
        <w:t>Roles and Responsibilities</w:t>
      </w:r>
    </w:p>
    <w:p w14:paraId="7E85470D" w14:textId="77777777" w:rsidR="00CC278F" w:rsidRPr="00C82577" w:rsidRDefault="00CC278F" w:rsidP="00330311">
      <w:pPr>
        <w:tabs>
          <w:tab w:val="left" w:pos="1080"/>
        </w:tabs>
        <w:jc w:val="both"/>
        <w:rPr>
          <w:rFonts w:ascii="Calibri" w:hAnsi="Calibri"/>
          <w:color w:val="2E74B5" w:themeColor="accent5" w:themeShade="BF"/>
          <w:sz w:val="22"/>
          <w:szCs w:val="22"/>
          <w:lang w:val="en-GB"/>
        </w:rPr>
      </w:pPr>
    </w:p>
    <w:p w14:paraId="15DEAC7C" w14:textId="7E52A21C" w:rsidR="005D1753" w:rsidRPr="00C82577" w:rsidRDefault="005D1753" w:rsidP="00330311">
      <w:pPr>
        <w:tabs>
          <w:tab w:val="left" w:pos="1080"/>
        </w:tabs>
        <w:jc w:val="both"/>
        <w:rPr>
          <w:rFonts w:ascii="Calibri" w:hAnsi="Calibri"/>
          <w:b/>
          <w:sz w:val="22"/>
          <w:szCs w:val="22"/>
          <w:lang w:val="en-GB"/>
        </w:rPr>
      </w:pPr>
      <w:r w:rsidRPr="00C82577">
        <w:rPr>
          <w:rFonts w:ascii="Calibri" w:hAnsi="Calibri"/>
          <w:b/>
          <w:sz w:val="22"/>
          <w:szCs w:val="22"/>
          <w:lang w:val="en-GB"/>
        </w:rPr>
        <w:t>Referring agency</w:t>
      </w:r>
    </w:p>
    <w:p w14:paraId="30D470F8" w14:textId="05280EFE" w:rsidR="00C82577" w:rsidRDefault="00CC278F" w:rsidP="00330311">
      <w:pPr>
        <w:tabs>
          <w:tab w:val="left" w:pos="1080"/>
        </w:tabs>
        <w:jc w:val="both"/>
        <w:rPr>
          <w:rFonts w:ascii="Calibri" w:hAnsi="Calibri"/>
          <w:sz w:val="22"/>
          <w:szCs w:val="22"/>
          <w:lang w:val="en-GB"/>
        </w:rPr>
      </w:pPr>
      <w:r w:rsidRPr="00C82577">
        <w:rPr>
          <w:rFonts w:ascii="Calibri" w:hAnsi="Calibri"/>
          <w:sz w:val="22"/>
          <w:szCs w:val="22"/>
          <w:lang w:val="en-GB"/>
        </w:rPr>
        <w:t xml:space="preserve">The referring agency has the responsibility to seek assent/consent for the transfer of the case (if it had not already been sought and documented), and to share documentation with the receiving agency accordingly. </w:t>
      </w:r>
      <w:r w:rsidR="00C82577">
        <w:rPr>
          <w:rFonts w:ascii="Calibri" w:hAnsi="Calibri"/>
          <w:sz w:val="22"/>
          <w:szCs w:val="22"/>
          <w:lang w:val="en-GB"/>
        </w:rPr>
        <w:t xml:space="preserve">The referring agency shares information on action points needed, pending issues and urgent follow up. </w:t>
      </w:r>
      <w:r w:rsidRPr="00C82577">
        <w:rPr>
          <w:rFonts w:ascii="Calibri" w:hAnsi="Calibri"/>
          <w:sz w:val="22"/>
          <w:szCs w:val="22"/>
          <w:lang w:val="en-GB"/>
        </w:rPr>
        <w:t>The physical case files will be handed over in person, whenever possible, during the case conference. The password-protected</w:t>
      </w:r>
      <w:r w:rsidR="00F573D5">
        <w:rPr>
          <w:rFonts w:ascii="Calibri" w:hAnsi="Calibri"/>
          <w:sz w:val="22"/>
          <w:szCs w:val="22"/>
          <w:lang w:val="en-GB"/>
        </w:rPr>
        <w:t xml:space="preserve"> </w:t>
      </w:r>
      <w:r w:rsidRPr="00C82577">
        <w:rPr>
          <w:rFonts w:ascii="Calibri" w:hAnsi="Calibri"/>
          <w:sz w:val="22"/>
          <w:szCs w:val="22"/>
          <w:lang w:val="en-GB"/>
        </w:rPr>
        <w:t>electronic case files will be handed over via email, and the password shared separat</w:t>
      </w:r>
      <w:r w:rsidR="000247C7">
        <w:rPr>
          <w:rFonts w:ascii="Calibri" w:hAnsi="Calibri"/>
          <w:sz w:val="22"/>
          <w:szCs w:val="22"/>
          <w:lang w:val="en-GB"/>
        </w:rPr>
        <w:t>ely</w:t>
      </w:r>
      <w:r w:rsidRPr="00C82577">
        <w:rPr>
          <w:rFonts w:ascii="Calibri" w:hAnsi="Calibri"/>
          <w:sz w:val="22"/>
          <w:szCs w:val="22"/>
          <w:lang w:val="en-GB"/>
        </w:rPr>
        <w:t xml:space="preserve"> (via text message</w:t>
      </w:r>
      <w:r w:rsidR="00C82577">
        <w:rPr>
          <w:rFonts w:ascii="Calibri" w:hAnsi="Calibri"/>
          <w:sz w:val="22"/>
          <w:szCs w:val="22"/>
          <w:lang w:val="en-GB"/>
        </w:rPr>
        <w:t xml:space="preserve"> or phone </w:t>
      </w:r>
      <w:r w:rsidR="009F67EC">
        <w:rPr>
          <w:rFonts w:ascii="Calibri" w:hAnsi="Calibri"/>
          <w:sz w:val="22"/>
          <w:szCs w:val="22"/>
          <w:lang w:val="en-GB"/>
        </w:rPr>
        <w:t>call</w:t>
      </w:r>
      <w:r w:rsidR="00C82577">
        <w:rPr>
          <w:rFonts w:ascii="Calibri" w:hAnsi="Calibri"/>
          <w:sz w:val="22"/>
          <w:szCs w:val="22"/>
          <w:lang w:val="en-GB"/>
        </w:rPr>
        <w:t>).</w:t>
      </w:r>
      <w:r w:rsidR="00C431BC">
        <w:rPr>
          <w:rFonts w:ascii="Calibri" w:hAnsi="Calibri"/>
          <w:sz w:val="22"/>
          <w:szCs w:val="22"/>
          <w:lang w:val="en-GB"/>
        </w:rPr>
        <w:t xml:space="preserve"> </w:t>
      </w:r>
    </w:p>
    <w:p w14:paraId="0C1F708F" w14:textId="60FEAE76" w:rsidR="00C82577" w:rsidRPr="00C82577" w:rsidRDefault="00CC278F" w:rsidP="00330311">
      <w:pPr>
        <w:tabs>
          <w:tab w:val="left" w:pos="1080"/>
        </w:tabs>
        <w:jc w:val="both"/>
        <w:rPr>
          <w:rFonts w:ascii="Calibri" w:hAnsi="Calibri"/>
          <w:sz w:val="22"/>
          <w:szCs w:val="22"/>
        </w:rPr>
      </w:pPr>
      <w:r w:rsidRPr="00C82577">
        <w:rPr>
          <w:rFonts w:ascii="Calibri" w:hAnsi="Calibri"/>
          <w:sz w:val="22"/>
          <w:szCs w:val="22"/>
          <w:lang w:val="en-GB"/>
        </w:rPr>
        <w:t xml:space="preserve">Please refer to the </w:t>
      </w:r>
      <w:r w:rsidR="007D3AFF" w:rsidRPr="00C82577">
        <w:rPr>
          <w:rFonts w:ascii="Calibri" w:hAnsi="Calibri"/>
          <w:sz w:val="22"/>
          <w:szCs w:val="22"/>
          <w:lang w:val="en-GB"/>
        </w:rPr>
        <w:t>Interim Data Protection and Information Sharing Protocol for more guidance regarding sharing of data.</w:t>
      </w:r>
      <w:r w:rsidR="00C82577">
        <w:rPr>
          <w:rFonts w:ascii="Calibri" w:hAnsi="Calibri"/>
          <w:sz w:val="22"/>
          <w:szCs w:val="22"/>
        </w:rPr>
        <w:t xml:space="preserve"> </w:t>
      </w:r>
    </w:p>
    <w:p w14:paraId="5EF66361" w14:textId="77777777" w:rsidR="00D5357E" w:rsidRDefault="00D5357E" w:rsidP="00330311">
      <w:pPr>
        <w:tabs>
          <w:tab w:val="left" w:pos="1080"/>
        </w:tabs>
        <w:jc w:val="both"/>
        <w:rPr>
          <w:rFonts w:ascii="Calibri" w:hAnsi="Calibri"/>
          <w:sz w:val="22"/>
          <w:szCs w:val="22"/>
          <w:lang w:val="en-GB"/>
        </w:rPr>
      </w:pPr>
    </w:p>
    <w:p w14:paraId="57661DF7" w14:textId="0D24FC79" w:rsidR="00C82577" w:rsidRDefault="00D5357E" w:rsidP="00330311">
      <w:pPr>
        <w:tabs>
          <w:tab w:val="left" w:pos="1080"/>
        </w:tabs>
        <w:jc w:val="both"/>
        <w:rPr>
          <w:rFonts w:ascii="Calibri" w:hAnsi="Calibri"/>
          <w:sz w:val="22"/>
          <w:szCs w:val="22"/>
          <w:lang w:val="en-GB"/>
        </w:rPr>
      </w:pPr>
      <w:r>
        <w:rPr>
          <w:rFonts w:ascii="Calibri" w:hAnsi="Calibri"/>
          <w:sz w:val="22"/>
          <w:szCs w:val="22"/>
          <w:lang w:val="en-GB"/>
        </w:rPr>
        <w:t>It is good practice for the referring agency to follow up after the transfer of cases to ensure proper follow up has taken place, and where this is not the case, to seek alternative course of action in the best interests of the beneficiary.</w:t>
      </w:r>
    </w:p>
    <w:p w14:paraId="2D4F6DA3" w14:textId="77777777" w:rsidR="00D5357E" w:rsidRPr="00C82577" w:rsidRDefault="00D5357E" w:rsidP="00330311">
      <w:pPr>
        <w:tabs>
          <w:tab w:val="left" w:pos="1080"/>
        </w:tabs>
        <w:jc w:val="both"/>
        <w:rPr>
          <w:rFonts w:ascii="Calibri" w:hAnsi="Calibri"/>
          <w:sz w:val="22"/>
          <w:szCs w:val="22"/>
          <w:lang w:val="en-GB"/>
        </w:rPr>
      </w:pPr>
    </w:p>
    <w:p w14:paraId="4321F6A5" w14:textId="5E920FD3" w:rsidR="005D1753" w:rsidRPr="00C82577" w:rsidRDefault="005D1753" w:rsidP="00330311">
      <w:pPr>
        <w:tabs>
          <w:tab w:val="left" w:pos="1080"/>
        </w:tabs>
        <w:jc w:val="both"/>
        <w:rPr>
          <w:rFonts w:ascii="Calibri" w:hAnsi="Calibri"/>
          <w:b/>
          <w:sz w:val="22"/>
          <w:szCs w:val="22"/>
          <w:lang w:val="en-GB"/>
        </w:rPr>
      </w:pPr>
      <w:r w:rsidRPr="00C82577">
        <w:rPr>
          <w:rFonts w:ascii="Calibri" w:hAnsi="Calibri"/>
          <w:b/>
          <w:sz w:val="22"/>
          <w:szCs w:val="22"/>
          <w:lang w:val="en-GB"/>
        </w:rPr>
        <w:t>Receiving agency</w:t>
      </w:r>
    </w:p>
    <w:p w14:paraId="22215EEC" w14:textId="3BE616C8" w:rsidR="00182C89" w:rsidRDefault="00C82577" w:rsidP="00330311">
      <w:pPr>
        <w:tabs>
          <w:tab w:val="left" w:pos="1080"/>
        </w:tabs>
        <w:jc w:val="both"/>
        <w:rPr>
          <w:rFonts w:ascii="Calibri" w:hAnsi="Calibri"/>
          <w:sz w:val="22"/>
          <w:szCs w:val="22"/>
          <w:lang w:val="en-GB"/>
        </w:rPr>
      </w:pPr>
      <w:r>
        <w:rPr>
          <w:rFonts w:ascii="Calibri" w:hAnsi="Calibri"/>
          <w:sz w:val="22"/>
          <w:szCs w:val="22"/>
          <w:lang w:val="en-GB"/>
        </w:rPr>
        <w:t>The receiving agency has the responsibility of participating in the case</w:t>
      </w:r>
      <w:r w:rsidR="006F025C">
        <w:rPr>
          <w:rFonts w:ascii="Calibri" w:hAnsi="Calibri"/>
          <w:sz w:val="22"/>
          <w:szCs w:val="22"/>
          <w:lang w:val="en-GB"/>
        </w:rPr>
        <w:t xml:space="preserve"> conference</w:t>
      </w:r>
      <w:r w:rsidR="00137A5A">
        <w:rPr>
          <w:rFonts w:ascii="Calibri" w:hAnsi="Calibri"/>
          <w:sz w:val="22"/>
          <w:szCs w:val="22"/>
          <w:lang w:val="en-GB"/>
        </w:rPr>
        <w:t xml:space="preserve"> meeting</w:t>
      </w:r>
      <w:r w:rsidR="006F025C">
        <w:rPr>
          <w:rFonts w:ascii="Calibri" w:hAnsi="Calibri"/>
          <w:sz w:val="22"/>
          <w:szCs w:val="22"/>
          <w:lang w:val="en-GB"/>
        </w:rPr>
        <w:t>,</w:t>
      </w:r>
      <w:r>
        <w:rPr>
          <w:rFonts w:ascii="Calibri" w:hAnsi="Calibri"/>
          <w:sz w:val="22"/>
          <w:szCs w:val="22"/>
          <w:lang w:val="en-GB"/>
        </w:rPr>
        <w:t xml:space="preserve"> and to receive the information shared by the referring agency, and to ensure confidentiality of the data received.</w:t>
      </w:r>
    </w:p>
    <w:p w14:paraId="6EDCCB85" w14:textId="6948D822" w:rsidR="00C82577" w:rsidRPr="00C82577" w:rsidRDefault="002A73A1" w:rsidP="00330311">
      <w:pPr>
        <w:tabs>
          <w:tab w:val="left" w:pos="1080"/>
        </w:tabs>
        <w:jc w:val="both"/>
        <w:rPr>
          <w:rFonts w:ascii="Calibri" w:hAnsi="Calibri"/>
          <w:sz w:val="22"/>
          <w:szCs w:val="22"/>
          <w:lang w:val="en-GB"/>
        </w:rPr>
      </w:pPr>
      <w:r>
        <w:rPr>
          <w:rFonts w:ascii="Calibri" w:hAnsi="Calibri"/>
          <w:sz w:val="22"/>
          <w:szCs w:val="22"/>
          <w:lang w:val="en-GB"/>
        </w:rPr>
        <w:t xml:space="preserve">It’s the responsibility of the receiving agency to follow up on the action points and pending issues identified in the case </w:t>
      </w:r>
      <w:r w:rsidR="006F025C">
        <w:rPr>
          <w:rFonts w:ascii="Calibri" w:hAnsi="Calibri"/>
          <w:sz w:val="22"/>
          <w:szCs w:val="22"/>
          <w:lang w:val="en-GB"/>
        </w:rPr>
        <w:t>conference</w:t>
      </w:r>
      <w:r w:rsidR="00C431BC">
        <w:rPr>
          <w:rFonts w:ascii="Calibri" w:hAnsi="Calibri"/>
          <w:sz w:val="22"/>
          <w:szCs w:val="22"/>
          <w:lang w:val="en-GB"/>
        </w:rPr>
        <w:t xml:space="preserve"> </w:t>
      </w:r>
      <w:r>
        <w:rPr>
          <w:rFonts w:ascii="Calibri" w:hAnsi="Calibri"/>
          <w:sz w:val="22"/>
          <w:szCs w:val="22"/>
          <w:lang w:val="en-GB"/>
        </w:rPr>
        <w:t xml:space="preserve">with the referring </w:t>
      </w:r>
      <w:r w:rsidR="009F67EC">
        <w:rPr>
          <w:rFonts w:ascii="Calibri" w:hAnsi="Calibri"/>
          <w:sz w:val="22"/>
          <w:szCs w:val="22"/>
          <w:lang w:val="en-GB"/>
        </w:rPr>
        <w:t>agency</w:t>
      </w:r>
      <w:r>
        <w:rPr>
          <w:rFonts w:ascii="Calibri" w:hAnsi="Calibri"/>
          <w:sz w:val="22"/>
          <w:szCs w:val="22"/>
          <w:lang w:val="en-GB"/>
        </w:rPr>
        <w:t>.</w:t>
      </w:r>
    </w:p>
    <w:p w14:paraId="08FFF621" w14:textId="442CF3E2" w:rsidR="005D1753" w:rsidRDefault="00C82577" w:rsidP="00330311">
      <w:pPr>
        <w:tabs>
          <w:tab w:val="left" w:pos="1080"/>
        </w:tabs>
        <w:jc w:val="both"/>
        <w:rPr>
          <w:rFonts w:ascii="Calibri" w:hAnsi="Calibri"/>
          <w:sz w:val="22"/>
          <w:szCs w:val="22"/>
          <w:lang w:val="en-GB"/>
        </w:rPr>
      </w:pPr>
      <w:r>
        <w:rPr>
          <w:rFonts w:ascii="Calibri" w:hAnsi="Calibri"/>
          <w:sz w:val="22"/>
          <w:szCs w:val="22"/>
          <w:lang w:val="en-GB"/>
        </w:rPr>
        <w:t>Please refer to the Interim Data Protection and Information Sharing Protocol for more guidance regarding sharing of data.</w:t>
      </w:r>
    </w:p>
    <w:p w14:paraId="5B40FD83" w14:textId="01C31A46" w:rsidR="00C82577" w:rsidRDefault="00C82577" w:rsidP="00330311">
      <w:pPr>
        <w:tabs>
          <w:tab w:val="left" w:pos="1080"/>
        </w:tabs>
        <w:jc w:val="both"/>
        <w:rPr>
          <w:rFonts w:ascii="Calibri" w:hAnsi="Calibri"/>
          <w:sz w:val="22"/>
          <w:szCs w:val="22"/>
          <w:lang w:val="en-GB"/>
        </w:rPr>
      </w:pPr>
    </w:p>
    <w:p w14:paraId="34D3A920" w14:textId="0504C4CF" w:rsidR="0080334E" w:rsidRPr="00184894" w:rsidRDefault="0080334E" w:rsidP="00330311">
      <w:pPr>
        <w:tabs>
          <w:tab w:val="left" w:pos="1080"/>
        </w:tabs>
        <w:jc w:val="both"/>
        <w:rPr>
          <w:rFonts w:ascii="Calibri" w:hAnsi="Calibri"/>
          <w:sz w:val="22"/>
          <w:szCs w:val="22"/>
          <w:lang w:val="en-GB"/>
        </w:rPr>
      </w:pPr>
      <w:r w:rsidRPr="00184894">
        <w:rPr>
          <w:rFonts w:ascii="Calibri" w:hAnsi="Calibri"/>
          <w:sz w:val="22"/>
          <w:szCs w:val="22"/>
          <w:lang w:val="en-GB"/>
        </w:rPr>
        <w:t>The referring agency and the receiving agency strive to set up a follow up meeting one month after the transfer of cases</w:t>
      </w:r>
      <w:r w:rsidR="00C431BC">
        <w:rPr>
          <w:rFonts w:ascii="Calibri" w:hAnsi="Calibri"/>
          <w:sz w:val="22"/>
          <w:szCs w:val="22"/>
          <w:lang w:val="en-GB"/>
        </w:rPr>
        <w:t xml:space="preserve"> or to use any other mean of follow-up to ensure that the smooth transfer has actually been completed</w:t>
      </w:r>
      <w:r w:rsidRPr="00184894">
        <w:rPr>
          <w:rFonts w:ascii="Calibri" w:hAnsi="Calibri"/>
          <w:sz w:val="22"/>
          <w:szCs w:val="22"/>
          <w:lang w:val="en-GB"/>
        </w:rPr>
        <w:t>.</w:t>
      </w:r>
      <w:r w:rsidR="00F573D5" w:rsidRPr="00C431BC">
        <w:rPr>
          <w:rFonts w:ascii="Calibri" w:hAnsi="Calibri"/>
          <w:b/>
          <w:bCs/>
          <w:sz w:val="22"/>
          <w:szCs w:val="22"/>
          <w:lang w:val="en-GB"/>
        </w:rPr>
        <w:t xml:space="preserve"> </w:t>
      </w:r>
    </w:p>
    <w:p w14:paraId="5B568DD0" w14:textId="77777777" w:rsidR="0080334E" w:rsidRPr="00C82577" w:rsidRDefault="0080334E" w:rsidP="00330311">
      <w:pPr>
        <w:tabs>
          <w:tab w:val="left" w:pos="1080"/>
        </w:tabs>
        <w:jc w:val="both"/>
        <w:rPr>
          <w:rFonts w:ascii="Calibri" w:hAnsi="Calibri"/>
          <w:sz w:val="22"/>
          <w:szCs w:val="22"/>
          <w:lang w:val="en-GB"/>
        </w:rPr>
      </w:pPr>
    </w:p>
    <w:p w14:paraId="5D62609D" w14:textId="210045B2" w:rsidR="00182C89" w:rsidRPr="00C82577" w:rsidRDefault="004C054A" w:rsidP="00330311">
      <w:pPr>
        <w:pStyle w:val="ListParagraph"/>
        <w:numPr>
          <w:ilvl w:val="0"/>
          <w:numId w:val="1"/>
        </w:numPr>
        <w:tabs>
          <w:tab w:val="left" w:pos="1080"/>
        </w:tabs>
        <w:jc w:val="both"/>
        <w:rPr>
          <w:rFonts w:ascii="Calibri" w:hAnsi="Calibri"/>
          <w:b/>
          <w:color w:val="2E74B5" w:themeColor="accent5" w:themeShade="BF"/>
          <w:sz w:val="22"/>
          <w:szCs w:val="22"/>
          <w:lang w:val="en-GB"/>
        </w:rPr>
      </w:pPr>
      <w:r>
        <w:rPr>
          <w:rFonts w:ascii="Calibri" w:hAnsi="Calibri"/>
          <w:b/>
          <w:color w:val="2E74B5" w:themeColor="accent5" w:themeShade="BF"/>
          <w:sz w:val="22"/>
          <w:szCs w:val="22"/>
          <w:lang w:val="en-GB"/>
        </w:rPr>
        <w:t>Steps</w:t>
      </w:r>
    </w:p>
    <w:p w14:paraId="11CA9E46" w14:textId="5C5187AD" w:rsidR="00467936" w:rsidRDefault="00467936" w:rsidP="00330311">
      <w:pPr>
        <w:tabs>
          <w:tab w:val="left" w:pos="1080"/>
        </w:tabs>
        <w:jc w:val="both"/>
        <w:rPr>
          <w:rFonts w:ascii="Calibri" w:hAnsi="Calibri"/>
          <w:sz w:val="22"/>
          <w:szCs w:val="22"/>
          <w:lang w:val="en-GB"/>
        </w:rPr>
      </w:pPr>
    </w:p>
    <w:p w14:paraId="16EE8DD6" w14:textId="08B50C43" w:rsidR="00FD2740" w:rsidRDefault="00D330F2" w:rsidP="00330311">
      <w:pPr>
        <w:pStyle w:val="ListParagraph"/>
        <w:numPr>
          <w:ilvl w:val="0"/>
          <w:numId w:val="4"/>
        </w:numPr>
        <w:tabs>
          <w:tab w:val="left" w:pos="1080"/>
        </w:tabs>
        <w:jc w:val="both"/>
        <w:rPr>
          <w:rFonts w:ascii="Calibri" w:hAnsi="Calibri"/>
          <w:sz w:val="22"/>
          <w:szCs w:val="22"/>
          <w:lang w:val="en-GB"/>
        </w:rPr>
      </w:pPr>
      <w:r>
        <w:rPr>
          <w:rFonts w:ascii="Calibri" w:hAnsi="Calibri"/>
          <w:sz w:val="22"/>
          <w:szCs w:val="22"/>
          <w:lang w:val="en-GB"/>
        </w:rPr>
        <w:t xml:space="preserve">The referring agency receives information </w:t>
      </w:r>
      <w:r w:rsidR="00C431BC">
        <w:rPr>
          <w:rFonts w:ascii="Calibri" w:hAnsi="Calibri"/>
          <w:sz w:val="22"/>
          <w:szCs w:val="22"/>
          <w:lang w:val="en-GB"/>
        </w:rPr>
        <w:t xml:space="preserve">that </w:t>
      </w:r>
      <w:r>
        <w:rPr>
          <w:rFonts w:ascii="Calibri" w:hAnsi="Calibri"/>
          <w:sz w:val="22"/>
          <w:szCs w:val="22"/>
          <w:lang w:val="en-GB"/>
        </w:rPr>
        <w:t xml:space="preserve">a child or a group of children is about to move to a different site. </w:t>
      </w:r>
    </w:p>
    <w:p w14:paraId="3E9828E1" w14:textId="52EDA792" w:rsidR="00D330F2" w:rsidRDefault="00D330F2" w:rsidP="00330311">
      <w:pPr>
        <w:pStyle w:val="ListParagraph"/>
        <w:numPr>
          <w:ilvl w:val="0"/>
          <w:numId w:val="4"/>
        </w:numPr>
        <w:tabs>
          <w:tab w:val="left" w:pos="1080"/>
        </w:tabs>
        <w:jc w:val="both"/>
        <w:rPr>
          <w:rFonts w:ascii="Calibri" w:hAnsi="Calibri"/>
          <w:sz w:val="22"/>
          <w:szCs w:val="22"/>
          <w:lang w:val="en-GB"/>
        </w:rPr>
      </w:pPr>
      <w:r>
        <w:rPr>
          <w:rFonts w:ascii="Calibri" w:hAnsi="Calibri"/>
          <w:sz w:val="22"/>
          <w:szCs w:val="22"/>
          <w:lang w:val="en-GB"/>
        </w:rPr>
        <w:t>The referring agency makes first contact with the child protection-case management agency working in the site of destination.</w:t>
      </w:r>
    </w:p>
    <w:p w14:paraId="11A4EDE4" w14:textId="24E5CBBB" w:rsidR="002A73A1" w:rsidRDefault="00D330F2" w:rsidP="00330311">
      <w:pPr>
        <w:pStyle w:val="ListParagraph"/>
        <w:numPr>
          <w:ilvl w:val="0"/>
          <w:numId w:val="4"/>
        </w:numPr>
        <w:tabs>
          <w:tab w:val="left" w:pos="1080"/>
        </w:tabs>
        <w:jc w:val="both"/>
        <w:rPr>
          <w:rFonts w:ascii="Calibri" w:hAnsi="Calibri"/>
          <w:sz w:val="22"/>
          <w:szCs w:val="22"/>
          <w:lang w:val="en-GB"/>
        </w:rPr>
      </w:pPr>
      <w:r>
        <w:rPr>
          <w:rFonts w:ascii="Calibri" w:hAnsi="Calibri"/>
          <w:sz w:val="22"/>
          <w:szCs w:val="22"/>
          <w:lang w:val="en-GB"/>
        </w:rPr>
        <w:t xml:space="preserve">Said agency reviews the case file/s to confirm consent and/or assent of the child </w:t>
      </w:r>
      <w:r w:rsidR="0082057A">
        <w:rPr>
          <w:rFonts w:ascii="Calibri" w:hAnsi="Calibri"/>
          <w:sz w:val="22"/>
          <w:szCs w:val="22"/>
          <w:lang w:val="en-GB"/>
        </w:rPr>
        <w:t xml:space="preserve">(if applicable, and parent/caregiver) </w:t>
      </w:r>
      <w:r>
        <w:rPr>
          <w:rFonts w:ascii="Calibri" w:hAnsi="Calibri"/>
          <w:sz w:val="22"/>
          <w:szCs w:val="22"/>
          <w:lang w:val="en-GB"/>
        </w:rPr>
        <w:t>on sharing information, and reviews prioritisation of each case.</w:t>
      </w:r>
    </w:p>
    <w:p w14:paraId="021FD08F" w14:textId="1C9CF84C" w:rsidR="00D330F2" w:rsidRDefault="00D330F2" w:rsidP="00330311">
      <w:pPr>
        <w:pStyle w:val="ListParagraph"/>
        <w:numPr>
          <w:ilvl w:val="0"/>
          <w:numId w:val="4"/>
        </w:numPr>
        <w:tabs>
          <w:tab w:val="left" w:pos="1080"/>
        </w:tabs>
        <w:jc w:val="both"/>
        <w:rPr>
          <w:rFonts w:ascii="Calibri" w:hAnsi="Calibri"/>
          <w:sz w:val="22"/>
          <w:szCs w:val="22"/>
          <w:lang w:val="en-GB"/>
        </w:rPr>
      </w:pPr>
      <w:r>
        <w:rPr>
          <w:rFonts w:ascii="Calibri" w:hAnsi="Calibri"/>
          <w:sz w:val="22"/>
          <w:szCs w:val="22"/>
          <w:lang w:val="en-GB"/>
        </w:rPr>
        <w:t>If consent</w:t>
      </w:r>
      <w:r w:rsidR="0082057A">
        <w:rPr>
          <w:rFonts w:ascii="Calibri" w:hAnsi="Calibri"/>
          <w:sz w:val="22"/>
          <w:szCs w:val="22"/>
          <w:lang w:val="en-GB"/>
        </w:rPr>
        <w:t>/assent</w:t>
      </w:r>
      <w:r>
        <w:rPr>
          <w:rFonts w:ascii="Calibri" w:hAnsi="Calibri"/>
          <w:sz w:val="22"/>
          <w:szCs w:val="22"/>
          <w:lang w:val="en-GB"/>
        </w:rPr>
        <w:t xml:space="preserve"> had not been obtained, please seek consent</w:t>
      </w:r>
      <w:r w:rsidR="0082057A">
        <w:rPr>
          <w:rFonts w:ascii="Calibri" w:hAnsi="Calibri"/>
          <w:sz w:val="22"/>
          <w:szCs w:val="22"/>
          <w:lang w:val="en-GB"/>
        </w:rPr>
        <w:t>/assent</w:t>
      </w:r>
      <w:r>
        <w:rPr>
          <w:rFonts w:ascii="Calibri" w:hAnsi="Calibri"/>
          <w:sz w:val="22"/>
          <w:szCs w:val="22"/>
          <w:lang w:val="en-GB"/>
        </w:rPr>
        <w:t xml:space="preserve"> before proceeding further, following the Inter-Agency Case Management Guidance and principles.</w:t>
      </w:r>
    </w:p>
    <w:p w14:paraId="6F1B06BA" w14:textId="4CEE35D4" w:rsidR="00D330F2" w:rsidRDefault="00D330F2" w:rsidP="00330311">
      <w:pPr>
        <w:pStyle w:val="ListParagraph"/>
        <w:numPr>
          <w:ilvl w:val="0"/>
          <w:numId w:val="4"/>
        </w:numPr>
        <w:tabs>
          <w:tab w:val="left" w:pos="1080"/>
        </w:tabs>
        <w:jc w:val="both"/>
        <w:rPr>
          <w:rFonts w:ascii="Calibri" w:hAnsi="Calibri"/>
          <w:sz w:val="22"/>
          <w:szCs w:val="22"/>
          <w:lang w:val="en-GB"/>
        </w:rPr>
      </w:pPr>
      <w:r>
        <w:rPr>
          <w:rFonts w:ascii="Calibri" w:hAnsi="Calibri"/>
          <w:sz w:val="22"/>
          <w:szCs w:val="22"/>
          <w:lang w:val="en-GB"/>
        </w:rPr>
        <w:t>Once consent</w:t>
      </w:r>
      <w:r w:rsidR="0082057A">
        <w:rPr>
          <w:rFonts w:ascii="Calibri" w:hAnsi="Calibri"/>
          <w:sz w:val="22"/>
          <w:szCs w:val="22"/>
          <w:lang w:val="en-GB"/>
        </w:rPr>
        <w:t>/assent</w:t>
      </w:r>
      <w:r>
        <w:rPr>
          <w:rFonts w:ascii="Calibri" w:hAnsi="Calibri"/>
          <w:sz w:val="22"/>
          <w:szCs w:val="22"/>
          <w:lang w:val="en-GB"/>
        </w:rPr>
        <w:t xml:space="preserve"> has been obtained/confirmed, the referring agency and the receiving agency discuss the timeline of the handover, including</w:t>
      </w:r>
    </w:p>
    <w:p w14:paraId="1360F43D" w14:textId="1C2CD5C7" w:rsidR="00CD3C6E" w:rsidRDefault="00CD3C6E" w:rsidP="00330311">
      <w:pPr>
        <w:pStyle w:val="ListParagraph"/>
        <w:numPr>
          <w:ilvl w:val="0"/>
          <w:numId w:val="5"/>
        </w:numPr>
        <w:tabs>
          <w:tab w:val="left" w:pos="1080"/>
        </w:tabs>
        <w:jc w:val="both"/>
        <w:rPr>
          <w:rFonts w:ascii="Calibri" w:hAnsi="Calibri"/>
          <w:sz w:val="22"/>
          <w:szCs w:val="22"/>
          <w:lang w:val="en-GB"/>
        </w:rPr>
      </w:pPr>
      <w:r>
        <w:rPr>
          <w:rFonts w:ascii="Calibri" w:hAnsi="Calibri"/>
          <w:sz w:val="22"/>
          <w:szCs w:val="22"/>
          <w:lang w:val="en-GB"/>
        </w:rPr>
        <w:t>agreement of people involved (case/social workers, case supervisors, psychologists, lawyers of referring agency and of receiving agency)</w:t>
      </w:r>
    </w:p>
    <w:p w14:paraId="09867FEA" w14:textId="180B5C6D" w:rsidR="00CD3C6E" w:rsidRDefault="00CD3C6E" w:rsidP="00330311">
      <w:pPr>
        <w:pStyle w:val="ListParagraph"/>
        <w:numPr>
          <w:ilvl w:val="0"/>
          <w:numId w:val="5"/>
        </w:numPr>
        <w:tabs>
          <w:tab w:val="left" w:pos="1080"/>
        </w:tabs>
        <w:jc w:val="both"/>
        <w:rPr>
          <w:rFonts w:ascii="Calibri" w:hAnsi="Calibri"/>
          <w:sz w:val="22"/>
          <w:szCs w:val="22"/>
          <w:lang w:val="en-GB"/>
        </w:rPr>
      </w:pPr>
      <w:r>
        <w:rPr>
          <w:rFonts w:ascii="Calibri" w:hAnsi="Calibri"/>
          <w:sz w:val="22"/>
          <w:szCs w:val="22"/>
          <w:lang w:val="en-GB"/>
        </w:rPr>
        <w:t>date of case</w:t>
      </w:r>
      <w:r w:rsidR="00C431BC">
        <w:rPr>
          <w:rFonts w:ascii="Calibri" w:hAnsi="Calibri"/>
          <w:sz w:val="22"/>
          <w:szCs w:val="22"/>
          <w:lang w:val="en-GB"/>
        </w:rPr>
        <w:t xml:space="preserve"> </w:t>
      </w:r>
      <w:r w:rsidR="006F025C">
        <w:rPr>
          <w:rFonts w:ascii="Calibri" w:hAnsi="Calibri"/>
          <w:sz w:val="22"/>
          <w:szCs w:val="22"/>
          <w:lang w:val="en-GB"/>
        </w:rPr>
        <w:t xml:space="preserve">conference </w:t>
      </w:r>
      <w:proofErr w:type="gramStart"/>
      <w:r w:rsidR="00C431BC">
        <w:rPr>
          <w:rFonts w:ascii="Calibri" w:hAnsi="Calibri"/>
          <w:sz w:val="22"/>
          <w:szCs w:val="22"/>
          <w:lang w:val="en-GB"/>
        </w:rPr>
        <w:t xml:space="preserve">meeting </w:t>
      </w:r>
      <w:r>
        <w:rPr>
          <w:rFonts w:ascii="Calibri" w:hAnsi="Calibri"/>
          <w:sz w:val="22"/>
          <w:szCs w:val="22"/>
          <w:lang w:val="en-GB"/>
        </w:rPr>
        <w:t>,</w:t>
      </w:r>
      <w:proofErr w:type="gramEnd"/>
      <w:r>
        <w:rPr>
          <w:rFonts w:ascii="Calibri" w:hAnsi="Calibri"/>
          <w:sz w:val="22"/>
          <w:szCs w:val="22"/>
          <w:lang w:val="en-GB"/>
        </w:rPr>
        <w:t xml:space="preserve"> based on </w:t>
      </w:r>
      <w:r w:rsidRPr="003F3E04">
        <w:rPr>
          <w:rFonts w:ascii="Calibri" w:hAnsi="Calibri"/>
          <w:sz w:val="22"/>
          <w:szCs w:val="22"/>
          <w:lang w:val="en-GB"/>
        </w:rPr>
        <w:t xml:space="preserve">prioritisation </w:t>
      </w:r>
      <w:r>
        <w:rPr>
          <w:rFonts w:ascii="Calibri" w:hAnsi="Calibri"/>
          <w:sz w:val="22"/>
          <w:szCs w:val="22"/>
          <w:lang w:val="en-GB"/>
        </w:rPr>
        <w:t>of cases. Case</w:t>
      </w:r>
      <w:r w:rsidR="006F025C">
        <w:rPr>
          <w:rFonts w:ascii="Calibri" w:hAnsi="Calibri"/>
          <w:sz w:val="22"/>
          <w:szCs w:val="22"/>
          <w:lang w:val="en-GB"/>
        </w:rPr>
        <w:t xml:space="preserve"> conferences</w:t>
      </w:r>
      <w:r>
        <w:rPr>
          <w:rFonts w:ascii="Calibri" w:hAnsi="Calibri"/>
          <w:sz w:val="22"/>
          <w:szCs w:val="22"/>
          <w:lang w:val="en-GB"/>
        </w:rPr>
        <w:t xml:space="preserve"> </w:t>
      </w:r>
      <w:r w:rsidR="00C431BC">
        <w:rPr>
          <w:rFonts w:ascii="Calibri" w:hAnsi="Calibri"/>
          <w:sz w:val="22"/>
          <w:szCs w:val="22"/>
          <w:lang w:val="en-GB"/>
        </w:rPr>
        <w:t xml:space="preserve">meetings </w:t>
      </w:r>
      <w:r>
        <w:rPr>
          <w:rFonts w:ascii="Calibri" w:hAnsi="Calibri"/>
          <w:sz w:val="22"/>
          <w:szCs w:val="22"/>
          <w:lang w:val="en-GB"/>
        </w:rPr>
        <w:t>for high priority cases should take place within 24 hours of the transfer, for medium priority cases within 3 days, for low priority cases within a week</w:t>
      </w:r>
    </w:p>
    <w:p w14:paraId="07E5DD86" w14:textId="2DD4540A" w:rsidR="00CD3C6E" w:rsidRDefault="00CD3C6E" w:rsidP="00330311">
      <w:pPr>
        <w:pStyle w:val="ListParagraph"/>
        <w:numPr>
          <w:ilvl w:val="0"/>
          <w:numId w:val="5"/>
        </w:numPr>
        <w:tabs>
          <w:tab w:val="left" w:pos="1080"/>
        </w:tabs>
        <w:jc w:val="both"/>
        <w:rPr>
          <w:rFonts w:ascii="Calibri" w:hAnsi="Calibri"/>
          <w:sz w:val="22"/>
          <w:szCs w:val="22"/>
          <w:lang w:val="en-GB"/>
        </w:rPr>
      </w:pPr>
      <w:r>
        <w:rPr>
          <w:rFonts w:ascii="Calibri" w:hAnsi="Calibri"/>
          <w:sz w:val="22"/>
          <w:szCs w:val="22"/>
          <w:lang w:val="en-GB"/>
        </w:rPr>
        <w:t>Agreement on follow up and action points, based on case</w:t>
      </w:r>
      <w:r w:rsidR="006F025C">
        <w:rPr>
          <w:rFonts w:ascii="Calibri" w:hAnsi="Calibri"/>
          <w:sz w:val="22"/>
          <w:szCs w:val="22"/>
          <w:lang w:val="en-GB"/>
        </w:rPr>
        <w:t xml:space="preserve"> conferences</w:t>
      </w:r>
      <w:r>
        <w:rPr>
          <w:rFonts w:ascii="Calibri" w:hAnsi="Calibri"/>
          <w:sz w:val="22"/>
          <w:szCs w:val="22"/>
          <w:lang w:val="en-GB"/>
        </w:rPr>
        <w:t xml:space="preserve"> </w:t>
      </w:r>
      <w:r w:rsidR="00C431BC">
        <w:rPr>
          <w:rFonts w:ascii="Calibri" w:hAnsi="Calibri"/>
          <w:sz w:val="22"/>
          <w:szCs w:val="22"/>
          <w:lang w:val="en-GB"/>
        </w:rPr>
        <w:t xml:space="preserve">meetings </w:t>
      </w:r>
      <w:r>
        <w:rPr>
          <w:rFonts w:ascii="Calibri" w:hAnsi="Calibri"/>
          <w:sz w:val="22"/>
          <w:szCs w:val="22"/>
          <w:lang w:val="en-GB"/>
        </w:rPr>
        <w:t>discussions</w:t>
      </w:r>
    </w:p>
    <w:p w14:paraId="57EE0B73" w14:textId="4795278D" w:rsidR="00D330F2" w:rsidRPr="00CD3C6E" w:rsidRDefault="00CD3C6E" w:rsidP="00330311">
      <w:pPr>
        <w:pStyle w:val="ListParagraph"/>
        <w:numPr>
          <w:ilvl w:val="0"/>
          <w:numId w:val="5"/>
        </w:numPr>
        <w:tabs>
          <w:tab w:val="left" w:pos="1080"/>
        </w:tabs>
        <w:jc w:val="both"/>
        <w:rPr>
          <w:rFonts w:ascii="Calibri" w:hAnsi="Calibri"/>
          <w:sz w:val="22"/>
          <w:szCs w:val="22"/>
          <w:lang w:val="en-GB"/>
        </w:rPr>
      </w:pPr>
      <w:r>
        <w:rPr>
          <w:rFonts w:ascii="Calibri" w:hAnsi="Calibri"/>
          <w:sz w:val="22"/>
          <w:szCs w:val="22"/>
          <w:lang w:val="en-GB"/>
        </w:rPr>
        <w:t>Agreement on transfer of electronic and physical files, following the Interim Data Protection and Information Sharing Protocols</w:t>
      </w:r>
    </w:p>
    <w:p w14:paraId="0D852372" w14:textId="54F8F696" w:rsidR="00D330F2" w:rsidRDefault="00E32527" w:rsidP="00330311">
      <w:pPr>
        <w:pStyle w:val="ListParagraph"/>
        <w:numPr>
          <w:ilvl w:val="0"/>
          <w:numId w:val="4"/>
        </w:numPr>
        <w:tabs>
          <w:tab w:val="left" w:pos="1080"/>
        </w:tabs>
        <w:jc w:val="both"/>
        <w:rPr>
          <w:rFonts w:ascii="Calibri" w:hAnsi="Calibri"/>
          <w:sz w:val="22"/>
          <w:szCs w:val="22"/>
          <w:lang w:val="en-GB"/>
        </w:rPr>
      </w:pPr>
      <w:r>
        <w:rPr>
          <w:rFonts w:ascii="Calibri" w:hAnsi="Calibri"/>
          <w:sz w:val="22"/>
          <w:szCs w:val="22"/>
          <w:lang w:val="en-GB"/>
        </w:rPr>
        <w:t xml:space="preserve">Whenever possible (i.e. referring agency and receiving agency in the same location), a joint meeting with the child/group of children </w:t>
      </w:r>
      <w:r w:rsidR="00C30C33">
        <w:rPr>
          <w:rFonts w:ascii="Calibri" w:hAnsi="Calibri"/>
          <w:sz w:val="22"/>
          <w:szCs w:val="22"/>
          <w:lang w:val="en-GB"/>
        </w:rPr>
        <w:t xml:space="preserve">(if applicable, and family) </w:t>
      </w:r>
      <w:r>
        <w:rPr>
          <w:rFonts w:ascii="Calibri" w:hAnsi="Calibri"/>
          <w:sz w:val="22"/>
          <w:szCs w:val="22"/>
          <w:lang w:val="en-GB"/>
        </w:rPr>
        <w:t>can be arranged to facilitate the transition, if in the best interest</w:t>
      </w:r>
      <w:r w:rsidR="00C30C33">
        <w:rPr>
          <w:rFonts w:ascii="Calibri" w:hAnsi="Calibri"/>
          <w:sz w:val="22"/>
          <w:szCs w:val="22"/>
          <w:lang w:val="en-GB"/>
        </w:rPr>
        <w:t>s</w:t>
      </w:r>
      <w:r>
        <w:rPr>
          <w:rFonts w:ascii="Calibri" w:hAnsi="Calibri"/>
          <w:sz w:val="22"/>
          <w:szCs w:val="22"/>
          <w:lang w:val="en-GB"/>
        </w:rPr>
        <w:t xml:space="preserve"> of the child and in line with the do no harm and confidentiality principles.</w:t>
      </w:r>
    </w:p>
    <w:p w14:paraId="287A4639" w14:textId="36E552B8" w:rsidR="0080334E" w:rsidRDefault="0080334E" w:rsidP="00330311">
      <w:pPr>
        <w:pStyle w:val="ListParagraph"/>
        <w:numPr>
          <w:ilvl w:val="0"/>
          <w:numId w:val="4"/>
        </w:numPr>
        <w:tabs>
          <w:tab w:val="left" w:pos="1080"/>
        </w:tabs>
        <w:jc w:val="both"/>
        <w:rPr>
          <w:rFonts w:ascii="Calibri" w:hAnsi="Calibri"/>
          <w:sz w:val="22"/>
          <w:szCs w:val="22"/>
          <w:lang w:val="en-GB"/>
        </w:rPr>
      </w:pPr>
      <w:r>
        <w:rPr>
          <w:rFonts w:ascii="Calibri" w:hAnsi="Calibri"/>
          <w:sz w:val="22"/>
          <w:szCs w:val="22"/>
          <w:lang w:val="en-GB"/>
        </w:rPr>
        <w:t>The referring agency and the receiving agency organise a follow up meeting one month after the transfer of cases</w:t>
      </w:r>
      <w:r w:rsidR="00C431BC">
        <w:rPr>
          <w:rFonts w:ascii="Calibri" w:hAnsi="Calibri"/>
          <w:sz w:val="22"/>
          <w:szCs w:val="22"/>
          <w:lang w:val="en-GB"/>
        </w:rPr>
        <w:t>, when possible</w:t>
      </w:r>
    </w:p>
    <w:p w14:paraId="20DB8899" w14:textId="63A9275B" w:rsidR="001C2F34" w:rsidRDefault="001C2F34" w:rsidP="00330311">
      <w:pPr>
        <w:pStyle w:val="ListParagraph"/>
        <w:numPr>
          <w:ilvl w:val="0"/>
          <w:numId w:val="4"/>
        </w:numPr>
        <w:tabs>
          <w:tab w:val="left" w:pos="1080"/>
        </w:tabs>
        <w:jc w:val="both"/>
        <w:rPr>
          <w:rFonts w:ascii="Calibri" w:hAnsi="Calibri"/>
          <w:sz w:val="22"/>
          <w:szCs w:val="22"/>
          <w:lang w:val="en-GB"/>
        </w:rPr>
      </w:pPr>
      <w:r>
        <w:rPr>
          <w:rFonts w:ascii="Calibri" w:hAnsi="Calibri"/>
          <w:sz w:val="22"/>
          <w:szCs w:val="22"/>
          <w:lang w:val="en-GB"/>
        </w:rPr>
        <w:t xml:space="preserve">The referring agency will maintain the case file/s </w:t>
      </w:r>
      <w:r w:rsidR="00287D6E">
        <w:rPr>
          <w:rFonts w:ascii="Calibri" w:hAnsi="Calibri"/>
          <w:sz w:val="22"/>
          <w:szCs w:val="22"/>
          <w:lang w:val="en-GB"/>
        </w:rPr>
        <w:t xml:space="preserve">in a secure archive (as per data protection protocol) </w:t>
      </w:r>
      <w:r>
        <w:rPr>
          <w:rFonts w:ascii="Calibri" w:hAnsi="Calibri"/>
          <w:sz w:val="22"/>
          <w:szCs w:val="22"/>
          <w:lang w:val="en-GB"/>
        </w:rPr>
        <w:t xml:space="preserve">for </w:t>
      </w:r>
      <w:r w:rsidR="0080334E">
        <w:rPr>
          <w:rFonts w:ascii="Calibri" w:hAnsi="Calibri"/>
          <w:sz w:val="22"/>
          <w:szCs w:val="22"/>
          <w:lang w:val="en-GB"/>
        </w:rPr>
        <w:t>6</w:t>
      </w:r>
      <w:r w:rsidR="008C73A2">
        <w:rPr>
          <w:rFonts w:ascii="Calibri" w:hAnsi="Calibri"/>
          <w:sz w:val="22"/>
          <w:szCs w:val="22"/>
          <w:lang w:val="en-GB"/>
        </w:rPr>
        <w:t xml:space="preserve"> </w:t>
      </w:r>
      <w:r w:rsidR="00287D6E">
        <w:rPr>
          <w:rFonts w:ascii="Calibri" w:hAnsi="Calibri"/>
          <w:sz w:val="22"/>
          <w:szCs w:val="22"/>
          <w:lang w:val="en-GB"/>
        </w:rPr>
        <w:t>months, after which all records will be destroyed.</w:t>
      </w:r>
    </w:p>
    <w:p w14:paraId="7863D148" w14:textId="77777777" w:rsidR="00E32527" w:rsidRDefault="00E32527" w:rsidP="00330311">
      <w:pPr>
        <w:tabs>
          <w:tab w:val="left" w:pos="1080"/>
        </w:tabs>
        <w:jc w:val="both"/>
        <w:rPr>
          <w:rFonts w:ascii="Calibri" w:hAnsi="Calibri"/>
          <w:sz w:val="22"/>
          <w:szCs w:val="22"/>
          <w:lang w:val="en-GB"/>
        </w:rPr>
      </w:pPr>
    </w:p>
    <w:p w14:paraId="666746FD" w14:textId="77777777" w:rsidR="00E32527" w:rsidRPr="00E32527" w:rsidRDefault="00E32527" w:rsidP="00330311">
      <w:pPr>
        <w:tabs>
          <w:tab w:val="left" w:pos="1080"/>
        </w:tabs>
        <w:jc w:val="both"/>
        <w:rPr>
          <w:rFonts w:ascii="Calibri" w:hAnsi="Calibri"/>
          <w:sz w:val="22"/>
          <w:szCs w:val="22"/>
          <w:lang w:val="en-GB"/>
        </w:rPr>
      </w:pPr>
    </w:p>
    <w:p w14:paraId="7F470A68" w14:textId="77777777" w:rsidR="002A73A1" w:rsidRPr="00C82577" w:rsidRDefault="002A73A1" w:rsidP="00330311">
      <w:pPr>
        <w:tabs>
          <w:tab w:val="left" w:pos="1080"/>
        </w:tabs>
        <w:jc w:val="both"/>
        <w:rPr>
          <w:rFonts w:ascii="Calibri" w:hAnsi="Calibri"/>
          <w:sz w:val="22"/>
          <w:szCs w:val="22"/>
          <w:lang w:val="en-GB"/>
        </w:rPr>
      </w:pPr>
    </w:p>
    <w:p w14:paraId="1EAC2170" w14:textId="28D8E2A6" w:rsidR="00182C89" w:rsidRPr="00C82577" w:rsidRDefault="00182C89" w:rsidP="00330311">
      <w:pPr>
        <w:tabs>
          <w:tab w:val="left" w:pos="1080"/>
        </w:tabs>
        <w:jc w:val="both"/>
        <w:rPr>
          <w:rFonts w:ascii="Calibri" w:hAnsi="Calibri"/>
          <w:b/>
          <w:color w:val="2E74B5" w:themeColor="accent5" w:themeShade="BF"/>
          <w:sz w:val="22"/>
          <w:szCs w:val="22"/>
          <w:lang w:val="en-GB"/>
        </w:rPr>
      </w:pPr>
      <w:r w:rsidRPr="00C82577">
        <w:rPr>
          <w:rFonts w:ascii="Calibri" w:hAnsi="Calibri"/>
          <w:b/>
          <w:color w:val="2E74B5" w:themeColor="accent5" w:themeShade="BF"/>
          <w:sz w:val="22"/>
          <w:szCs w:val="22"/>
          <w:lang w:val="en-GB"/>
        </w:rPr>
        <w:t>List of Annexes</w:t>
      </w:r>
    </w:p>
    <w:p w14:paraId="30212224" w14:textId="02279AF2" w:rsidR="00182C89" w:rsidRPr="00C82577" w:rsidRDefault="00182C89" w:rsidP="00330311">
      <w:pPr>
        <w:tabs>
          <w:tab w:val="left" w:pos="1080"/>
        </w:tabs>
        <w:jc w:val="both"/>
        <w:rPr>
          <w:rFonts w:ascii="Calibri" w:hAnsi="Calibri"/>
          <w:sz w:val="22"/>
          <w:szCs w:val="22"/>
          <w:lang w:val="en-GB"/>
        </w:rPr>
      </w:pPr>
      <w:r w:rsidRPr="00C82577">
        <w:rPr>
          <w:rFonts w:ascii="Calibri" w:hAnsi="Calibri"/>
          <w:b/>
          <w:color w:val="2E74B5" w:themeColor="accent5" w:themeShade="BF"/>
          <w:sz w:val="22"/>
          <w:szCs w:val="22"/>
          <w:lang w:val="en-GB"/>
        </w:rPr>
        <w:t>Annex 1 Case Transfer Form</w:t>
      </w:r>
    </w:p>
    <w:p w14:paraId="5BE20C0A" w14:textId="5FC8A9A6" w:rsidR="00182C89" w:rsidRPr="00C82577" w:rsidRDefault="00182C89" w:rsidP="00330311">
      <w:pPr>
        <w:tabs>
          <w:tab w:val="left" w:pos="360"/>
          <w:tab w:val="left" w:pos="720"/>
          <w:tab w:val="left" w:pos="1080"/>
          <w:tab w:val="left" w:pos="1440"/>
          <w:tab w:val="left" w:pos="1800"/>
          <w:tab w:val="left" w:pos="2160"/>
        </w:tabs>
        <w:jc w:val="both"/>
        <w:rPr>
          <w:rFonts w:ascii="Calibri" w:hAnsi="Calibri"/>
          <w:b/>
          <w:color w:val="2E74B5" w:themeColor="accent5" w:themeShade="BF"/>
          <w:sz w:val="22"/>
          <w:szCs w:val="22"/>
          <w:lang w:val="en-GB"/>
        </w:rPr>
      </w:pPr>
      <w:r w:rsidRPr="00C82577">
        <w:rPr>
          <w:rFonts w:ascii="Calibri" w:hAnsi="Calibri"/>
          <w:b/>
          <w:color w:val="2E74B5" w:themeColor="accent5" w:themeShade="BF"/>
          <w:sz w:val="22"/>
          <w:szCs w:val="22"/>
          <w:lang w:val="en-GB"/>
        </w:rPr>
        <w:t>Annex 2 Interim Data Protection and Information Sharing Protocol</w:t>
      </w:r>
    </w:p>
    <w:p w14:paraId="5A7F2CAF" w14:textId="77777777" w:rsidR="00182C89" w:rsidRPr="00C82577" w:rsidRDefault="00182C89" w:rsidP="00330311">
      <w:pPr>
        <w:tabs>
          <w:tab w:val="left" w:pos="1080"/>
        </w:tabs>
        <w:jc w:val="both"/>
        <w:rPr>
          <w:rFonts w:ascii="Calibri" w:hAnsi="Calibri"/>
          <w:sz w:val="22"/>
          <w:szCs w:val="22"/>
          <w:lang w:val="en-GB"/>
        </w:rPr>
      </w:pPr>
    </w:p>
    <w:sectPr w:rsidR="00182C89" w:rsidRPr="00C82577" w:rsidSect="00962E40">
      <w:headerReference w:type="default"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20EFB" w14:textId="77777777" w:rsidR="0062039B" w:rsidRDefault="0062039B" w:rsidP="009E6679">
      <w:r>
        <w:separator/>
      </w:r>
    </w:p>
  </w:endnote>
  <w:endnote w:type="continuationSeparator" w:id="0">
    <w:p w14:paraId="159E5EF0" w14:textId="77777777" w:rsidR="0062039B" w:rsidRDefault="0062039B" w:rsidP="009E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346789"/>
      <w:docPartObj>
        <w:docPartGallery w:val="Page Numbers (Bottom of Page)"/>
        <w:docPartUnique/>
      </w:docPartObj>
    </w:sdtPr>
    <w:sdtEndPr>
      <w:rPr>
        <w:rFonts w:asciiTheme="minorHAnsi" w:hAnsiTheme="minorHAnsi" w:cs="Arial"/>
        <w:noProof/>
        <w:sz w:val="22"/>
        <w:szCs w:val="22"/>
      </w:rPr>
    </w:sdtEndPr>
    <w:sdtContent>
      <w:p w14:paraId="07BB738C" w14:textId="442E2EE1" w:rsidR="0098119B" w:rsidRPr="0098119B" w:rsidRDefault="0098119B">
        <w:pPr>
          <w:pStyle w:val="Footer"/>
          <w:jc w:val="right"/>
          <w:rPr>
            <w:rFonts w:asciiTheme="minorHAnsi" w:hAnsiTheme="minorHAnsi" w:cs="Arial"/>
            <w:sz w:val="22"/>
            <w:szCs w:val="22"/>
          </w:rPr>
        </w:pPr>
        <w:r w:rsidRPr="0098119B">
          <w:rPr>
            <w:rFonts w:asciiTheme="minorHAnsi" w:hAnsiTheme="minorHAnsi" w:cs="Arial"/>
            <w:sz w:val="22"/>
            <w:szCs w:val="22"/>
          </w:rPr>
          <w:fldChar w:fldCharType="begin"/>
        </w:r>
        <w:r w:rsidRPr="0098119B">
          <w:rPr>
            <w:rFonts w:asciiTheme="minorHAnsi" w:hAnsiTheme="minorHAnsi" w:cs="Arial"/>
            <w:sz w:val="22"/>
            <w:szCs w:val="22"/>
          </w:rPr>
          <w:instrText xml:space="preserve"> PAGE   \* MERGEFORMAT </w:instrText>
        </w:r>
        <w:r w:rsidRPr="0098119B">
          <w:rPr>
            <w:rFonts w:asciiTheme="minorHAnsi" w:hAnsiTheme="minorHAnsi" w:cs="Arial"/>
            <w:sz w:val="22"/>
            <w:szCs w:val="22"/>
          </w:rPr>
          <w:fldChar w:fldCharType="separate"/>
        </w:r>
        <w:r w:rsidR="006F025C">
          <w:rPr>
            <w:rFonts w:asciiTheme="minorHAnsi" w:hAnsiTheme="minorHAnsi" w:cs="Arial"/>
            <w:noProof/>
            <w:sz w:val="22"/>
            <w:szCs w:val="22"/>
          </w:rPr>
          <w:t>1</w:t>
        </w:r>
        <w:r w:rsidRPr="0098119B">
          <w:rPr>
            <w:rFonts w:asciiTheme="minorHAnsi" w:hAnsiTheme="minorHAnsi" w:cs="Arial"/>
            <w:noProof/>
            <w:sz w:val="22"/>
            <w:szCs w:val="22"/>
          </w:rPr>
          <w:fldChar w:fldCharType="end"/>
        </w:r>
      </w:p>
    </w:sdtContent>
  </w:sdt>
  <w:p w14:paraId="6A39934F" w14:textId="77777777" w:rsidR="0098119B" w:rsidRDefault="00981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4F18F" w14:textId="77777777" w:rsidR="0062039B" w:rsidRDefault="0062039B" w:rsidP="009E6679">
      <w:r>
        <w:separator/>
      </w:r>
    </w:p>
  </w:footnote>
  <w:footnote w:type="continuationSeparator" w:id="0">
    <w:p w14:paraId="1E20D2B6" w14:textId="77777777" w:rsidR="0062039B" w:rsidRDefault="0062039B" w:rsidP="009E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6966" w14:textId="4CF2527B" w:rsidR="009E6679" w:rsidRDefault="009E6679">
    <w:pPr>
      <w:pStyle w:val="Header"/>
    </w:pPr>
    <w:r>
      <w:rPr>
        <w:noProof/>
      </w:rPr>
      <w:t>Technical Guidance for Transfer of Cases – Case Management Task Force - Greece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648E"/>
    <w:multiLevelType w:val="hybridMultilevel"/>
    <w:tmpl w:val="BCFC89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3F13FA"/>
    <w:multiLevelType w:val="hybridMultilevel"/>
    <w:tmpl w:val="10D65C5C"/>
    <w:lvl w:ilvl="0" w:tplc="AD82D8EC">
      <w:start w:val="1"/>
      <w:numFmt w:val="bullet"/>
      <w:lvlText w:val="•"/>
      <w:lvlJc w:val="left"/>
      <w:pPr>
        <w:tabs>
          <w:tab w:val="num" w:pos="720"/>
        </w:tabs>
        <w:ind w:left="720" w:hanging="360"/>
      </w:pPr>
      <w:rPr>
        <w:rFonts w:ascii="Arial" w:hAnsi="Arial" w:hint="default"/>
      </w:rPr>
    </w:lvl>
    <w:lvl w:ilvl="1" w:tplc="5F549092" w:tentative="1">
      <w:start w:val="1"/>
      <w:numFmt w:val="bullet"/>
      <w:lvlText w:val="•"/>
      <w:lvlJc w:val="left"/>
      <w:pPr>
        <w:tabs>
          <w:tab w:val="num" w:pos="1440"/>
        </w:tabs>
        <w:ind w:left="1440" w:hanging="360"/>
      </w:pPr>
      <w:rPr>
        <w:rFonts w:ascii="Arial" w:hAnsi="Arial" w:hint="default"/>
      </w:rPr>
    </w:lvl>
    <w:lvl w:ilvl="2" w:tplc="C26E6FE4" w:tentative="1">
      <w:start w:val="1"/>
      <w:numFmt w:val="bullet"/>
      <w:lvlText w:val="•"/>
      <w:lvlJc w:val="left"/>
      <w:pPr>
        <w:tabs>
          <w:tab w:val="num" w:pos="2160"/>
        </w:tabs>
        <w:ind w:left="2160" w:hanging="360"/>
      </w:pPr>
      <w:rPr>
        <w:rFonts w:ascii="Arial" w:hAnsi="Arial" w:hint="default"/>
      </w:rPr>
    </w:lvl>
    <w:lvl w:ilvl="3" w:tplc="EA240110" w:tentative="1">
      <w:start w:val="1"/>
      <w:numFmt w:val="bullet"/>
      <w:lvlText w:val="•"/>
      <w:lvlJc w:val="left"/>
      <w:pPr>
        <w:tabs>
          <w:tab w:val="num" w:pos="2880"/>
        </w:tabs>
        <w:ind w:left="2880" w:hanging="360"/>
      </w:pPr>
      <w:rPr>
        <w:rFonts w:ascii="Arial" w:hAnsi="Arial" w:hint="default"/>
      </w:rPr>
    </w:lvl>
    <w:lvl w:ilvl="4" w:tplc="10A63184" w:tentative="1">
      <w:start w:val="1"/>
      <w:numFmt w:val="bullet"/>
      <w:lvlText w:val="•"/>
      <w:lvlJc w:val="left"/>
      <w:pPr>
        <w:tabs>
          <w:tab w:val="num" w:pos="3600"/>
        </w:tabs>
        <w:ind w:left="3600" w:hanging="360"/>
      </w:pPr>
      <w:rPr>
        <w:rFonts w:ascii="Arial" w:hAnsi="Arial" w:hint="default"/>
      </w:rPr>
    </w:lvl>
    <w:lvl w:ilvl="5" w:tplc="F9086684" w:tentative="1">
      <w:start w:val="1"/>
      <w:numFmt w:val="bullet"/>
      <w:lvlText w:val="•"/>
      <w:lvlJc w:val="left"/>
      <w:pPr>
        <w:tabs>
          <w:tab w:val="num" w:pos="4320"/>
        </w:tabs>
        <w:ind w:left="4320" w:hanging="360"/>
      </w:pPr>
      <w:rPr>
        <w:rFonts w:ascii="Arial" w:hAnsi="Arial" w:hint="default"/>
      </w:rPr>
    </w:lvl>
    <w:lvl w:ilvl="6" w:tplc="7550E374" w:tentative="1">
      <w:start w:val="1"/>
      <w:numFmt w:val="bullet"/>
      <w:lvlText w:val="•"/>
      <w:lvlJc w:val="left"/>
      <w:pPr>
        <w:tabs>
          <w:tab w:val="num" w:pos="5040"/>
        </w:tabs>
        <w:ind w:left="5040" w:hanging="360"/>
      </w:pPr>
      <w:rPr>
        <w:rFonts w:ascii="Arial" w:hAnsi="Arial" w:hint="default"/>
      </w:rPr>
    </w:lvl>
    <w:lvl w:ilvl="7" w:tplc="6C6256DC" w:tentative="1">
      <w:start w:val="1"/>
      <w:numFmt w:val="bullet"/>
      <w:lvlText w:val="•"/>
      <w:lvlJc w:val="left"/>
      <w:pPr>
        <w:tabs>
          <w:tab w:val="num" w:pos="5760"/>
        </w:tabs>
        <w:ind w:left="5760" w:hanging="360"/>
      </w:pPr>
      <w:rPr>
        <w:rFonts w:ascii="Arial" w:hAnsi="Arial" w:hint="default"/>
      </w:rPr>
    </w:lvl>
    <w:lvl w:ilvl="8" w:tplc="AD5290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824185"/>
    <w:multiLevelType w:val="hybridMultilevel"/>
    <w:tmpl w:val="C8A84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FF4542"/>
    <w:multiLevelType w:val="hybridMultilevel"/>
    <w:tmpl w:val="2F4CD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476997"/>
    <w:multiLevelType w:val="hybridMultilevel"/>
    <w:tmpl w:val="388A81A0"/>
    <w:lvl w:ilvl="0" w:tplc="44EC86B4">
      <w:start w:val="1"/>
      <w:numFmt w:val="bullet"/>
      <w:lvlText w:val="•"/>
      <w:lvlJc w:val="left"/>
      <w:pPr>
        <w:tabs>
          <w:tab w:val="num" w:pos="720"/>
        </w:tabs>
        <w:ind w:left="720" w:hanging="360"/>
      </w:pPr>
      <w:rPr>
        <w:rFonts w:ascii="Arial" w:hAnsi="Arial" w:hint="default"/>
      </w:rPr>
    </w:lvl>
    <w:lvl w:ilvl="1" w:tplc="269A3580" w:tentative="1">
      <w:start w:val="1"/>
      <w:numFmt w:val="bullet"/>
      <w:lvlText w:val="•"/>
      <w:lvlJc w:val="left"/>
      <w:pPr>
        <w:tabs>
          <w:tab w:val="num" w:pos="1440"/>
        </w:tabs>
        <w:ind w:left="1440" w:hanging="360"/>
      </w:pPr>
      <w:rPr>
        <w:rFonts w:ascii="Arial" w:hAnsi="Arial" w:hint="default"/>
      </w:rPr>
    </w:lvl>
    <w:lvl w:ilvl="2" w:tplc="B5CAAF44" w:tentative="1">
      <w:start w:val="1"/>
      <w:numFmt w:val="bullet"/>
      <w:lvlText w:val="•"/>
      <w:lvlJc w:val="left"/>
      <w:pPr>
        <w:tabs>
          <w:tab w:val="num" w:pos="2160"/>
        </w:tabs>
        <w:ind w:left="2160" w:hanging="360"/>
      </w:pPr>
      <w:rPr>
        <w:rFonts w:ascii="Arial" w:hAnsi="Arial" w:hint="default"/>
      </w:rPr>
    </w:lvl>
    <w:lvl w:ilvl="3" w:tplc="77E071FC" w:tentative="1">
      <w:start w:val="1"/>
      <w:numFmt w:val="bullet"/>
      <w:lvlText w:val="•"/>
      <w:lvlJc w:val="left"/>
      <w:pPr>
        <w:tabs>
          <w:tab w:val="num" w:pos="2880"/>
        </w:tabs>
        <w:ind w:left="2880" w:hanging="360"/>
      </w:pPr>
      <w:rPr>
        <w:rFonts w:ascii="Arial" w:hAnsi="Arial" w:hint="default"/>
      </w:rPr>
    </w:lvl>
    <w:lvl w:ilvl="4" w:tplc="6DACDBB4" w:tentative="1">
      <w:start w:val="1"/>
      <w:numFmt w:val="bullet"/>
      <w:lvlText w:val="•"/>
      <w:lvlJc w:val="left"/>
      <w:pPr>
        <w:tabs>
          <w:tab w:val="num" w:pos="3600"/>
        </w:tabs>
        <w:ind w:left="3600" w:hanging="360"/>
      </w:pPr>
      <w:rPr>
        <w:rFonts w:ascii="Arial" w:hAnsi="Arial" w:hint="default"/>
      </w:rPr>
    </w:lvl>
    <w:lvl w:ilvl="5" w:tplc="41B29AE0" w:tentative="1">
      <w:start w:val="1"/>
      <w:numFmt w:val="bullet"/>
      <w:lvlText w:val="•"/>
      <w:lvlJc w:val="left"/>
      <w:pPr>
        <w:tabs>
          <w:tab w:val="num" w:pos="4320"/>
        </w:tabs>
        <w:ind w:left="4320" w:hanging="360"/>
      </w:pPr>
      <w:rPr>
        <w:rFonts w:ascii="Arial" w:hAnsi="Arial" w:hint="default"/>
      </w:rPr>
    </w:lvl>
    <w:lvl w:ilvl="6" w:tplc="F406140E" w:tentative="1">
      <w:start w:val="1"/>
      <w:numFmt w:val="bullet"/>
      <w:lvlText w:val="•"/>
      <w:lvlJc w:val="left"/>
      <w:pPr>
        <w:tabs>
          <w:tab w:val="num" w:pos="5040"/>
        </w:tabs>
        <w:ind w:left="5040" w:hanging="360"/>
      </w:pPr>
      <w:rPr>
        <w:rFonts w:ascii="Arial" w:hAnsi="Arial" w:hint="default"/>
      </w:rPr>
    </w:lvl>
    <w:lvl w:ilvl="7" w:tplc="CC4AC766" w:tentative="1">
      <w:start w:val="1"/>
      <w:numFmt w:val="bullet"/>
      <w:lvlText w:val="•"/>
      <w:lvlJc w:val="left"/>
      <w:pPr>
        <w:tabs>
          <w:tab w:val="num" w:pos="5760"/>
        </w:tabs>
        <w:ind w:left="5760" w:hanging="360"/>
      </w:pPr>
      <w:rPr>
        <w:rFonts w:ascii="Arial" w:hAnsi="Arial" w:hint="default"/>
      </w:rPr>
    </w:lvl>
    <w:lvl w:ilvl="8" w:tplc="38903D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72959FE"/>
    <w:multiLevelType w:val="multilevel"/>
    <w:tmpl w:val="49A21B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0EB2D3F"/>
    <w:multiLevelType w:val="hybridMultilevel"/>
    <w:tmpl w:val="65D64664"/>
    <w:lvl w:ilvl="0" w:tplc="BDD080E6">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679"/>
    <w:rsid w:val="00016B9D"/>
    <w:rsid w:val="000247C7"/>
    <w:rsid w:val="000432D7"/>
    <w:rsid w:val="00106BE2"/>
    <w:rsid w:val="0013652D"/>
    <w:rsid w:val="00137A5A"/>
    <w:rsid w:val="00147991"/>
    <w:rsid w:val="00162A66"/>
    <w:rsid w:val="00182C89"/>
    <w:rsid w:val="00184894"/>
    <w:rsid w:val="001C2F34"/>
    <w:rsid w:val="001E12F3"/>
    <w:rsid w:val="00201135"/>
    <w:rsid w:val="002167DA"/>
    <w:rsid w:val="0023006C"/>
    <w:rsid w:val="00237E96"/>
    <w:rsid w:val="00287D6E"/>
    <w:rsid w:val="002A73A1"/>
    <w:rsid w:val="00303946"/>
    <w:rsid w:val="00330311"/>
    <w:rsid w:val="003B339D"/>
    <w:rsid w:val="003B63CE"/>
    <w:rsid w:val="003B6F00"/>
    <w:rsid w:val="003F3E04"/>
    <w:rsid w:val="00467936"/>
    <w:rsid w:val="004A156C"/>
    <w:rsid w:val="004C054A"/>
    <w:rsid w:val="00531962"/>
    <w:rsid w:val="0053207D"/>
    <w:rsid w:val="00557524"/>
    <w:rsid w:val="00596BA9"/>
    <w:rsid w:val="005B4F28"/>
    <w:rsid w:val="005B7E7D"/>
    <w:rsid w:val="005D1753"/>
    <w:rsid w:val="005E2D04"/>
    <w:rsid w:val="005F4394"/>
    <w:rsid w:val="006075FA"/>
    <w:rsid w:val="0062039B"/>
    <w:rsid w:val="00642020"/>
    <w:rsid w:val="006566EC"/>
    <w:rsid w:val="006739CD"/>
    <w:rsid w:val="006E3150"/>
    <w:rsid w:val="006F025C"/>
    <w:rsid w:val="006F5A04"/>
    <w:rsid w:val="00735C0F"/>
    <w:rsid w:val="00751255"/>
    <w:rsid w:val="007C7B9A"/>
    <w:rsid w:val="007D3AFF"/>
    <w:rsid w:val="0080334E"/>
    <w:rsid w:val="00803B44"/>
    <w:rsid w:val="00813852"/>
    <w:rsid w:val="0082057A"/>
    <w:rsid w:val="00834579"/>
    <w:rsid w:val="008A0434"/>
    <w:rsid w:val="008B1F2D"/>
    <w:rsid w:val="008C33EB"/>
    <w:rsid w:val="008C73A2"/>
    <w:rsid w:val="008E5435"/>
    <w:rsid w:val="008F0383"/>
    <w:rsid w:val="00946056"/>
    <w:rsid w:val="00962E40"/>
    <w:rsid w:val="0098119B"/>
    <w:rsid w:val="009A13FF"/>
    <w:rsid w:val="009E6679"/>
    <w:rsid w:val="009F67EC"/>
    <w:rsid w:val="00A5336E"/>
    <w:rsid w:val="00A56056"/>
    <w:rsid w:val="00A63A81"/>
    <w:rsid w:val="00AD7D1C"/>
    <w:rsid w:val="00AF1AB1"/>
    <w:rsid w:val="00B16C89"/>
    <w:rsid w:val="00B33F7A"/>
    <w:rsid w:val="00B41ABB"/>
    <w:rsid w:val="00B57D28"/>
    <w:rsid w:val="00B97638"/>
    <w:rsid w:val="00BA24E2"/>
    <w:rsid w:val="00BE3561"/>
    <w:rsid w:val="00BF3DF5"/>
    <w:rsid w:val="00C07430"/>
    <w:rsid w:val="00C30C33"/>
    <w:rsid w:val="00C36D6E"/>
    <w:rsid w:val="00C431BC"/>
    <w:rsid w:val="00C43EA4"/>
    <w:rsid w:val="00C82577"/>
    <w:rsid w:val="00CC278F"/>
    <w:rsid w:val="00CC5380"/>
    <w:rsid w:val="00CD3C6E"/>
    <w:rsid w:val="00CF7A88"/>
    <w:rsid w:val="00D1545A"/>
    <w:rsid w:val="00D330F2"/>
    <w:rsid w:val="00D5357E"/>
    <w:rsid w:val="00D8007F"/>
    <w:rsid w:val="00D86DCF"/>
    <w:rsid w:val="00D94D1D"/>
    <w:rsid w:val="00E02B6B"/>
    <w:rsid w:val="00E32527"/>
    <w:rsid w:val="00E326BE"/>
    <w:rsid w:val="00E460C7"/>
    <w:rsid w:val="00EC127D"/>
    <w:rsid w:val="00EE6A78"/>
    <w:rsid w:val="00F078C8"/>
    <w:rsid w:val="00F3003C"/>
    <w:rsid w:val="00F573D5"/>
    <w:rsid w:val="00FD27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AF3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E6679"/>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679"/>
    <w:pPr>
      <w:tabs>
        <w:tab w:val="center" w:pos="4819"/>
        <w:tab w:val="right" w:pos="9638"/>
      </w:tabs>
    </w:pPr>
  </w:style>
  <w:style w:type="character" w:customStyle="1" w:styleId="HeaderChar">
    <w:name w:val="Header Char"/>
    <w:basedOn w:val="DefaultParagraphFont"/>
    <w:link w:val="Header"/>
    <w:uiPriority w:val="99"/>
    <w:rsid w:val="009E6679"/>
  </w:style>
  <w:style w:type="paragraph" w:styleId="Footer">
    <w:name w:val="footer"/>
    <w:basedOn w:val="Normal"/>
    <w:link w:val="FooterChar"/>
    <w:uiPriority w:val="99"/>
    <w:unhideWhenUsed/>
    <w:rsid w:val="009E6679"/>
    <w:pPr>
      <w:tabs>
        <w:tab w:val="center" w:pos="4819"/>
        <w:tab w:val="right" w:pos="9638"/>
      </w:tabs>
    </w:pPr>
  </w:style>
  <w:style w:type="character" w:customStyle="1" w:styleId="FooterChar">
    <w:name w:val="Footer Char"/>
    <w:basedOn w:val="DefaultParagraphFont"/>
    <w:link w:val="Footer"/>
    <w:uiPriority w:val="99"/>
    <w:rsid w:val="009E6679"/>
  </w:style>
  <w:style w:type="paragraph" w:styleId="ListParagraph">
    <w:name w:val="List Paragraph"/>
    <w:basedOn w:val="Normal"/>
    <w:uiPriority w:val="34"/>
    <w:qFormat/>
    <w:rsid w:val="00016B9D"/>
    <w:pPr>
      <w:ind w:left="720"/>
      <w:contextualSpacing/>
    </w:pPr>
  </w:style>
  <w:style w:type="character" w:styleId="CommentReference">
    <w:name w:val="annotation reference"/>
    <w:basedOn w:val="DefaultParagraphFont"/>
    <w:uiPriority w:val="99"/>
    <w:semiHidden/>
    <w:unhideWhenUsed/>
    <w:rsid w:val="00D330F2"/>
    <w:rPr>
      <w:sz w:val="18"/>
      <w:szCs w:val="18"/>
    </w:rPr>
  </w:style>
  <w:style w:type="paragraph" w:styleId="CommentText">
    <w:name w:val="annotation text"/>
    <w:basedOn w:val="Normal"/>
    <w:link w:val="CommentTextChar"/>
    <w:uiPriority w:val="99"/>
    <w:semiHidden/>
    <w:unhideWhenUsed/>
    <w:rsid w:val="00D330F2"/>
  </w:style>
  <w:style w:type="character" w:customStyle="1" w:styleId="CommentTextChar">
    <w:name w:val="Comment Text Char"/>
    <w:basedOn w:val="DefaultParagraphFont"/>
    <w:link w:val="CommentText"/>
    <w:uiPriority w:val="99"/>
    <w:semiHidden/>
    <w:rsid w:val="00D330F2"/>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330F2"/>
    <w:rPr>
      <w:b/>
      <w:bCs/>
      <w:sz w:val="20"/>
      <w:szCs w:val="20"/>
    </w:rPr>
  </w:style>
  <w:style w:type="character" w:customStyle="1" w:styleId="CommentSubjectChar">
    <w:name w:val="Comment Subject Char"/>
    <w:basedOn w:val="CommentTextChar"/>
    <w:link w:val="CommentSubject"/>
    <w:uiPriority w:val="99"/>
    <w:semiHidden/>
    <w:rsid w:val="00D330F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330F2"/>
    <w:rPr>
      <w:sz w:val="18"/>
      <w:szCs w:val="18"/>
    </w:rPr>
  </w:style>
  <w:style w:type="character" w:customStyle="1" w:styleId="BalloonTextChar">
    <w:name w:val="Balloon Text Char"/>
    <w:basedOn w:val="DefaultParagraphFont"/>
    <w:link w:val="BalloonText"/>
    <w:uiPriority w:val="99"/>
    <w:semiHidden/>
    <w:rsid w:val="00D330F2"/>
    <w:rPr>
      <w:rFonts w:ascii="Times New Roman" w:eastAsia="Times New Roman" w:hAnsi="Times New Roman" w:cs="Times New Roman"/>
      <w:sz w:val="18"/>
      <w:szCs w:val="18"/>
      <w:lang w:val="en-US"/>
    </w:rPr>
  </w:style>
  <w:style w:type="paragraph" w:styleId="FootnoteText">
    <w:name w:val="footnote text"/>
    <w:basedOn w:val="Normal"/>
    <w:link w:val="FootnoteTextChar"/>
    <w:uiPriority w:val="99"/>
    <w:semiHidden/>
    <w:unhideWhenUsed/>
    <w:rsid w:val="006F5A04"/>
    <w:rPr>
      <w:sz w:val="20"/>
      <w:szCs w:val="20"/>
    </w:rPr>
  </w:style>
  <w:style w:type="character" w:customStyle="1" w:styleId="FootnoteTextChar">
    <w:name w:val="Footnote Text Char"/>
    <w:basedOn w:val="DefaultParagraphFont"/>
    <w:link w:val="FootnoteText"/>
    <w:uiPriority w:val="99"/>
    <w:semiHidden/>
    <w:rsid w:val="006F5A0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6F5A04"/>
    <w:rPr>
      <w:vertAlign w:val="superscript"/>
    </w:rPr>
  </w:style>
  <w:style w:type="character" w:customStyle="1" w:styleId="apple-converted-space">
    <w:name w:val="apple-converted-space"/>
    <w:basedOn w:val="DefaultParagraphFont"/>
    <w:rsid w:val="006F0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630948">
      <w:bodyDiv w:val="1"/>
      <w:marLeft w:val="0"/>
      <w:marRight w:val="0"/>
      <w:marTop w:val="0"/>
      <w:marBottom w:val="0"/>
      <w:divBdr>
        <w:top w:val="none" w:sz="0" w:space="0" w:color="auto"/>
        <w:left w:val="none" w:sz="0" w:space="0" w:color="auto"/>
        <w:bottom w:val="none" w:sz="0" w:space="0" w:color="auto"/>
        <w:right w:val="none" w:sz="0" w:space="0" w:color="auto"/>
      </w:divBdr>
      <w:divsChild>
        <w:div w:id="2126918726">
          <w:marLeft w:val="360"/>
          <w:marRight w:val="0"/>
          <w:marTop w:val="200"/>
          <w:marBottom w:val="0"/>
          <w:divBdr>
            <w:top w:val="none" w:sz="0" w:space="0" w:color="auto"/>
            <w:left w:val="none" w:sz="0" w:space="0" w:color="auto"/>
            <w:bottom w:val="none" w:sz="0" w:space="0" w:color="auto"/>
            <w:right w:val="none" w:sz="0" w:space="0" w:color="auto"/>
          </w:divBdr>
        </w:div>
        <w:div w:id="505024265">
          <w:marLeft w:val="360"/>
          <w:marRight w:val="0"/>
          <w:marTop w:val="200"/>
          <w:marBottom w:val="0"/>
          <w:divBdr>
            <w:top w:val="none" w:sz="0" w:space="0" w:color="auto"/>
            <w:left w:val="none" w:sz="0" w:space="0" w:color="auto"/>
            <w:bottom w:val="none" w:sz="0" w:space="0" w:color="auto"/>
            <w:right w:val="none" w:sz="0" w:space="0" w:color="auto"/>
          </w:divBdr>
        </w:div>
        <w:div w:id="1764573313">
          <w:marLeft w:val="360"/>
          <w:marRight w:val="0"/>
          <w:marTop w:val="200"/>
          <w:marBottom w:val="0"/>
          <w:divBdr>
            <w:top w:val="none" w:sz="0" w:space="0" w:color="auto"/>
            <w:left w:val="none" w:sz="0" w:space="0" w:color="auto"/>
            <w:bottom w:val="none" w:sz="0" w:space="0" w:color="auto"/>
            <w:right w:val="none" w:sz="0" w:space="0" w:color="auto"/>
          </w:divBdr>
        </w:div>
        <w:div w:id="176967454">
          <w:marLeft w:val="360"/>
          <w:marRight w:val="0"/>
          <w:marTop w:val="200"/>
          <w:marBottom w:val="0"/>
          <w:divBdr>
            <w:top w:val="none" w:sz="0" w:space="0" w:color="auto"/>
            <w:left w:val="none" w:sz="0" w:space="0" w:color="auto"/>
            <w:bottom w:val="none" w:sz="0" w:space="0" w:color="auto"/>
            <w:right w:val="none" w:sz="0" w:space="0" w:color="auto"/>
          </w:divBdr>
        </w:div>
      </w:divsChild>
    </w:div>
    <w:div w:id="1621837552">
      <w:bodyDiv w:val="1"/>
      <w:marLeft w:val="0"/>
      <w:marRight w:val="0"/>
      <w:marTop w:val="0"/>
      <w:marBottom w:val="0"/>
      <w:divBdr>
        <w:top w:val="none" w:sz="0" w:space="0" w:color="auto"/>
        <w:left w:val="none" w:sz="0" w:space="0" w:color="auto"/>
        <w:bottom w:val="none" w:sz="0" w:space="0" w:color="auto"/>
        <w:right w:val="none" w:sz="0" w:space="0" w:color="auto"/>
      </w:divBdr>
      <w:divsChild>
        <w:div w:id="173108357">
          <w:marLeft w:val="360"/>
          <w:marRight w:val="0"/>
          <w:marTop w:val="200"/>
          <w:marBottom w:val="0"/>
          <w:divBdr>
            <w:top w:val="none" w:sz="0" w:space="0" w:color="auto"/>
            <w:left w:val="none" w:sz="0" w:space="0" w:color="auto"/>
            <w:bottom w:val="none" w:sz="0" w:space="0" w:color="auto"/>
            <w:right w:val="none" w:sz="0" w:space="0" w:color="auto"/>
          </w:divBdr>
        </w:div>
      </w:divsChild>
    </w:div>
    <w:div w:id="1927687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085D7-6C1F-451C-9E92-C977077F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Corriga</dc:creator>
  <cp:keywords/>
  <dc:description/>
  <cp:lastModifiedBy>Anna Gawn</cp:lastModifiedBy>
  <cp:revision>2</cp:revision>
  <dcterms:created xsi:type="dcterms:W3CDTF">2020-01-23T08:27:00Z</dcterms:created>
  <dcterms:modified xsi:type="dcterms:W3CDTF">2020-01-23T08:27:00Z</dcterms:modified>
</cp:coreProperties>
</file>