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840" w:rsidRDefault="00B14840" w14:paraId="1B979A1C" w14:textId="77777777">
      <w:pPr>
        <w:rPr>
          <w:b/>
          <w:bCs/>
          <w:color w:val="0070C0"/>
        </w:rPr>
      </w:pPr>
    </w:p>
    <w:p w:rsidRPr="00585205" w:rsidR="00C0595A" w:rsidP="00C0595A" w:rsidRDefault="00C0595A" w14:paraId="76AA982A" w14:textId="77777777">
      <w:pPr>
        <w:spacing w:before="120" w:after="120" w:line="240" w:lineRule="auto"/>
        <w:jc w:val="center"/>
        <w:rPr>
          <w:b/>
          <w:sz w:val="56"/>
          <w:szCs w:val="56"/>
          <w:lang w:val="en-GB"/>
        </w:rPr>
      </w:pPr>
      <w:r w:rsidRPr="00585205">
        <w:rPr>
          <w:b/>
          <w:sz w:val="56"/>
          <w:szCs w:val="56"/>
          <w:lang w:val="en-GB"/>
        </w:rPr>
        <w:t>Standard Operating Procedures for GBV Interventions in Humanitarian Settings</w:t>
      </w:r>
    </w:p>
    <w:p w:rsidRPr="00585205" w:rsidR="00C0595A" w:rsidP="00C0595A" w:rsidRDefault="00C0595A" w14:paraId="099C7C0C" w14:textId="77777777">
      <w:pPr>
        <w:spacing w:before="120" w:after="120" w:line="240" w:lineRule="auto"/>
        <w:jc w:val="both"/>
        <w:rPr>
          <w:b/>
          <w:lang w:val="en-GB"/>
        </w:rPr>
      </w:pPr>
    </w:p>
    <w:p w:rsidRPr="00A43D8C" w:rsidR="00C0595A" w:rsidP="00C0595A" w:rsidRDefault="00C0595A" w14:paraId="534F8457" w14:textId="77777777">
      <w:pPr>
        <w:spacing w:before="120" w:after="120" w:line="240" w:lineRule="auto"/>
        <w:jc w:val="center"/>
        <w:rPr>
          <w:b/>
          <w:color w:val="0070C0"/>
          <w:sz w:val="52"/>
          <w:szCs w:val="52"/>
          <w:lang w:val="en-GB"/>
        </w:rPr>
      </w:pPr>
      <w:r w:rsidRPr="00A43D8C">
        <w:rPr>
          <w:b/>
          <w:color w:val="0070C0"/>
          <w:sz w:val="52"/>
          <w:szCs w:val="52"/>
          <w:lang w:val="en-GB"/>
        </w:rPr>
        <w:t>GBV SOPs Resource Package</w:t>
      </w:r>
    </w:p>
    <w:p w:rsidR="00C0595A" w:rsidP="00C0595A" w:rsidRDefault="00C0595A" w14:paraId="2C94EF59" w14:textId="77777777">
      <w:pPr>
        <w:jc w:val="center"/>
        <w:rPr>
          <w:b/>
          <w:color w:val="0070C0"/>
          <w:sz w:val="44"/>
          <w:szCs w:val="44"/>
          <w:lang w:val="en-GB"/>
        </w:rPr>
      </w:pPr>
    </w:p>
    <w:p w:rsidRPr="00B14840" w:rsidR="00B14840" w:rsidP="00B14840" w:rsidRDefault="00B14840" w14:paraId="51476C28" w14:textId="7CCF7B60">
      <w:pPr>
        <w:jc w:val="center"/>
        <w:rPr>
          <w:b/>
          <w:color w:val="0070C0"/>
          <w:sz w:val="32"/>
          <w:szCs w:val="32"/>
          <w:lang w:val="en-GB"/>
        </w:rPr>
      </w:pPr>
      <w:r w:rsidRPr="00B14840">
        <w:rPr>
          <w:b/>
          <w:color w:val="0070C0"/>
          <w:sz w:val="44"/>
          <w:szCs w:val="44"/>
          <w:lang w:val="en-GB"/>
        </w:rPr>
        <w:t xml:space="preserve">Part </w:t>
      </w:r>
      <w:r>
        <w:rPr>
          <w:b/>
          <w:color w:val="0070C0"/>
          <w:sz w:val="44"/>
          <w:szCs w:val="44"/>
          <w:lang w:val="en-GB"/>
        </w:rPr>
        <w:t>2</w:t>
      </w:r>
      <w:r w:rsidRPr="00B14840">
        <w:rPr>
          <w:b/>
          <w:color w:val="0070C0"/>
          <w:sz w:val="44"/>
          <w:szCs w:val="44"/>
          <w:lang w:val="en-GB"/>
        </w:rPr>
        <w:t xml:space="preserve">: GBV SOPs </w:t>
      </w:r>
      <w:r w:rsidR="00EB19E0">
        <w:rPr>
          <w:b/>
          <w:color w:val="0070C0"/>
          <w:sz w:val="44"/>
          <w:szCs w:val="44"/>
          <w:lang w:val="en-GB"/>
        </w:rPr>
        <w:t>Template</w:t>
      </w:r>
    </w:p>
    <w:p w:rsidR="00B14840" w:rsidRDefault="00B14840" w14:paraId="71793086" w14:textId="77777777">
      <w:pPr>
        <w:rPr>
          <w:b/>
          <w:bCs/>
          <w:color w:val="0070C0"/>
        </w:rPr>
      </w:pPr>
    </w:p>
    <w:p w:rsidR="00B14840" w:rsidRDefault="00B14840" w14:paraId="079FFB7A" w14:textId="21FFE822">
      <w:pPr>
        <w:rPr>
          <w:b/>
          <w:bCs/>
          <w:color w:val="0070C0"/>
        </w:rPr>
      </w:pPr>
      <w:r>
        <w:rPr>
          <w:b/>
          <w:bCs/>
          <w:color w:val="0070C0"/>
        </w:rPr>
        <w:br w:type="page"/>
      </w:r>
    </w:p>
    <w:p w:rsidRPr="00EB19E0" w:rsidR="001D323A" w:rsidP="00E82689" w:rsidRDefault="00910F68" w14:paraId="7E28F6F0" w14:textId="29ED506E">
      <w:pPr>
        <w:spacing w:before="120" w:after="120"/>
        <w:jc w:val="both"/>
        <w:rPr>
          <w:color w:val="0070C0"/>
          <w:sz w:val="24"/>
          <w:szCs w:val="24"/>
        </w:rPr>
      </w:pPr>
      <w:r w:rsidRPr="00EB19E0">
        <w:rPr>
          <w:b/>
          <w:bCs/>
          <w:color w:val="0070C0"/>
          <w:sz w:val="24"/>
          <w:szCs w:val="24"/>
        </w:rPr>
        <w:t xml:space="preserve">PART </w:t>
      </w:r>
      <w:r w:rsidRPr="00EB19E0" w:rsidR="00CE2830">
        <w:rPr>
          <w:b/>
          <w:bCs/>
          <w:color w:val="0070C0"/>
          <w:sz w:val="24"/>
          <w:szCs w:val="24"/>
        </w:rPr>
        <w:t xml:space="preserve">2 </w:t>
      </w:r>
      <w:sdt>
        <w:sdtPr>
          <w:rPr>
            <w:b/>
            <w:bCs/>
            <w:color w:val="0070C0"/>
            <w:sz w:val="24"/>
            <w:szCs w:val="24"/>
          </w:rPr>
          <w:tag w:val="goog_rdk_60"/>
          <w:id w:val="-1119988975"/>
        </w:sdtPr>
        <w:sdtEndPr/>
        <w:sdtContent>
          <w:r w:rsidRPr="00EB19E0" w:rsidR="00CE2830">
            <w:rPr>
              <w:b/>
              <w:bCs/>
              <w:color w:val="0070C0"/>
              <w:sz w:val="24"/>
              <w:szCs w:val="24"/>
            </w:rPr>
            <w:t xml:space="preserve">Using </w:t>
          </w:r>
        </w:sdtContent>
      </w:sdt>
      <w:r w:rsidRPr="00EB19E0" w:rsidR="00A770EE">
        <w:rPr>
          <w:b/>
          <w:bCs/>
          <w:color w:val="0070C0"/>
          <w:sz w:val="24"/>
          <w:szCs w:val="24"/>
        </w:rPr>
        <w:t>t</w:t>
      </w:r>
      <w:r w:rsidRPr="00EB19E0" w:rsidR="00CE2830">
        <w:rPr>
          <w:b/>
          <w:bCs/>
          <w:color w:val="0070C0"/>
          <w:sz w:val="24"/>
          <w:szCs w:val="24"/>
        </w:rPr>
        <w:t xml:space="preserve">he GBV </w:t>
      </w:r>
      <w:r w:rsidRPr="00EB19E0" w:rsidR="0056267F">
        <w:rPr>
          <w:b/>
          <w:bCs/>
          <w:color w:val="0070C0"/>
          <w:sz w:val="24"/>
          <w:szCs w:val="24"/>
        </w:rPr>
        <w:t>SOPs</w:t>
      </w:r>
      <w:r w:rsidRPr="00EB19E0" w:rsidR="00CE2830">
        <w:rPr>
          <w:b/>
          <w:bCs/>
          <w:color w:val="0070C0"/>
          <w:sz w:val="24"/>
          <w:szCs w:val="24"/>
        </w:rPr>
        <w:t xml:space="preserve"> </w:t>
      </w:r>
      <w:r w:rsidRPr="00EB19E0" w:rsidR="00383B3E">
        <w:rPr>
          <w:b/>
          <w:bCs/>
          <w:color w:val="0070C0"/>
          <w:sz w:val="24"/>
          <w:szCs w:val="24"/>
        </w:rPr>
        <w:t>t</w:t>
      </w:r>
      <w:r w:rsidRPr="00EB19E0" w:rsidR="00CE2830">
        <w:rPr>
          <w:b/>
          <w:bCs/>
          <w:color w:val="0070C0"/>
          <w:sz w:val="24"/>
          <w:szCs w:val="24"/>
        </w:rPr>
        <w:t xml:space="preserve">emplate: </w:t>
      </w:r>
    </w:p>
    <w:p w:rsidRPr="00585205" w:rsidR="001D323A" w:rsidP="00EB19E0" w:rsidRDefault="00CE2830" w14:paraId="7E28F6F2" w14:textId="492A0CCD">
      <w:pPr>
        <w:spacing w:before="120" w:after="120" w:line="300" w:lineRule="atLeast"/>
        <w:jc w:val="both"/>
        <w:rPr>
          <w:lang w:val="en-GB"/>
        </w:rPr>
      </w:pPr>
      <w:r w:rsidRPr="00585205">
        <w:rPr>
          <w:lang w:val="en-GB"/>
        </w:rPr>
        <w:t xml:space="preserve">The GBV </w:t>
      </w:r>
      <w:r w:rsidRPr="00585205" w:rsidR="0056267F">
        <w:rPr>
          <w:lang w:val="en-GB"/>
        </w:rPr>
        <w:t>SOPs</w:t>
      </w:r>
      <w:r w:rsidRPr="00585205">
        <w:rPr>
          <w:lang w:val="en-GB"/>
        </w:rPr>
        <w:t xml:space="preserve"> </w:t>
      </w:r>
      <w:r w:rsidRPr="00585205" w:rsidR="00383B3E">
        <w:rPr>
          <w:lang w:val="en-GB"/>
        </w:rPr>
        <w:t>template</w:t>
      </w:r>
      <w:r w:rsidRPr="00585205">
        <w:rPr>
          <w:lang w:val="en-GB"/>
        </w:rPr>
        <w:t xml:space="preserve"> in </w:t>
      </w:r>
      <w:r w:rsidRPr="00585205" w:rsidR="007C331C">
        <w:rPr>
          <w:lang w:val="en-GB"/>
        </w:rPr>
        <w:t xml:space="preserve">part </w:t>
      </w:r>
      <w:r w:rsidRPr="00585205">
        <w:rPr>
          <w:lang w:val="en-GB"/>
        </w:rPr>
        <w:t xml:space="preserve">2 includes all of the sections recommended for comprehensive GBV SOPs. The GBV </w:t>
      </w:r>
      <w:r w:rsidRPr="00585205" w:rsidR="0056267F">
        <w:rPr>
          <w:lang w:val="en-GB"/>
        </w:rPr>
        <w:t>SOPs</w:t>
      </w:r>
      <w:r w:rsidRPr="00585205">
        <w:rPr>
          <w:lang w:val="en-GB"/>
        </w:rPr>
        <w:t xml:space="preserve"> development process is the process of completing the </w:t>
      </w:r>
      <w:r w:rsidRPr="00585205" w:rsidR="00383B3E">
        <w:rPr>
          <w:lang w:val="en-GB"/>
        </w:rPr>
        <w:t>template</w:t>
      </w:r>
      <w:r w:rsidRPr="00585205">
        <w:rPr>
          <w:lang w:val="en-GB"/>
        </w:rPr>
        <w:t xml:space="preserve"> with information from the operating context.</w:t>
      </w:r>
    </w:p>
    <w:p w:rsidRPr="00585205" w:rsidR="001D323A" w:rsidP="00EB19E0" w:rsidRDefault="00CE2830" w14:paraId="7E28F6F4" w14:textId="43C9BA04">
      <w:pPr>
        <w:spacing w:before="120" w:after="120" w:line="300" w:lineRule="atLeast"/>
        <w:jc w:val="both"/>
        <w:rPr>
          <w:lang w:val="en-GB"/>
        </w:rPr>
      </w:pPr>
      <w:r w:rsidRPr="00585205">
        <w:rPr>
          <w:spacing w:val="-2"/>
          <w:lang w:val="en-GB"/>
        </w:rPr>
        <w:t>Text</w:t>
      </w:r>
      <w:r w:rsidRPr="00585205">
        <w:rPr>
          <w:lang w:val="en-GB"/>
        </w:rPr>
        <w:t xml:space="preserve"> boxes throughout the template, titled “Essential </w:t>
      </w:r>
      <w:r w:rsidRPr="00585205" w:rsidR="005248FB">
        <w:rPr>
          <w:lang w:val="en-GB"/>
        </w:rPr>
        <w:t>issues to consider</w:t>
      </w:r>
      <w:r w:rsidRPr="00585205">
        <w:rPr>
          <w:lang w:val="en-GB"/>
        </w:rPr>
        <w:t xml:space="preserve">”, provides background </w:t>
      </w:r>
      <w:r w:rsidRPr="00585205">
        <w:rPr>
          <w:spacing w:val="-2"/>
          <w:lang w:val="en-GB"/>
        </w:rPr>
        <w:t>and other essential information to guide actors as they consider the specific actions, interventions</w:t>
      </w:r>
      <w:r w:rsidRPr="00585205" w:rsidR="00396FBD">
        <w:rPr>
          <w:lang w:val="en-GB"/>
        </w:rPr>
        <w:t xml:space="preserve"> and </w:t>
      </w:r>
      <w:r w:rsidRPr="00585205">
        <w:rPr>
          <w:lang w:val="en-GB"/>
        </w:rPr>
        <w:t>procedures to be agreed upon and established in their specific setting.</w:t>
      </w:r>
    </w:p>
    <w:p w:rsidRPr="00585205" w:rsidR="001D323A" w:rsidP="00EB19E0" w:rsidRDefault="00BA7E9C" w14:paraId="7E28F6F6" w14:textId="31FED9F0">
      <w:pPr>
        <w:spacing w:before="120" w:after="120" w:line="300" w:lineRule="atLeast"/>
        <w:jc w:val="both"/>
        <w:rPr>
          <w:lang w:val="en-GB"/>
        </w:rPr>
      </w:pPr>
      <w:r w:rsidRPr="00585205">
        <w:rPr>
          <w:lang w:val="en-GB"/>
        </w:rPr>
        <w:t>Th</w:t>
      </w:r>
      <w:r>
        <w:rPr>
          <w:lang w:val="en-GB"/>
        </w:rPr>
        <w:t>e</w:t>
      </w:r>
      <w:r w:rsidRPr="00585205">
        <w:rPr>
          <w:lang w:val="en-GB"/>
        </w:rPr>
        <w:t>s</w:t>
      </w:r>
      <w:r>
        <w:rPr>
          <w:lang w:val="en-GB"/>
        </w:rPr>
        <w:t>e</w:t>
      </w:r>
      <w:r w:rsidRPr="00585205">
        <w:rPr>
          <w:lang w:val="en-GB"/>
        </w:rPr>
        <w:t xml:space="preserve"> </w:t>
      </w:r>
      <w:r>
        <w:rPr>
          <w:lang w:val="en-GB"/>
        </w:rPr>
        <w:t xml:space="preserve">text </w:t>
      </w:r>
      <w:r w:rsidRPr="00585205">
        <w:rPr>
          <w:lang w:val="en-GB"/>
        </w:rPr>
        <w:t>boxe</w:t>
      </w:r>
      <w:r>
        <w:rPr>
          <w:lang w:val="en-GB"/>
        </w:rPr>
        <w:t>s</w:t>
      </w:r>
      <w:r w:rsidRPr="00585205">
        <w:rPr>
          <w:lang w:val="en-GB"/>
        </w:rPr>
        <w:t xml:space="preserve"> </w:t>
      </w:r>
      <w:r w:rsidRPr="00585205" w:rsidR="00CE2830">
        <w:rPr>
          <w:lang w:val="en-GB"/>
        </w:rPr>
        <w:t>may be removed once the template is completed</w:t>
      </w:r>
      <w:r>
        <w:rPr>
          <w:lang w:val="en-GB"/>
        </w:rPr>
        <w:t>.</w:t>
      </w:r>
      <w:r w:rsidRPr="00585205">
        <w:rPr>
          <w:lang w:val="en-GB"/>
        </w:rPr>
        <w:t xml:space="preserve"> </w:t>
      </w:r>
      <w:r>
        <w:rPr>
          <w:lang w:val="en-GB"/>
        </w:rPr>
        <w:t xml:space="preserve">They are </w:t>
      </w:r>
      <w:r w:rsidRPr="00585205" w:rsidR="00CE2830">
        <w:rPr>
          <w:lang w:val="en-GB"/>
        </w:rPr>
        <w:t xml:space="preserve">included for informational purposes and </w:t>
      </w:r>
      <w:r>
        <w:rPr>
          <w:lang w:val="en-GB"/>
        </w:rPr>
        <w:t xml:space="preserve">are </w:t>
      </w:r>
      <w:r w:rsidRPr="00585205" w:rsidR="00CE2830">
        <w:rPr>
          <w:lang w:val="en-GB"/>
        </w:rPr>
        <w:t xml:space="preserve">not intended to </w:t>
      </w:r>
      <w:r>
        <w:rPr>
          <w:lang w:val="en-GB"/>
        </w:rPr>
        <w:t xml:space="preserve">form </w:t>
      </w:r>
      <w:r w:rsidRPr="00585205" w:rsidR="00CE2830">
        <w:rPr>
          <w:lang w:val="en-GB"/>
        </w:rPr>
        <w:t xml:space="preserve">part of the final GBV SOPs. The </w:t>
      </w:r>
      <w:r w:rsidRPr="009F7561" w:rsidR="000A1255">
        <w:rPr>
          <w:lang w:val="en-GB"/>
        </w:rPr>
        <w:t>reference group</w:t>
      </w:r>
      <w:r w:rsidRPr="009F7561" w:rsidR="00CE2830">
        <w:rPr>
          <w:lang w:val="en-GB"/>
        </w:rPr>
        <w:t xml:space="preserve"> can choose to delete or to keep some</w:t>
      </w:r>
      <w:r w:rsidRPr="009F7561" w:rsidR="00461384">
        <w:rPr>
          <w:lang w:val="en-GB"/>
        </w:rPr>
        <w:t xml:space="preserve"> or </w:t>
      </w:r>
      <w:r w:rsidRPr="009F7561" w:rsidR="00CE2830">
        <w:rPr>
          <w:lang w:val="en-GB"/>
        </w:rPr>
        <w:t xml:space="preserve">all of the text boxes. </w:t>
      </w:r>
      <w:r w:rsidRPr="00585205" w:rsidR="00CE2830">
        <w:rPr>
          <w:lang w:val="en-GB"/>
        </w:rPr>
        <w:t xml:space="preserve">The template includes guidance and recommendations as well as links to relevant resources if additional information is needed. </w:t>
      </w:r>
    </w:p>
    <w:p w:rsidRPr="009F7561" w:rsidR="001D323A" w:rsidP="00EB19E0" w:rsidRDefault="00CE2830" w14:paraId="7E28F6F8" w14:textId="3EBB9365">
      <w:pPr>
        <w:spacing w:before="120" w:after="120" w:line="300" w:lineRule="atLeast"/>
        <w:jc w:val="both"/>
        <w:rPr>
          <w:lang w:val="en-GB"/>
        </w:rPr>
      </w:pPr>
      <w:r w:rsidRPr="00585205">
        <w:rPr>
          <w:lang w:val="en-GB"/>
        </w:rPr>
        <w:t xml:space="preserve">Throughout the GBV </w:t>
      </w:r>
      <w:r w:rsidRPr="00585205" w:rsidR="0056267F">
        <w:rPr>
          <w:lang w:val="en-GB"/>
        </w:rPr>
        <w:t>SOPs</w:t>
      </w:r>
      <w:r w:rsidRPr="00585205">
        <w:rPr>
          <w:lang w:val="en-GB"/>
        </w:rPr>
        <w:t xml:space="preserve"> </w:t>
      </w:r>
      <w:r w:rsidRPr="00585205" w:rsidR="00383B3E">
        <w:rPr>
          <w:lang w:val="en-GB"/>
        </w:rPr>
        <w:t>template</w:t>
      </w:r>
      <w:r w:rsidRPr="00585205">
        <w:rPr>
          <w:lang w:val="en-GB"/>
        </w:rPr>
        <w:t xml:space="preserve">, </w:t>
      </w:r>
      <w:r w:rsidRPr="00734733">
        <w:rPr>
          <w:color w:val="0070C0"/>
          <w:lang w:val="en-GB"/>
        </w:rPr>
        <w:t xml:space="preserve">blue text </w:t>
      </w:r>
      <w:r w:rsidRPr="009F7561">
        <w:rPr>
          <w:lang w:val="en-GB"/>
        </w:rPr>
        <w:t xml:space="preserve">indicates information that needs to be discussed and updated or completed based on the specific context for which the GBV SOPs are being developed. For each section and detail completed, please change the </w:t>
      </w:r>
      <w:r w:rsidRPr="00155725">
        <w:rPr>
          <w:color w:val="0070C0"/>
          <w:lang w:val="en-GB"/>
        </w:rPr>
        <w:t xml:space="preserve">blue text </w:t>
      </w:r>
      <w:r w:rsidRPr="009F7561">
        <w:rPr>
          <w:lang w:val="en-GB"/>
        </w:rPr>
        <w:t xml:space="preserve">to black text; the final GBV </w:t>
      </w:r>
      <w:r w:rsidRPr="009F7561" w:rsidR="0056267F">
        <w:rPr>
          <w:lang w:val="en-GB"/>
        </w:rPr>
        <w:t>SOPs</w:t>
      </w:r>
      <w:r w:rsidRPr="009F7561">
        <w:rPr>
          <w:lang w:val="en-GB"/>
        </w:rPr>
        <w:t xml:space="preserve"> document should eliminate all </w:t>
      </w:r>
      <w:r w:rsidRPr="00585205">
        <w:rPr>
          <w:lang w:val="en-GB"/>
        </w:rPr>
        <w:t xml:space="preserve">blue text </w:t>
      </w:r>
      <w:r w:rsidRPr="009F7561">
        <w:rPr>
          <w:lang w:val="en-GB"/>
        </w:rPr>
        <w:t>as those items should be either filled in or deleted.</w:t>
      </w:r>
    </w:p>
    <w:p w:rsidRPr="009F7561" w:rsidR="001D323A" w:rsidP="00EB19E0" w:rsidRDefault="00CE2830" w14:paraId="7E28F6FA" w14:textId="390A1229">
      <w:pPr>
        <w:spacing w:before="120" w:after="120" w:line="300" w:lineRule="atLeast"/>
        <w:jc w:val="both"/>
        <w:rPr>
          <w:lang w:val="en-GB"/>
        </w:rPr>
      </w:pPr>
      <w:r w:rsidRPr="009F7561">
        <w:rPr>
          <w:lang w:val="en-GB"/>
        </w:rPr>
        <w:t>The G</w:t>
      </w:r>
      <w:sdt>
        <w:sdtPr>
          <w:rPr>
            <w:lang w:val="en-GB"/>
          </w:rPr>
          <w:tag w:val="goog_rdk_61"/>
          <w:id w:val="16285660"/>
        </w:sdtPr>
        <w:sdtEndPr/>
        <w:sdtContent>
          <w:r w:rsidRPr="009F7561">
            <w:rPr>
              <w:lang w:val="en-GB"/>
            </w:rPr>
            <w:t>B</w:t>
          </w:r>
        </w:sdtContent>
      </w:sdt>
      <w:r w:rsidRPr="009F7561">
        <w:rPr>
          <w:lang w:val="en-GB"/>
        </w:rPr>
        <w:t xml:space="preserve">V </w:t>
      </w:r>
      <w:r w:rsidRPr="009F7561" w:rsidR="0056267F">
        <w:rPr>
          <w:lang w:val="en-GB"/>
        </w:rPr>
        <w:t>SOPs</w:t>
      </w:r>
      <w:r w:rsidRPr="009F7561">
        <w:rPr>
          <w:lang w:val="en-GB"/>
        </w:rPr>
        <w:t xml:space="preserve"> </w:t>
      </w:r>
      <w:r w:rsidRPr="009F7561" w:rsidR="000A1255">
        <w:rPr>
          <w:lang w:val="en-GB"/>
        </w:rPr>
        <w:t>reference group</w:t>
      </w:r>
      <w:r w:rsidRPr="009F7561">
        <w:rPr>
          <w:vertAlign w:val="superscript"/>
          <w:lang w:val="en-GB"/>
        </w:rPr>
        <w:footnoteReference w:id="2"/>
      </w:r>
      <w:r w:rsidRPr="009F7561">
        <w:rPr>
          <w:lang w:val="en-GB"/>
        </w:rPr>
        <w:t xml:space="preserve"> may create its own GBV </w:t>
      </w:r>
      <w:r w:rsidRPr="009F7561" w:rsidR="0056267F">
        <w:rPr>
          <w:lang w:val="en-GB"/>
        </w:rPr>
        <w:t>SOPs</w:t>
      </w:r>
      <w:r w:rsidRPr="009F7561">
        <w:rPr>
          <w:lang w:val="en-GB"/>
        </w:rPr>
        <w:t xml:space="preserve"> document using the GBV </w:t>
      </w:r>
      <w:r w:rsidRPr="009F7561" w:rsidR="0056267F">
        <w:rPr>
          <w:lang w:val="en-GB"/>
        </w:rPr>
        <w:t>SOPs</w:t>
      </w:r>
      <w:r w:rsidRPr="009F7561">
        <w:rPr>
          <w:lang w:val="en-GB"/>
        </w:rPr>
        <w:t xml:space="preserve"> </w:t>
      </w:r>
      <w:r w:rsidRPr="009F7561" w:rsidR="00383B3E">
        <w:rPr>
          <w:lang w:val="en-GB"/>
        </w:rPr>
        <w:t>template</w:t>
      </w:r>
      <w:r w:rsidRPr="009F7561">
        <w:rPr>
          <w:lang w:val="en-GB"/>
        </w:rPr>
        <w:t xml:space="preserve"> as a guide – with modifications as needed based on the context – or it may edit the GBV </w:t>
      </w:r>
      <w:r w:rsidRPr="009F7561" w:rsidR="0056267F">
        <w:rPr>
          <w:lang w:val="en-GB"/>
        </w:rPr>
        <w:t>SOPs</w:t>
      </w:r>
      <w:r w:rsidRPr="009F7561">
        <w:rPr>
          <w:lang w:val="en-GB"/>
        </w:rPr>
        <w:t xml:space="preserve"> </w:t>
      </w:r>
      <w:r w:rsidRPr="009F7561" w:rsidR="00383B3E">
        <w:rPr>
          <w:lang w:val="en-GB"/>
        </w:rPr>
        <w:t>template</w:t>
      </w:r>
      <w:r w:rsidRPr="009F7561">
        <w:rPr>
          <w:lang w:val="en-GB"/>
        </w:rPr>
        <w:t xml:space="preserve"> with information </w:t>
      </w:r>
      <w:r w:rsidRPr="00887512" w:rsidR="00887512">
        <w:rPr>
          <w:lang w:val="en-GB"/>
        </w:rPr>
        <w:t xml:space="preserve">relevant </w:t>
      </w:r>
      <w:r w:rsidR="00887512">
        <w:rPr>
          <w:lang w:val="en-GB"/>
        </w:rPr>
        <w:t xml:space="preserve">to </w:t>
      </w:r>
      <w:r w:rsidRPr="009F7561">
        <w:rPr>
          <w:lang w:val="en-GB"/>
        </w:rPr>
        <w:t xml:space="preserve">the specific setting for which the GBV SOPs are being developed. </w:t>
      </w:r>
    </w:p>
    <w:p w:rsidRPr="009F7561" w:rsidR="001D323A" w:rsidP="00EB19E0" w:rsidRDefault="00CE2830" w14:paraId="7E28F6FC" w14:textId="4A5FB8E5">
      <w:pPr>
        <w:spacing w:before="120" w:after="120" w:line="300" w:lineRule="atLeast"/>
        <w:jc w:val="both"/>
        <w:rPr>
          <w:lang w:val="en-GB"/>
        </w:rPr>
      </w:pPr>
      <w:r w:rsidRPr="00585205">
        <w:rPr>
          <w:spacing w:val="-4"/>
          <w:lang w:val="en-GB"/>
        </w:rPr>
        <w:t xml:space="preserve">With the exception of </w:t>
      </w:r>
      <w:r w:rsidRPr="00585205" w:rsidR="007C331C">
        <w:rPr>
          <w:spacing w:val="-4"/>
          <w:lang w:val="en-GB"/>
        </w:rPr>
        <w:t xml:space="preserve">section </w:t>
      </w:r>
      <w:r w:rsidRPr="00585205">
        <w:rPr>
          <w:spacing w:val="-4"/>
          <w:lang w:val="en-GB"/>
        </w:rPr>
        <w:t xml:space="preserve">2, Guiding </w:t>
      </w:r>
      <w:r w:rsidRPr="00585205" w:rsidR="007C331C">
        <w:rPr>
          <w:spacing w:val="-4"/>
          <w:lang w:val="en-GB"/>
        </w:rPr>
        <w:t xml:space="preserve">principles for </w:t>
      </w:r>
      <w:r w:rsidRPr="00585205">
        <w:rPr>
          <w:spacing w:val="-4"/>
          <w:lang w:val="en-GB"/>
        </w:rPr>
        <w:t xml:space="preserve">GBV </w:t>
      </w:r>
      <w:r w:rsidRPr="00585205" w:rsidR="007C331C">
        <w:rPr>
          <w:spacing w:val="-4"/>
          <w:lang w:val="en-GB"/>
        </w:rPr>
        <w:t>programming</w:t>
      </w:r>
      <w:r w:rsidRPr="00585205">
        <w:rPr>
          <w:spacing w:val="-4"/>
          <w:lang w:val="en-GB"/>
        </w:rPr>
        <w:t>, which are non-negotiable</w:t>
      </w:r>
      <w:r w:rsidRPr="009F7561">
        <w:rPr>
          <w:lang w:val="en-GB"/>
        </w:rPr>
        <w:t xml:space="preserve">, all other sections of the GBV </w:t>
      </w:r>
      <w:r w:rsidRPr="009F7561" w:rsidR="0056267F">
        <w:rPr>
          <w:lang w:val="en-GB"/>
        </w:rPr>
        <w:t>SOPs</w:t>
      </w:r>
      <w:r w:rsidRPr="009F7561">
        <w:rPr>
          <w:lang w:val="en-GB"/>
        </w:rPr>
        <w:t xml:space="preserve"> </w:t>
      </w:r>
      <w:r w:rsidRPr="009F7561" w:rsidR="00383B3E">
        <w:rPr>
          <w:lang w:val="en-GB"/>
        </w:rPr>
        <w:t>template</w:t>
      </w:r>
      <w:r w:rsidRPr="009F7561">
        <w:rPr>
          <w:lang w:val="en-GB"/>
        </w:rPr>
        <w:t xml:space="preserve"> must be</w:t>
      </w:r>
      <w:r w:rsidR="00EF6589">
        <w:rPr>
          <w:lang w:val="en-GB"/>
        </w:rPr>
        <w:t xml:space="preserve"> </w:t>
      </w:r>
      <w:r w:rsidRPr="009F7561">
        <w:rPr>
          <w:lang w:val="en-GB"/>
        </w:rPr>
        <w:t xml:space="preserve">contextualized based on the actual services and interventions in place. </w:t>
      </w:r>
    </w:p>
    <w:p w:rsidRPr="00585205" w:rsidR="001D323A" w:rsidP="00E82689" w:rsidRDefault="001D323A" w14:paraId="7E28F700" w14:textId="77777777">
      <w:pPr>
        <w:spacing w:before="120" w:after="120" w:line="240" w:lineRule="auto"/>
        <w:jc w:val="both"/>
        <w:rPr>
          <w:b/>
          <w:lang w:val="en-GB"/>
        </w:rPr>
      </w:pPr>
    </w:p>
    <w:p w:rsidRPr="00585205" w:rsidR="001D323A" w:rsidP="00E82689" w:rsidRDefault="00CE2830" w14:paraId="7E28F701" w14:textId="77777777">
      <w:pPr>
        <w:spacing w:before="120" w:after="120" w:line="240" w:lineRule="auto"/>
        <w:jc w:val="both"/>
        <w:rPr>
          <w:b/>
          <w:lang w:val="en-GB"/>
        </w:rPr>
      </w:pPr>
      <w:r w:rsidRPr="009F7561">
        <w:rPr>
          <w:lang w:val="en-GB"/>
        </w:rPr>
        <w:br w:type="page"/>
      </w:r>
    </w:p>
    <w:p w:rsidRPr="00585205" w:rsidR="001D323A" w:rsidP="006C6774" w:rsidRDefault="00CE2830" w14:paraId="7E28F702" w14:textId="77777777">
      <w:pPr>
        <w:spacing w:before="120" w:after="120" w:line="240" w:lineRule="auto"/>
        <w:jc w:val="center"/>
        <w:rPr>
          <w:b/>
          <w:smallCaps/>
          <w:lang w:val="en-GB"/>
        </w:rPr>
      </w:pPr>
      <w:r w:rsidRPr="00585205">
        <w:rPr>
          <w:b/>
          <w:smallCaps/>
          <w:lang w:val="en-GB"/>
        </w:rPr>
        <w:t>STANDARD OPERATING PROCEDURES</w:t>
      </w:r>
    </w:p>
    <w:p w:rsidRPr="00585205" w:rsidR="001D323A" w:rsidP="006C6774" w:rsidRDefault="00CE2830" w14:paraId="7E28F703" w14:textId="77777777">
      <w:pPr>
        <w:spacing w:before="120" w:after="120" w:line="240" w:lineRule="auto"/>
        <w:jc w:val="center"/>
        <w:rPr>
          <w:b/>
          <w:smallCaps/>
          <w:lang w:val="en-GB"/>
        </w:rPr>
      </w:pPr>
      <w:r w:rsidRPr="00585205">
        <w:rPr>
          <w:b/>
          <w:smallCaps/>
          <w:lang w:val="en-GB"/>
        </w:rPr>
        <w:t>FOR GBV INTERVENTIONS IN HUMANITARIAN SETTINGS</w:t>
      </w:r>
      <w:r w:rsidRPr="00585205">
        <w:rPr>
          <w:b/>
          <w:smallCaps/>
          <w:vertAlign w:val="superscript"/>
          <w:lang w:val="en-GB"/>
        </w:rPr>
        <w:footnoteReference w:id="3"/>
      </w:r>
    </w:p>
    <w:p w:rsidRPr="00585205" w:rsidR="001D323A" w:rsidP="00E82689" w:rsidRDefault="001D323A" w14:paraId="7E28F706" w14:textId="77777777">
      <w:pPr>
        <w:spacing w:before="120" w:after="120" w:line="240" w:lineRule="auto"/>
        <w:jc w:val="both"/>
        <w:rPr>
          <w:b/>
          <w:lang w:val="en-GB"/>
        </w:rPr>
      </w:pPr>
    </w:p>
    <w:p w:rsidRPr="008604E5" w:rsidR="001D323A" w:rsidP="00E82689" w:rsidRDefault="00CE2830" w14:paraId="7E28F707" w14:textId="77777777">
      <w:pPr>
        <w:spacing w:before="120" w:after="120" w:line="240" w:lineRule="auto"/>
        <w:jc w:val="both"/>
        <w:rPr>
          <w:b/>
          <w:color w:val="0000FF"/>
        </w:rPr>
      </w:pPr>
      <w:r w:rsidRPr="008604E5">
        <w:rPr>
          <w:b/>
          <w:color w:val="0000FF"/>
        </w:rPr>
        <w:t>[Name of Location]</w:t>
      </w:r>
    </w:p>
    <w:p w:rsidRPr="008604E5" w:rsidR="001D323A" w:rsidP="00E82689" w:rsidRDefault="00CE2830" w14:paraId="7E28F709" w14:textId="77777777">
      <w:pPr>
        <w:spacing w:before="120" w:after="120" w:line="240" w:lineRule="auto"/>
        <w:jc w:val="both"/>
        <w:rPr>
          <w:b/>
          <w:color w:val="0000FF"/>
        </w:rPr>
      </w:pPr>
      <w:r w:rsidRPr="008604E5">
        <w:rPr>
          <w:b/>
          <w:color w:val="0000FF"/>
        </w:rPr>
        <w:t>[Country]</w:t>
      </w:r>
    </w:p>
    <w:p w:rsidRPr="00585205" w:rsidR="001D323A" w:rsidP="00E82689" w:rsidRDefault="001D323A" w14:paraId="7E28F70A" w14:textId="77777777">
      <w:pPr>
        <w:spacing w:before="120" w:after="120" w:line="240" w:lineRule="auto"/>
        <w:jc w:val="both"/>
        <w:rPr>
          <w:b/>
          <w:sz w:val="20"/>
          <w:szCs w:val="20"/>
          <w:lang w:val="en-GB"/>
        </w:rPr>
      </w:pPr>
    </w:p>
    <w:p w:rsidRPr="00585205" w:rsidR="001D323A" w:rsidP="00E82689" w:rsidRDefault="00CE2830" w14:paraId="7E28F70E" w14:textId="77777777">
      <w:pPr>
        <w:spacing w:before="120" w:after="120" w:line="240" w:lineRule="auto"/>
        <w:jc w:val="both"/>
        <w:rPr>
          <w:b/>
          <w:lang w:val="en-GB"/>
        </w:rPr>
      </w:pPr>
      <w:r w:rsidRPr="00585205">
        <w:rPr>
          <w:b/>
          <w:lang w:val="en-GB"/>
        </w:rPr>
        <w:t>Developed collaboratively among:</w:t>
      </w:r>
    </w:p>
    <w:p w:rsidRPr="008604E5" w:rsidR="001D323A" w:rsidP="00E82689" w:rsidRDefault="00A775B7" w14:paraId="7E28F710" w14:textId="370FB51F">
      <w:pPr>
        <w:spacing w:before="120" w:after="120" w:line="240" w:lineRule="auto"/>
        <w:jc w:val="both"/>
        <w:rPr>
          <w:i/>
          <w:color w:val="0070C0"/>
          <w:lang w:val="en-GB"/>
        </w:rPr>
      </w:pPr>
      <w:r>
        <w:rPr>
          <w:i/>
          <w:color w:val="0070C0"/>
          <w:lang w:val="en-GB"/>
        </w:rPr>
        <w:t>[</w:t>
      </w:r>
      <w:r w:rsidRPr="008604E5" w:rsidR="00CE2830">
        <w:rPr>
          <w:i/>
          <w:color w:val="0070C0"/>
          <w:lang w:val="en-GB"/>
        </w:rPr>
        <w:t>List the names and roles of all</w:t>
      </w:r>
      <w:r w:rsidRPr="008604E5" w:rsidR="00CE2830">
        <w:rPr>
          <w:i/>
          <w:color w:val="0070C0"/>
          <w:vertAlign w:val="superscript"/>
          <w:lang w:val="en-GB"/>
        </w:rPr>
        <w:footnoteReference w:id="4"/>
      </w:r>
      <w:r w:rsidRPr="008604E5" w:rsidR="00CE2830">
        <w:rPr>
          <w:i/>
          <w:color w:val="0070C0"/>
          <w:lang w:val="en-GB"/>
        </w:rPr>
        <w:t xml:space="preserve"> agencies, organ</w:t>
      </w:r>
      <w:r w:rsidRPr="008604E5" w:rsidR="002D1850">
        <w:rPr>
          <w:i/>
          <w:color w:val="0070C0"/>
          <w:lang w:val="en-GB"/>
        </w:rPr>
        <w:t>iza</w:t>
      </w:r>
      <w:r w:rsidRPr="008604E5" w:rsidR="00CE2830">
        <w:rPr>
          <w:i/>
          <w:color w:val="0070C0"/>
          <w:lang w:val="en-GB"/>
        </w:rPr>
        <w:t>tions and other actors involved in developing these GBV SOPs</w:t>
      </w:r>
      <w:r>
        <w:rPr>
          <w:i/>
          <w:color w:val="0070C0"/>
          <w:lang w:val="en-GB"/>
        </w:rPr>
        <w:t>]</w:t>
      </w:r>
    </w:p>
    <w:tbl>
      <w:tblPr>
        <w:tblW w:w="933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4740"/>
        <w:gridCol w:w="4590"/>
      </w:tblGrid>
      <w:tr w:rsidRPr="009F7561" w:rsidR="007B57E6" w14:paraId="7E28F714" w14:textId="77777777">
        <w:tc>
          <w:tcPr>
            <w:tcW w:w="4740" w:type="dxa"/>
          </w:tcPr>
          <w:p w:rsidRPr="00B04143" w:rsidR="001D323A" w:rsidP="00B04143" w:rsidRDefault="00CE2830" w14:paraId="7E28F712" w14:textId="3CCA38A5">
            <w:pPr>
              <w:spacing w:before="120" w:after="120"/>
              <w:jc w:val="center"/>
              <w:rPr>
                <w:b/>
                <w:bCs/>
                <w:lang w:val="en-GB"/>
              </w:rPr>
            </w:pPr>
            <w:r w:rsidRPr="00B04143">
              <w:rPr>
                <w:b/>
                <w:bCs/>
                <w:lang w:val="en-GB"/>
              </w:rPr>
              <w:t xml:space="preserve">Role in GBV </w:t>
            </w:r>
            <w:r w:rsidRPr="00B04143" w:rsidR="002513DC">
              <w:rPr>
                <w:b/>
                <w:bCs/>
                <w:lang w:val="en-GB"/>
              </w:rPr>
              <w:t xml:space="preserve">response, risk mitigation </w:t>
            </w:r>
            <w:r w:rsidRPr="00B04143" w:rsidR="00B33CF4">
              <w:rPr>
                <w:b/>
                <w:bCs/>
                <w:lang w:val="en-GB"/>
              </w:rPr>
              <w:br/>
            </w:r>
            <w:r w:rsidRPr="00B04143" w:rsidR="002513DC">
              <w:rPr>
                <w:b/>
                <w:bCs/>
                <w:lang w:val="en-GB"/>
              </w:rPr>
              <w:t>and/or prevention</w:t>
            </w:r>
          </w:p>
        </w:tc>
        <w:tc>
          <w:tcPr>
            <w:tcW w:w="4590" w:type="dxa"/>
          </w:tcPr>
          <w:p w:rsidRPr="00B04143" w:rsidR="001D323A" w:rsidP="00B04143" w:rsidRDefault="00CE2830" w14:paraId="7E28F713" w14:textId="0B5FC34C">
            <w:pPr>
              <w:spacing w:before="120" w:after="120"/>
              <w:jc w:val="center"/>
              <w:rPr>
                <w:b/>
                <w:bCs/>
                <w:lang w:val="en-GB"/>
              </w:rPr>
            </w:pPr>
            <w:r w:rsidRPr="00B04143">
              <w:rPr>
                <w:b/>
                <w:bCs/>
                <w:lang w:val="en-GB"/>
              </w:rPr>
              <w:t xml:space="preserve">Name of </w:t>
            </w:r>
            <w:r w:rsidRPr="00B04143" w:rsidR="002513DC">
              <w:rPr>
                <w:b/>
                <w:bCs/>
                <w:lang w:val="en-GB"/>
              </w:rPr>
              <w:t>actor</w:t>
            </w:r>
          </w:p>
        </w:tc>
      </w:tr>
      <w:tr w:rsidRPr="009F7561" w:rsidR="007B57E6" w14:paraId="7E28F717" w14:textId="77777777">
        <w:tc>
          <w:tcPr>
            <w:tcW w:w="4740" w:type="dxa"/>
          </w:tcPr>
          <w:p w:rsidRPr="00B04143" w:rsidR="001D323A" w:rsidP="00E82689" w:rsidRDefault="00CE2830" w14:paraId="7E28F715" w14:textId="77777777">
            <w:pPr>
              <w:spacing w:before="120" w:after="120"/>
              <w:jc w:val="both"/>
              <w:rPr>
                <w:i/>
                <w:iCs/>
                <w:color w:val="0070C0"/>
                <w:lang w:val="en-GB"/>
              </w:rPr>
            </w:pPr>
            <w:r w:rsidRPr="00B04143">
              <w:rPr>
                <w:i/>
                <w:iCs/>
                <w:color w:val="0070C0"/>
                <w:lang w:val="en-GB"/>
              </w:rPr>
              <w:t>Health</w:t>
            </w:r>
          </w:p>
        </w:tc>
        <w:tc>
          <w:tcPr>
            <w:tcW w:w="4590" w:type="dxa"/>
          </w:tcPr>
          <w:p w:rsidRPr="00585205" w:rsidR="001D323A" w:rsidP="00E82689" w:rsidRDefault="001D323A" w14:paraId="7E28F716" w14:textId="77777777">
            <w:pPr>
              <w:spacing w:before="120" w:after="120"/>
              <w:jc w:val="both"/>
              <w:rPr>
                <w:lang w:val="en-GB"/>
              </w:rPr>
            </w:pPr>
          </w:p>
        </w:tc>
      </w:tr>
      <w:tr w:rsidRPr="009F7561" w:rsidR="007B57E6" w14:paraId="7E28F71A" w14:textId="77777777">
        <w:tc>
          <w:tcPr>
            <w:tcW w:w="4740" w:type="dxa"/>
          </w:tcPr>
          <w:p w:rsidRPr="00B04143" w:rsidR="001D323A" w:rsidP="00E82689" w:rsidRDefault="00CE2830" w14:paraId="7E28F718" w14:textId="77777777">
            <w:pPr>
              <w:spacing w:before="120" w:after="120"/>
              <w:jc w:val="both"/>
              <w:rPr>
                <w:i/>
                <w:iCs/>
                <w:color w:val="0070C0"/>
                <w:lang w:val="en-GB"/>
              </w:rPr>
            </w:pPr>
            <w:r w:rsidRPr="00B04143">
              <w:rPr>
                <w:i/>
                <w:iCs/>
                <w:color w:val="0070C0"/>
                <w:lang w:val="en-GB"/>
              </w:rPr>
              <w:t>Psychosocial Support</w:t>
            </w:r>
          </w:p>
        </w:tc>
        <w:tc>
          <w:tcPr>
            <w:tcW w:w="4590" w:type="dxa"/>
          </w:tcPr>
          <w:p w:rsidRPr="00585205" w:rsidR="001D323A" w:rsidP="00E82689" w:rsidRDefault="001D323A" w14:paraId="7E28F719" w14:textId="77777777">
            <w:pPr>
              <w:spacing w:before="120" w:after="120"/>
              <w:jc w:val="both"/>
              <w:rPr>
                <w:lang w:val="en-GB"/>
              </w:rPr>
            </w:pPr>
          </w:p>
        </w:tc>
      </w:tr>
      <w:tr w:rsidRPr="009F7561" w:rsidR="007B57E6" w14:paraId="7E28F71D" w14:textId="77777777">
        <w:tc>
          <w:tcPr>
            <w:tcW w:w="4740" w:type="dxa"/>
          </w:tcPr>
          <w:p w:rsidRPr="00B04143" w:rsidR="001D323A" w:rsidP="00E82689" w:rsidRDefault="00CE2830" w14:paraId="7E28F71B" w14:textId="77777777">
            <w:pPr>
              <w:spacing w:before="120" w:after="120"/>
              <w:jc w:val="both"/>
              <w:rPr>
                <w:i/>
                <w:iCs/>
                <w:color w:val="0070C0"/>
                <w:lang w:val="en-GB"/>
              </w:rPr>
            </w:pPr>
            <w:r w:rsidRPr="00B04143">
              <w:rPr>
                <w:i/>
                <w:iCs/>
                <w:color w:val="0070C0"/>
                <w:lang w:val="en-GB"/>
              </w:rPr>
              <w:t>Case Management</w:t>
            </w:r>
          </w:p>
        </w:tc>
        <w:tc>
          <w:tcPr>
            <w:tcW w:w="4590" w:type="dxa"/>
          </w:tcPr>
          <w:p w:rsidRPr="00585205" w:rsidR="001D323A" w:rsidP="00E82689" w:rsidRDefault="001D323A" w14:paraId="7E28F71C" w14:textId="77777777">
            <w:pPr>
              <w:spacing w:before="120" w:after="120"/>
              <w:jc w:val="both"/>
              <w:rPr>
                <w:lang w:val="en-GB"/>
              </w:rPr>
            </w:pPr>
          </w:p>
        </w:tc>
      </w:tr>
      <w:tr w:rsidRPr="009F7561" w:rsidR="007B57E6" w14:paraId="7E28F720" w14:textId="77777777">
        <w:tc>
          <w:tcPr>
            <w:tcW w:w="4740" w:type="dxa"/>
          </w:tcPr>
          <w:p w:rsidRPr="00B04143" w:rsidR="001D323A" w:rsidP="00E82689" w:rsidRDefault="00CE2830" w14:paraId="7E28F71E" w14:textId="77777777">
            <w:pPr>
              <w:spacing w:before="120" w:after="120"/>
              <w:jc w:val="both"/>
              <w:rPr>
                <w:i/>
                <w:iCs/>
                <w:color w:val="0070C0"/>
                <w:lang w:val="en-GB"/>
              </w:rPr>
            </w:pPr>
            <w:r w:rsidRPr="00B04143">
              <w:rPr>
                <w:i/>
                <w:iCs/>
                <w:color w:val="0070C0"/>
                <w:lang w:val="en-GB"/>
              </w:rPr>
              <w:t>Protection</w:t>
            </w:r>
          </w:p>
        </w:tc>
        <w:tc>
          <w:tcPr>
            <w:tcW w:w="4590" w:type="dxa"/>
          </w:tcPr>
          <w:p w:rsidRPr="00585205" w:rsidR="001D323A" w:rsidP="00E82689" w:rsidRDefault="001D323A" w14:paraId="7E28F71F" w14:textId="77777777">
            <w:pPr>
              <w:spacing w:before="120" w:after="120"/>
              <w:jc w:val="both"/>
              <w:rPr>
                <w:lang w:val="en-GB"/>
              </w:rPr>
            </w:pPr>
          </w:p>
        </w:tc>
      </w:tr>
      <w:tr w:rsidRPr="009F7561" w:rsidR="007B57E6" w14:paraId="7E28F723" w14:textId="77777777">
        <w:tc>
          <w:tcPr>
            <w:tcW w:w="4740" w:type="dxa"/>
          </w:tcPr>
          <w:p w:rsidRPr="00B04143" w:rsidR="001D323A" w:rsidP="00E82689" w:rsidRDefault="00CE2830" w14:paraId="7E28F721" w14:textId="77777777">
            <w:pPr>
              <w:spacing w:before="120" w:after="120"/>
              <w:jc w:val="both"/>
              <w:rPr>
                <w:i/>
                <w:iCs/>
                <w:color w:val="0070C0"/>
                <w:lang w:val="en-GB"/>
              </w:rPr>
            </w:pPr>
            <w:r w:rsidRPr="00B04143">
              <w:rPr>
                <w:i/>
                <w:iCs/>
                <w:color w:val="0070C0"/>
                <w:lang w:val="en-GB"/>
              </w:rPr>
              <w:t>Legal Support</w:t>
            </w:r>
          </w:p>
        </w:tc>
        <w:tc>
          <w:tcPr>
            <w:tcW w:w="4590" w:type="dxa"/>
          </w:tcPr>
          <w:p w:rsidRPr="00585205" w:rsidR="001D323A" w:rsidP="00E82689" w:rsidRDefault="001D323A" w14:paraId="7E28F722" w14:textId="77777777">
            <w:pPr>
              <w:spacing w:before="120" w:after="120"/>
              <w:jc w:val="both"/>
              <w:rPr>
                <w:lang w:val="en-GB"/>
              </w:rPr>
            </w:pPr>
          </w:p>
        </w:tc>
      </w:tr>
      <w:tr w:rsidRPr="009F7561" w:rsidR="007B57E6" w14:paraId="7E28F726" w14:textId="77777777">
        <w:tc>
          <w:tcPr>
            <w:tcW w:w="4740" w:type="dxa"/>
          </w:tcPr>
          <w:p w:rsidRPr="00B04143" w:rsidR="001D323A" w:rsidP="00E82689" w:rsidRDefault="00CE2830" w14:paraId="7E28F724" w14:textId="77777777">
            <w:pPr>
              <w:spacing w:before="120" w:after="120"/>
              <w:jc w:val="both"/>
              <w:rPr>
                <w:i/>
                <w:iCs/>
                <w:color w:val="0070C0"/>
                <w:lang w:val="en-GB"/>
              </w:rPr>
            </w:pPr>
            <w:r w:rsidRPr="00B04143">
              <w:rPr>
                <w:i/>
                <w:iCs/>
                <w:color w:val="0070C0"/>
                <w:lang w:val="en-GB"/>
              </w:rPr>
              <w:t>Security/Safety Support</w:t>
            </w:r>
          </w:p>
        </w:tc>
        <w:tc>
          <w:tcPr>
            <w:tcW w:w="4590" w:type="dxa"/>
          </w:tcPr>
          <w:p w:rsidRPr="00585205" w:rsidR="001D323A" w:rsidP="00E82689" w:rsidRDefault="001D323A" w14:paraId="7E28F725" w14:textId="77777777">
            <w:pPr>
              <w:spacing w:before="120" w:after="120"/>
              <w:jc w:val="both"/>
              <w:rPr>
                <w:lang w:val="en-GB"/>
              </w:rPr>
            </w:pPr>
          </w:p>
        </w:tc>
      </w:tr>
      <w:tr w:rsidRPr="009F7561" w:rsidR="007B57E6" w14:paraId="7E28F729" w14:textId="77777777">
        <w:tc>
          <w:tcPr>
            <w:tcW w:w="4740" w:type="dxa"/>
          </w:tcPr>
          <w:p w:rsidRPr="00585205" w:rsidR="001D323A" w:rsidP="00E82689" w:rsidRDefault="001D323A" w14:paraId="7E28F727" w14:textId="77777777">
            <w:pPr>
              <w:spacing w:before="120" w:after="120"/>
              <w:jc w:val="both"/>
              <w:rPr>
                <w:lang w:val="en-GB"/>
              </w:rPr>
            </w:pPr>
          </w:p>
        </w:tc>
        <w:tc>
          <w:tcPr>
            <w:tcW w:w="4590" w:type="dxa"/>
          </w:tcPr>
          <w:p w:rsidRPr="00585205" w:rsidR="001D323A" w:rsidP="00E82689" w:rsidRDefault="001D323A" w14:paraId="7E28F728" w14:textId="77777777">
            <w:pPr>
              <w:spacing w:before="120" w:after="120"/>
              <w:jc w:val="both"/>
              <w:rPr>
                <w:lang w:val="en-GB"/>
              </w:rPr>
            </w:pPr>
          </w:p>
        </w:tc>
      </w:tr>
    </w:tbl>
    <w:p w:rsidR="00A775B7" w:rsidP="00A775B7" w:rsidRDefault="00A775B7" w14:paraId="4838FF1F" w14:textId="77777777">
      <w:pPr>
        <w:spacing w:before="120" w:after="120" w:line="300" w:lineRule="atLeast"/>
        <w:jc w:val="both"/>
        <w:rPr>
          <w:lang w:val="en-GB"/>
        </w:rPr>
      </w:pPr>
    </w:p>
    <w:p w:rsidRPr="00585205" w:rsidR="001D323A" w:rsidP="00A775B7" w:rsidRDefault="00CE2830" w14:paraId="7E28F735" w14:textId="293A9A2A">
      <w:pPr>
        <w:spacing w:before="120" w:after="120" w:line="300" w:lineRule="atLeast"/>
        <w:jc w:val="both"/>
        <w:rPr>
          <w:lang w:val="en-GB"/>
        </w:rPr>
      </w:pPr>
      <w:r w:rsidRPr="00585205">
        <w:rPr>
          <w:lang w:val="en-GB"/>
        </w:rPr>
        <w:t xml:space="preserve">Date of </w:t>
      </w:r>
      <w:r w:rsidRPr="00585205" w:rsidR="002513DC">
        <w:rPr>
          <w:lang w:val="en-GB"/>
        </w:rPr>
        <w:t>completion</w:t>
      </w:r>
      <w:r w:rsidRPr="00585205">
        <w:rPr>
          <w:lang w:val="en-GB"/>
        </w:rPr>
        <w:t>: __________</w:t>
      </w:r>
    </w:p>
    <w:p w:rsidRPr="00585205" w:rsidR="001D323A" w:rsidP="00A775B7" w:rsidRDefault="00CE2830" w14:paraId="7E28F737" w14:textId="2B9F541A">
      <w:pPr>
        <w:spacing w:before="120" w:after="120" w:line="300" w:lineRule="atLeast"/>
        <w:jc w:val="both"/>
        <w:rPr>
          <w:lang w:val="en-GB"/>
        </w:rPr>
      </w:pPr>
      <w:r w:rsidRPr="00585205">
        <w:rPr>
          <w:lang w:val="en-GB"/>
        </w:rPr>
        <w:t xml:space="preserve">Next </w:t>
      </w:r>
      <w:r w:rsidRPr="00585205" w:rsidR="002513DC">
        <w:rPr>
          <w:lang w:val="en-GB"/>
        </w:rPr>
        <w:t>revision planned</w:t>
      </w:r>
      <w:r w:rsidRPr="00585205">
        <w:rPr>
          <w:lang w:val="en-GB"/>
        </w:rPr>
        <w:t>: __________</w:t>
      </w:r>
    </w:p>
    <w:p w:rsidRPr="009F7561" w:rsidR="001D323A" w:rsidP="00A775B7" w:rsidRDefault="00CE2830" w14:paraId="7E28F739" w14:textId="22990F6B">
      <w:pPr>
        <w:spacing w:before="120" w:after="120" w:line="300" w:lineRule="atLeast"/>
        <w:jc w:val="both"/>
        <w:rPr>
          <w:lang w:val="en-GB"/>
        </w:rPr>
      </w:pPr>
      <w:r w:rsidRPr="00585205">
        <w:rPr>
          <w:lang w:val="en-GB"/>
        </w:rPr>
        <w:t xml:space="preserve">Revision </w:t>
      </w:r>
      <w:r w:rsidRPr="00585205" w:rsidR="009721D2">
        <w:rPr>
          <w:lang w:val="en-GB"/>
        </w:rPr>
        <w:t>completed: __________</w:t>
      </w:r>
    </w:p>
    <w:p w:rsidR="006321AC" w:rsidRDefault="006321AC" w14:paraId="776A702B" w14:textId="766ADBE5">
      <w:pPr>
        <w:rPr>
          <w:b/>
          <w:bCs/>
          <w:color w:val="0070C0"/>
        </w:rPr>
      </w:pPr>
      <w:r>
        <w:rPr>
          <w:b/>
          <w:bCs/>
          <w:color w:val="0070C0"/>
        </w:rPr>
        <w:br w:type="page"/>
      </w:r>
    </w:p>
    <w:sdt>
      <w:sdtPr>
        <w:id w:val="2102905629"/>
        <w:docPartObj>
          <w:docPartGallery w:val="Table of Contents"/>
          <w:docPartUnique/>
        </w:docPartObj>
      </w:sdtPr>
      <w:sdtEndPr>
        <w:rPr>
          <w:rFonts w:ascii="Arial" w:hAnsi="Arial" w:eastAsia="Arial" w:cs="Arial"/>
          <w:b/>
          <w:bCs/>
          <w:noProof/>
          <w:color w:val="auto"/>
          <w:sz w:val="22"/>
          <w:szCs w:val="22"/>
        </w:rPr>
      </w:sdtEndPr>
      <w:sdtContent>
        <w:p w:rsidR="004A6B9C" w:rsidRDefault="00B04143" w14:paraId="38AD92E9" w14:textId="7C56C09C">
          <w:pPr>
            <w:pStyle w:val="TOCHeading"/>
          </w:pPr>
          <w:r>
            <w:t xml:space="preserve">Table of </w:t>
          </w:r>
          <w:r w:rsidR="004A6B9C">
            <w:t>Contents</w:t>
          </w:r>
        </w:p>
        <w:p w:rsidR="004A6B9C" w:rsidRDefault="004A6B9C" w14:paraId="06BFD8E1" w14:textId="033FD217">
          <w:pPr>
            <w:pStyle w:val="TOC1"/>
            <w:rPr>
              <w:rFonts w:asciiTheme="minorHAnsi" w:hAnsiTheme="minorHAnsi" w:eastAsiaTheme="minorEastAsia" w:cstheme="minorBidi"/>
              <w:b w:val="0"/>
              <w:smallCaps w:val="0"/>
              <w:noProof/>
              <w:lang w:val="en-GB" w:eastAsia="en-GB"/>
            </w:rPr>
          </w:pPr>
          <w:r>
            <w:fldChar w:fldCharType="begin"/>
          </w:r>
          <w:r>
            <w:instrText xml:space="preserve"> TOC \o "1-3" \h \z \u </w:instrText>
          </w:r>
          <w:r>
            <w:fldChar w:fldCharType="separate"/>
          </w:r>
          <w:hyperlink w:history="1" w:anchor="_Toc142469123">
            <w:r w:rsidRPr="00E700AE">
              <w:rPr>
                <w:rStyle w:val="Hyperlink"/>
                <w:noProof/>
              </w:rPr>
              <w:t>1</w:t>
            </w:r>
            <w:r>
              <w:rPr>
                <w:rFonts w:asciiTheme="minorHAnsi" w:hAnsiTheme="minorHAnsi" w:eastAsiaTheme="minorEastAsia" w:cstheme="minorBidi"/>
                <w:b w:val="0"/>
                <w:smallCaps w:val="0"/>
                <w:noProof/>
                <w:lang w:val="en-GB" w:eastAsia="en-GB"/>
              </w:rPr>
              <w:tab/>
            </w:r>
            <w:r w:rsidRPr="00E700AE">
              <w:rPr>
                <w:rStyle w:val="Hyperlink"/>
                <w:noProof/>
              </w:rPr>
              <w:t>SECTION 1: INTRODUCTION</w:t>
            </w:r>
            <w:r>
              <w:rPr>
                <w:noProof/>
                <w:webHidden/>
              </w:rPr>
              <w:tab/>
            </w:r>
            <w:r>
              <w:rPr>
                <w:noProof/>
                <w:webHidden/>
              </w:rPr>
              <w:fldChar w:fldCharType="begin"/>
            </w:r>
            <w:r>
              <w:rPr>
                <w:noProof/>
                <w:webHidden/>
              </w:rPr>
              <w:instrText xml:space="preserve"> PAGEREF _Toc142469123 \h </w:instrText>
            </w:r>
            <w:r>
              <w:rPr>
                <w:noProof/>
                <w:webHidden/>
              </w:rPr>
            </w:r>
            <w:r>
              <w:rPr>
                <w:noProof/>
                <w:webHidden/>
              </w:rPr>
              <w:fldChar w:fldCharType="separate"/>
            </w:r>
            <w:r>
              <w:rPr>
                <w:noProof/>
                <w:webHidden/>
              </w:rPr>
              <w:t>19</w:t>
            </w:r>
            <w:r>
              <w:rPr>
                <w:noProof/>
                <w:webHidden/>
              </w:rPr>
              <w:fldChar w:fldCharType="end"/>
            </w:r>
          </w:hyperlink>
        </w:p>
        <w:p w:rsidR="004A6B9C" w:rsidRDefault="004A6B9C" w14:paraId="08EFD3C8" w14:textId="66C9D038">
          <w:pPr>
            <w:pStyle w:val="TOC2"/>
            <w:rPr>
              <w:rFonts w:asciiTheme="minorHAnsi" w:hAnsiTheme="minorHAnsi" w:eastAsiaTheme="minorEastAsia" w:cstheme="minorBidi"/>
              <w:noProof/>
              <w:lang w:val="en-GB" w:eastAsia="en-GB"/>
            </w:rPr>
          </w:pPr>
          <w:hyperlink w:history="1" w:anchor="_Toc142469124">
            <w:r w:rsidRPr="00E700AE">
              <w:rPr>
                <w:rStyle w:val="Hyperlink"/>
                <w:noProof/>
              </w:rPr>
              <w:t>1.1</w:t>
            </w:r>
            <w:r>
              <w:rPr>
                <w:rFonts w:asciiTheme="minorHAnsi" w:hAnsiTheme="minorHAnsi" w:eastAsiaTheme="minorEastAsia" w:cstheme="minorBidi"/>
                <w:noProof/>
                <w:lang w:val="en-GB" w:eastAsia="en-GB"/>
              </w:rPr>
              <w:tab/>
            </w:r>
            <w:r w:rsidRPr="00E700AE">
              <w:rPr>
                <w:rStyle w:val="Hyperlink"/>
                <w:noProof/>
              </w:rPr>
              <w:t>Purpose</w:t>
            </w:r>
            <w:r>
              <w:rPr>
                <w:noProof/>
                <w:webHidden/>
              </w:rPr>
              <w:tab/>
            </w:r>
            <w:r>
              <w:rPr>
                <w:noProof/>
                <w:webHidden/>
              </w:rPr>
              <w:fldChar w:fldCharType="begin"/>
            </w:r>
            <w:r>
              <w:rPr>
                <w:noProof/>
                <w:webHidden/>
              </w:rPr>
              <w:instrText xml:space="preserve"> PAGEREF _Toc142469124 \h </w:instrText>
            </w:r>
            <w:r>
              <w:rPr>
                <w:noProof/>
                <w:webHidden/>
              </w:rPr>
            </w:r>
            <w:r>
              <w:rPr>
                <w:noProof/>
                <w:webHidden/>
              </w:rPr>
              <w:fldChar w:fldCharType="separate"/>
            </w:r>
            <w:r>
              <w:rPr>
                <w:noProof/>
                <w:webHidden/>
              </w:rPr>
              <w:t>19</w:t>
            </w:r>
            <w:r>
              <w:rPr>
                <w:noProof/>
                <w:webHidden/>
              </w:rPr>
              <w:fldChar w:fldCharType="end"/>
            </w:r>
          </w:hyperlink>
        </w:p>
        <w:p w:rsidR="004A6B9C" w:rsidRDefault="004A6B9C" w14:paraId="739C614A" w14:textId="6B461A86">
          <w:pPr>
            <w:pStyle w:val="TOC2"/>
            <w:rPr>
              <w:rFonts w:asciiTheme="minorHAnsi" w:hAnsiTheme="minorHAnsi" w:eastAsiaTheme="minorEastAsia" w:cstheme="minorBidi"/>
              <w:noProof/>
              <w:lang w:val="en-GB" w:eastAsia="en-GB"/>
            </w:rPr>
          </w:pPr>
          <w:hyperlink w:history="1" w:anchor="_Toc142469125">
            <w:r w:rsidRPr="00E700AE">
              <w:rPr>
                <w:rStyle w:val="Hyperlink"/>
                <w:noProof/>
              </w:rPr>
              <w:t>1.2</w:t>
            </w:r>
            <w:r>
              <w:rPr>
                <w:rFonts w:asciiTheme="minorHAnsi" w:hAnsiTheme="minorHAnsi" w:eastAsiaTheme="minorEastAsia" w:cstheme="minorBidi"/>
                <w:noProof/>
                <w:lang w:val="en-GB" w:eastAsia="en-GB"/>
              </w:rPr>
              <w:tab/>
            </w:r>
            <w:r w:rsidRPr="00E700AE">
              <w:rPr>
                <w:rStyle w:val="Hyperlink"/>
                <w:noProof/>
              </w:rPr>
              <w:t>Context</w:t>
            </w:r>
            <w:r>
              <w:rPr>
                <w:noProof/>
                <w:webHidden/>
              </w:rPr>
              <w:tab/>
            </w:r>
            <w:r>
              <w:rPr>
                <w:noProof/>
                <w:webHidden/>
              </w:rPr>
              <w:fldChar w:fldCharType="begin"/>
            </w:r>
            <w:r>
              <w:rPr>
                <w:noProof/>
                <w:webHidden/>
              </w:rPr>
              <w:instrText xml:space="preserve"> PAGEREF _Toc142469125 \h </w:instrText>
            </w:r>
            <w:r>
              <w:rPr>
                <w:noProof/>
                <w:webHidden/>
              </w:rPr>
            </w:r>
            <w:r>
              <w:rPr>
                <w:noProof/>
                <w:webHidden/>
              </w:rPr>
              <w:fldChar w:fldCharType="separate"/>
            </w:r>
            <w:r>
              <w:rPr>
                <w:noProof/>
                <w:webHidden/>
              </w:rPr>
              <w:t>19</w:t>
            </w:r>
            <w:r>
              <w:rPr>
                <w:noProof/>
                <w:webHidden/>
              </w:rPr>
              <w:fldChar w:fldCharType="end"/>
            </w:r>
          </w:hyperlink>
        </w:p>
        <w:p w:rsidR="004A6B9C" w:rsidRDefault="004A6B9C" w14:paraId="514D5895" w14:textId="720E73F8">
          <w:pPr>
            <w:pStyle w:val="TOC2"/>
            <w:rPr>
              <w:rFonts w:asciiTheme="minorHAnsi" w:hAnsiTheme="minorHAnsi" w:eastAsiaTheme="minorEastAsia" w:cstheme="minorBidi"/>
              <w:noProof/>
              <w:lang w:val="en-GB" w:eastAsia="en-GB"/>
            </w:rPr>
          </w:pPr>
          <w:hyperlink w:history="1" w:anchor="_Toc142469126">
            <w:r w:rsidRPr="00E700AE">
              <w:rPr>
                <w:rStyle w:val="Hyperlink"/>
                <w:noProof/>
              </w:rPr>
              <w:t>1.3</w:t>
            </w:r>
            <w:r>
              <w:rPr>
                <w:rFonts w:asciiTheme="minorHAnsi" w:hAnsiTheme="minorHAnsi" w:eastAsiaTheme="minorEastAsia" w:cstheme="minorBidi"/>
                <w:noProof/>
                <w:lang w:val="en-GB" w:eastAsia="en-GB"/>
              </w:rPr>
              <w:tab/>
            </w:r>
            <w:r w:rsidRPr="00E700AE">
              <w:rPr>
                <w:rStyle w:val="Hyperlink"/>
                <w:noProof/>
              </w:rPr>
              <w:t>Settings and affected populations</w:t>
            </w:r>
            <w:r>
              <w:rPr>
                <w:noProof/>
                <w:webHidden/>
              </w:rPr>
              <w:tab/>
            </w:r>
            <w:r>
              <w:rPr>
                <w:noProof/>
                <w:webHidden/>
              </w:rPr>
              <w:fldChar w:fldCharType="begin"/>
            </w:r>
            <w:r>
              <w:rPr>
                <w:noProof/>
                <w:webHidden/>
              </w:rPr>
              <w:instrText xml:space="preserve"> PAGEREF _Toc142469126 \h </w:instrText>
            </w:r>
            <w:r>
              <w:rPr>
                <w:noProof/>
                <w:webHidden/>
              </w:rPr>
            </w:r>
            <w:r>
              <w:rPr>
                <w:noProof/>
                <w:webHidden/>
              </w:rPr>
              <w:fldChar w:fldCharType="separate"/>
            </w:r>
            <w:r>
              <w:rPr>
                <w:noProof/>
                <w:webHidden/>
              </w:rPr>
              <w:t>19</w:t>
            </w:r>
            <w:r>
              <w:rPr>
                <w:noProof/>
                <w:webHidden/>
              </w:rPr>
              <w:fldChar w:fldCharType="end"/>
            </w:r>
          </w:hyperlink>
        </w:p>
        <w:p w:rsidR="004A6B9C" w:rsidRDefault="004A6B9C" w14:paraId="1F4C19FB" w14:textId="6E6E82DC">
          <w:pPr>
            <w:pStyle w:val="TOC2"/>
            <w:rPr>
              <w:rFonts w:asciiTheme="minorHAnsi" w:hAnsiTheme="minorHAnsi" w:eastAsiaTheme="minorEastAsia" w:cstheme="minorBidi"/>
              <w:noProof/>
              <w:lang w:val="en-GB" w:eastAsia="en-GB"/>
            </w:rPr>
          </w:pPr>
          <w:hyperlink w:history="1" w:anchor="_Toc142469127">
            <w:r w:rsidRPr="00E700AE">
              <w:rPr>
                <w:rStyle w:val="Hyperlink"/>
                <w:noProof/>
              </w:rPr>
              <w:t>1.4</w:t>
            </w:r>
            <w:r>
              <w:rPr>
                <w:rFonts w:asciiTheme="minorHAnsi" w:hAnsiTheme="minorHAnsi" w:eastAsiaTheme="minorEastAsia" w:cstheme="minorBidi"/>
                <w:noProof/>
                <w:lang w:val="en-GB" w:eastAsia="en-GB"/>
              </w:rPr>
              <w:tab/>
            </w:r>
            <w:r w:rsidRPr="00E700AE">
              <w:rPr>
                <w:rStyle w:val="Hyperlink"/>
                <w:noProof/>
              </w:rPr>
              <w:t>Terms</w:t>
            </w:r>
            <w:r>
              <w:rPr>
                <w:noProof/>
                <w:webHidden/>
              </w:rPr>
              <w:tab/>
            </w:r>
            <w:r>
              <w:rPr>
                <w:noProof/>
                <w:webHidden/>
              </w:rPr>
              <w:fldChar w:fldCharType="begin"/>
            </w:r>
            <w:r>
              <w:rPr>
                <w:noProof/>
                <w:webHidden/>
              </w:rPr>
              <w:instrText xml:space="preserve"> PAGEREF _Toc142469127 \h </w:instrText>
            </w:r>
            <w:r>
              <w:rPr>
                <w:noProof/>
                <w:webHidden/>
              </w:rPr>
            </w:r>
            <w:r>
              <w:rPr>
                <w:noProof/>
                <w:webHidden/>
              </w:rPr>
              <w:fldChar w:fldCharType="separate"/>
            </w:r>
            <w:r>
              <w:rPr>
                <w:noProof/>
                <w:webHidden/>
              </w:rPr>
              <w:t>20</w:t>
            </w:r>
            <w:r>
              <w:rPr>
                <w:noProof/>
                <w:webHidden/>
              </w:rPr>
              <w:fldChar w:fldCharType="end"/>
            </w:r>
          </w:hyperlink>
        </w:p>
        <w:p w:rsidR="004A6B9C" w:rsidRDefault="004A6B9C" w14:paraId="458D8175" w14:textId="10E7713D">
          <w:pPr>
            <w:pStyle w:val="TOC3"/>
            <w:rPr>
              <w:rFonts w:asciiTheme="minorHAnsi" w:hAnsiTheme="minorHAnsi" w:eastAsiaTheme="minorEastAsia" w:cstheme="minorBidi"/>
              <w:i w:val="0"/>
              <w:noProof/>
              <w:lang w:val="en-GB" w:eastAsia="en-GB"/>
            </w:rPr>
          </w:pPr>
          <w:hyperlink w:history="1" w:anchor="_Toc142469128">
            <w:r w:rsidRPr="00E700AE">
              <w:rPr>
                <w:rStyle w:val="Hyperlink"/>
                <w:noProof/>
                <w:lang w:val="en-GB"/>
              </w:rPr>
              <w:t>1.4.1</w:t>
            </w:r>
            <w:r>
              <w:rPr>
                <w:rFonts w:asciiTheme="minorHAnsi" w:hAnsiTheme="minorHAnsi" w:eastAsiaTheme="minorEastAsia" w:cstheme="minorBidi"/>
                <w:i w:val="0"/>
                <w:noProof/>
                <w:lang w:val="en-GB" w:eastAsia="en-GB"/>
              </w:rPr>
              <w:tab/>
            </w:r>
            <w:r w:rsidRPr="00E700AE">
              <w:rPr>
                <w:rStyle w:val="Hyperlink"/>
                <w:noProof/>
                <w:lang w:val="en-GB"/>
              </w:rPr>
              <w:t>General terms</w:t>
            </w:r>
            <w:r>
              <w:rPr>
                <w:noProof/>
                <w:webHidden/>
              </w:rPr>
              <w:tab/>
            </w:r>
            <w:r>
              <w:rPr>
                <w:noProof/>
                <w:webHidden/>
              </w:rPr>
              <w:fldChar w:fldCharType="begin"/>
            </w:r>
            <w:r>
              <w:rPr>
                <w:noProof/>
                <w:webHidden/>
              </w:rPr>
              <w:instrText xml:space="preserve"> PAGEREF _Toc142469128 \h </w:instrText>
            </w:r>
            <w:r>
              <w:rPr>
                <w:noProof/>
                <w:webHidden/>
              </w:rPr>
            </w:r>
            <w:r>
              <w:rPr>
                <w:noProof/>
                <w:webHidden/>
              </w:rPr>
              <w:fldChar w:fldCharType="separate"/>
            </w:r>
            <w:r>
              <w:rPr>
                <w:noProof/>
                <w:webHidden/>
              </w:rPr>
              <w:t>20</w:t>
            </w:r>
            <w:r>
              <w:rPr>
                <w:noProof/>
                <w:webHidden/>
              </w:rPr>
              <w:fldChar w:fldCharType="end"/>
            </w:r>
          </w:hyperlink>
        </w:p>
        <w:p w:rsidR="004A6B9C" w:rsidRDefault="004A6B9C" w14:paraId="60AC4616" w14:textId="154111B5">
          <w:pPr>
            <w:pStyle w:val="TOC3"/>
            <w:rPr>
              <w:rFonts w:asciiTheme="minorHAnsi" w:hAnsiTheme="minorHAnsi" w:eastAsiaTheme="minorEastAsia" w:cstheme="minorBidi"/>
              <w:i w:val="0"/>
              <w:noProof/>
              <w:lang w:val="en-GB" w:eastAsia="en-GB"/>
            </w:rPr>
          </w:pPr>
          <w:hyperlink w:history="1" w:anchor="_Toc142469129">
            <w:r w:rsidRPr="00E700AE">
              <w:rPr>
                <w:rStyle w:val="Hyperlink"/>
                <w:noProof/>
                <w:lang w:val="en-GB"/>
              </w:rPr>
              <w:t>1.4.2</w:t>
            </w:r>
            <w:r>
              <w:rPr>
                <w:rFonts w:asciiTheme="minorHAnsi" w:hAnsiTheme="minorHAnsi" w:eastAsiaTheme="minorEastAsia" w:cstheme="minorBidi"/>
                <w:i w:val="0"/>
                <w:noProof/>
                <w:lang w:val="en-GB" w:eastAsia="en-GB"/>
              </w:rPr>
              <w:tab/>
            </w:r>
            <w:r w:rsidRPr="00E700AE">
              <w:rPr>
                <w:rStyle w:val="Hyperlink"/>
                <w:noProof/>
                <w:lang w:val="en-GB"/>
              </w:rPr>
              <w:t>Gender-based violence terms</w:t>
            </w:r>
            <w:r>
              <w:rPr>
                <w:noProof/>
                <w:webHidden/>
              </w:rPr>
              <w:tab/>
            </w:r>
            <w:r>
              <w:rPr>
                <w:noProof/>
                <w:webHidden/>
              </w:rPr>
              <w:fldChar w:fldCharType="begin"/>
            </w:r>
            <w:r>
              <w:rPr>
                <w:noProof/>
                <w:webHidden/>
              </w:rPr>
              <w:instrText xml:space="preserve"> PAGEREF _Toc142469129 \h </w:instrText>
            </w:r>
            <w:r>
              <w:rPr>
                <w:noProof/>
                <w:webHidden/>
              </w:rPr>
            </w:r>
            <w:r>
              <w:rPr>
                <w:noProof/>
                <w:webHidden/>
              </w:rPr>
              <w:fldChar w:fldCharType="separate"/>
            </w:r>
            <w:r>
              <w:rPr>
                <w:noProof/>
                <w:webHidden/>
              </w:rPr>
              <w:t>20</w:t>
            </w:r>
            <w:r>
              <w:rPr>
                <w:noProof/>
                <w:webHidden/>
              </w:rPr>
              <w:fldChar w:fldCharType="end"/>
            </w:r>
          </w:hyperlink>
        </w:p>
        <w:p w:rsidR="004A6B9C" w:rsidRDefault="004A6B9C" w14:paraId="4C099900" w14:textId="4873B673">
          <w:pPr>
            <w:pStyle w:val="TOC1"/>
            <w:rPr>
              <w:rFonts w:asciiTheme="minorHAnsi" w:hAnsiTheme="minorHAnsi" w:eastAsiaTheme="minorEastAsia" w:cstheme="minorBidi"/>
              <w:b w:val="0"/>
              <w:smallCaps w:val="0"/>
              <w:noProof/>
              <w:lang w:val="en-GB" w:eastAsia="en-GB"/>
            </w:rPr>
          </w:pPr>
          <w:hyperlink w:history="1" w:anchor="_Toc142469130">
            <w:r w:rsidRPr="00E700AE">
              <w:rPr>
                <w:rStyle w:val="Hyperlink"/>
                <w:noProof/>
              </w:rPr>
              <w:t>2</w:t>
            </w:r>
            <w:r>
              <w:rPr>
                <w:rFonts w:asciiTheme="minorHAnsi" w:hAnsiTheme="minorHAnsi" w:eastAsiaTheme="minorEastAsia" w:cstheme="minorBidi"/>
                <w:b w:val="0"/>
                <w:smallCaps w:val="0"/>
                <w:noProof/>
                <w:lang w:val="en-GB" w:eastAsia="en-GB"/>
              </w:rPr>
              <w:tab/>
            </w:r>
            <w:r w:rsidRPr="00E700AE">
              <w:rPr>
                <w:rStyle w:val="Hyperlink"/>
                <w:noProof/>
              </w:rPr>
              <w:t>SECTION 2: GUIDING PRINCIPLES FOR GBV PROGRAMMING</w:t>
            </w:r>
            <w:r>
              <w:rPr>
                <w:noProof/>
                <w:webHidden/>
              </w:rPr>
              <w:tab/>
            </w:r>
            <w:r>
              <w:rPr>
                <w:noProof/>
                <w:webHidden/>
              </w:rPr>
              <w:fldChar w:fldCharType="begin"/>
            </w:r>
            <w:r>
              <w:rPr>
                <w:noProof/>
                <w:webHidden/>
              </w:rPr>
              <w:instrText xml:space="preserve"> PAGEREF _Toc142469130 \h </w:instrText>
            </w:r>
            <w:r>
              <w:rPr>
                <w:noProof/>
                <w:webHidden/>
              </w:rPr>
            </w:r>
            <w:r>
              <w:rPr>
                <w:noProof/>
                <w:webHidden/>
              </w:rPr>
              <w:fldChar w:fldCharType="separate"/>
            </w:r>
            <w:r>
              <w:rPr>
                <w:noProof/>
                <w:webHidden/>
              </w:rPr>
              <w:t>22</w:t>
            </w:r>
            <w:r>
              <w:rPr>
                <w:noProof/>
                <w:webHidden/>
              </w:rPr>
              <w:fldChar w:fldCharType="end"/>
            </w:r>
          </w:hyperlink>
        </w:p>
        <w:p w:rsidR="004A6B9C" w:rsidRDefault="004A6B9C" w14:paraId="273F7B21" w14:textId="30076994">
          <w:pPr>
            <w:pStyle w:val="TOC2"/>
            <w:rPr>
              <w:rFonts w:asciiTheme="minorHAnsi" w:hAnsiTheme="minorHAnsi" w:eastAsiaTheme="minorEastAsia" w:cstheme="minorBidi"/>
              <w:noProof/>
              <w:lang w:val="en-GB" w:eastAsia="en-GB"/>
            </w:rPr>
          </w:pPr>
          <w:hyperlink w:history="1" w:anchor="_Toc142469131">
            <w:r w:rsidRPr="00E700AE">
              <w:rPr>
                <w:rStyle w:val="Hyperlink"/>
                <w:noProof/>
              </w:rPr>
              <w:t>2.1</w:t>
            </w:r>
            <w:r>
              <w:rPr>
                <w:rFonts w:asciiTheme="minorHAnsi" w:hAnsiTheme="minorHAnsi" w:eastAsiaTheme="minorEastAsia" w:cstheme="minorBidi"/>
                <w:noProof/>
                <w:lang w:val="en-GB" w:eastAsia="en-GB"/>
              </w:rPr>
              <w:tab/>
            </w:r>
            <w:r w:rsidRPr="00E700AE">
              <w:rPr>
                <w:rStyle w:val="Hyperlink"/>
                <w:noProof/>
              </w:rPr>
              <w:t>GBV Guiding Principles and Approaches</w:t>
            </w:r>
            <w:r>
              <w:rPr>
                <w:noProof/>
                <w:webHidden/>
              </w:rPr>
              <w:tab/>
            </w:r>
            <w:r>
              <w:rPr>
                <w:noProof/>
                <w:webHidden/>
              </w:rPr>
              <w:fldChar w:fldCharType="begin"/>
            </w:r>
            <w:r>
              <w:rPr>
                <w:noProof/>
                <w:webHidden/>
              </w:rPr>
              <w:instrText xml:space="preserve"> PAGEREF _Toc142469131 \h </w:instrText>
            </w:r>
            <w:r>
              <w:rPr>
                <w:noProof/>
                <w:webHidden/>
              </w:rPr>
            </w:r>
            <w:r>
              <w:rPr>
                <w:noProof/>
                <w:webHidden/>
              </w:rPr>
              <w:fldChar w:fldCharType="separate"/>
            </w:r>
            <w:r>
              <w:rPr>
                <w:noProof/>
                <w:webHidden/>
              </w:rPr>
              <w:t>22</w:t>
            </w:r>
            <w:r>
              <w:rPr>
                <w:noProof/>
                <w:webHidden/>
              </w:rPr>
              <w:fldChar w:fldCharType="end"/>
            </w:r>
          </w:hyperlink>
        </w:p>
        <w:p w:rsidR="004A6B9C" w:rsidRDefault="004A6B9C" w14:paraId="49636A91" w14:textId="2CEBC2BB">
          <w:pPr>
            <w:pStyle w:val="TOC1"/>
            <w:rPr>
              <w:rFonts w:asciiTheme="minorHAnsi" w:hAnsiTheme="minorHAnsi" w:eastAsiaTheme="minorEastAsia" w:cstheme="minorBidi"/>
              <w:b w:val="0"/>
              <w:smallCaps w:val="0"/>
              <w:noProof/>
              <w:lang w:val="en-GB" w:eastAsia="en-GB"/>
            </w:rPr>
          </w:pPr>
          <w:hyperlink w:history="1" w:anchor="_Toc142469132">
            <w:r w:rsidRPr="00E700AE">
              <w:rPr>
                <w:rStyle w:val="Hyperlink"/>
                <w:noProof/>
              </w:rPr>
              <w:t>3</w:t>
            </w:r>
            <w:r>
              <w:rPr>
                <w:rFonts w:asciiTheme="minorHAnsi" w:hAnsiTheme="minorHAnsi" w:eastAsiaTheme="minorEastAsia" w:cstheme="minorBidi"/>
                <w:b w:val="0"/>
                <w:smallCaps w:val="0"/>
                <w:noProof/>
                <w:lang w:val="en-GB" w:eastAsia="en-GB"/>
              </w:rPr>
              <w:tab/>
            </w:r>
            <w:r w:rsidRPr="00E700AE">
              <w:rPr>
                <w:rStyle w:val="Hyperlink"/>
                <w:noProof/>
              </w:rPr>
              <w:t>SECTION 3: GBV RESPONSE PROGRAMMING</w:t>
            </w:r>
            <w:r>
              <w:rPr>
                <w:noProof/>
                <w:webHidden/>
              </w:rPr>
              <w:tab/>
            </w:r>
            <w:r>
              <w:rPr>
                <w:noProof/>
                <w:webHidden/>
              </w:rPr>
              <w:fldChar w:fldCharType="begin"/>
            </w:r>
            <w:r>
              <w:rPr>
                <w:noProof/>
                <w:webHidden/>
              </w:rPr>
              <w:instrText xml:space="preserve"> PAGEREF _Toc142469132 \h </w:instrText>
            </w:r>
            <w:r>
              <w:rPr>
                <w:noProof/>
                <w:webHidden/>
              </w:rPr>
            </w:r>
            <w:r>
              <w:rPr>
                <w:noProof/>
                <w:webHidden/>
              </w:rPr>
              <w:fldChar w:fldCharType="separate"/>
            </w:r>
            <w:r>
              <w:rPr>
                <w:noProof/>
                <w:webHidden/>
              </w:rPr>
              <w:t>25</w:t>
            </w:r>
            <w:r>
              <w:rPr>
                <w:noProof/>
                <w:webHidden/>
              </w:rPr>
              <w:fldChar w:fldCharType="end"/>
            </w:r>
          </w:hyperlink>
        </w:p>
        <w:p w:rsidR="004A6B9C" w:rsidRDefault="004A6B9C" w14:paraId="05FC24C1" w14:textId="5A25E024">
          <w:pPr>
            <w:pStyle w:val="TOC2"/>
            <w:rPr>
              <w:rFonts w:asciiTheme="minorHAnsi" w:hAnsiTheme="minorHAnsi" w:eastAsiaTheme="minorEastAsia" w:cstheme="minorBidi"/>
              <w:noProof/>
              <w:lang w:val="en-GB" w:eastAsia="en-GB"/>
            </w:rPr>
          </w:pPr>
          <w:hyperlink w:history="1" w:anchor="_Toc142469133">
            <w:r w:rsidRPr="00E700AE">
              <w:rPr>
                <w:rStyle w:val="Hyperlink"/>
                <w:noProof/>
              </w:rPr>
              <w:t>3.1</w:t>
            </w:r>
            <w:r>
              <w:rPr>
                <w:rFonts w:asciiTheme="minorHAnsi" w:hAnsiTheme="minorHAnsi" w:eastAsiaTheme="minorEastAsia" w:cstheme="minorBidi"/>
                <w:noProof/>
                <w:lang w:val="en-GB" w:eastAsia="en-GB"/>
              </w:rPr>
              <w:tab/>
            </w:r>
            <w:r w:rsidRPr="00E700AE">
              <w:rPr>
                <w:rStyle w:val="Hyperlink"/>
                <w:noProof/>
              </w:rPr>
              <w:t>Overview of GBV response services</w:t>
            </w:r>
            <w:r>
              <w:rPr>
                <w:noProof/>
                <w:webHidden/>
              </w:rPr>
              <w:tab/>
            </w:r>
            <w:r>
              <w:rPr>
                <w:noProof/>
                <w:webHidden/>
              </w:rPr>
              <w:fldChar w:fldCharType="begin"/>
            </w:r>
            <w:r>
              <w:rPr>
                <w:noProof/>
                <w:webHidden/>
              </w:rPr>
              <w:instrText xml:space="preserve"> PAGEREF _Toc142469133 \h </w:instrText>
            </w:r>
            <w:r>
              <w:rPr>
                <w:noProof/>
                <w:webHidden/>
              </w:rPr>
            </w:r>
            <w:r>
              <w:rPr>
                <w:noProof/>
                <w:webHidden/>
              </w:rPr>
              <w:fldChar w:fldCharType="separate"/>
            </w:r>
            <w:r>
              <w:rPr>
                <w:noProof/>
                <w:webHidden/>
              </w:rPr>
              <w:t>25</w:t>
            </w:r>
            <w:r>
              <w:rPr>
                <w:noProof/>
                <w:webHidden/>
              </w:rPr>
              <w:fldChar w:fldCharType="end"/>
            </w:r>
          </w:hyperlink>
        </w:p>
        <w:p w:rsidR="004A6B9C" w:rsidRDefault="004A6B9C" w14:paraId="351ABF0E" w14:textId="111240EE">
          <w:pPr>
            <w:pStyle w:val="TOC2"/>
            <w:rPr>
              <w:rFonts w:asciiTheme="minorHAnsi" w:hAnsiTheme="minorHAnsi" w:eastAsiaTheme="minorEastAsia" w:cstheme="minorBidi"/>
              <w:noProof/>
              <w:lang w:val="en-GB" w:eastAsia="en-GB"/>
            </w:rPr>
          </w:pPr>
          <w:hyperlink w:history="1" w:anchor="_Toc142469134">
            <w:r w:rsidRPr="00E700AE">
              <w:rPr>
                <w:rStyle w:val="Hyperlink"/>
                <w:noProof/>
              </w:rPr>
              <w:t>3.2</w:t>
            </w:r>
            <w:r>
              <w:rPr>
                <w:rFonts w:asciiTheme="minorHAnsi" w:hAnsiTheme="minorHAnsi" w:eastAsiaTheme="minorEastAsia" w:cstheme="minorBidi"/>
                <w:noProof/>
                <w:lang w:val="en-GB" w:eastAsia="en-GB"/>
              </w:rPr>
              <w:tab/>
            </w:r>
            <w:r w:rsidRPr="00E700AE">
              <w:rPr>
                <w:rStyle w:val="Hyperlink"/>
                <w:noProof/>
              </w:rPr>
              <w:t>Risk analysis to promote safe implementation of GBV response programming</w:t>
            </w:r>
            <w:r>
              <w:rPr>
                <w:noProof/>
                <w:webHidden/>
              </w:rPr>
              <w:tab/>
            </w:r>
            <w:r>
              <w:rPr>
                <w:noProof/>
                <w:webHidden/>
              </w:rPr>
              <w:fldChar w:fldCharType="begin"/>
            </w:r>
            <w:r>
              <w:rPr>
                <w:noProof/>
                <w:webHidden/>
              </w:rPr>
              <w:instrText xml:space="preserve"> PAGEREF _Toc142469134 \h </w:instrText>
            </w:r>
            <w:r>
              <w:rPr>
                <w:noProof/>
                <w:webHidden/>
              </w:rPr>
            </w:r>
            <w:r>
              <w:rPr>
                <w:noProof/>
                <w:webHidden/>
              </w:rPr>
              <w:fldChar w:fldCharType="separate"/>
            </w:r>
            <w:r>
              <w:rPr>
                <w:noProof/>
                <w:webHidden/>
              </w:rPr>
              <w:t>26</w:t>
            </w:r>
            <w:r>
              <w:rPr>
                <w:noProof/>
                <w:webHidden/>
              </w:rPr>
              <w:fldChar w:fldCharType="end"/>
            </w:r>
          </w:hyperlink>
        </w:p>
        <w:p w:rsidR="004A6B9C" w:rsidRDefault="004A6B9C" w14:paraId="5E2045BD" w14:textId="2300E95C">
          <w:pPr>
            <w:pStyle w:val="TOC2"/>
            <w:rPr>
              <w:rFonts w:asciiTheme="minorHAnsi" w:hAnsiTheme="minorHAnsi" w:eastAsiaTheme="minorEastAsia" w:cstheme="minorBidi"/>
              <w:noProof/>
              <w:lang w:val="en-GB" w:eastAsia="en-GB"/>
            </w:rPr>
          </w:pPr>
          <w:hyperlink w:history="1" w:anchor="_Toc142469135">
            <w:r w:rsidRPr="00E700AE">
              <w:rPr>
                <w:rStyle w:val="Hyperlink"/>
                <w:noProof/>
              </w:rPr>
              <w:t>3.3</w:t>
            </w:r>
            <w:r>
              <w:rPr>
                <w:rFonts w:asciiTheme="minorHAnsi" w:hAnsiTheme="minorHAnsi" w:eastAsiaTheme="minorEastAsia" w:cstheme="minorBidi"/>
                <w:noProof/>
                <w:lang w:val="en-GB" w:eastAsia="en-GB"/>
              </w:rPr>
              <w:tab/>
            </w:r>
            <w:r w:rsidRPr="00E700AE">
              <w:rPr>
                <w:rStyle w:val="Hyperlink"/>
                <w:noProof/>
              </w:rPr>
              <w:t>Referral system</w:t>
            </w:r>
            <w:r>
              <w:rPr>
                <w:noProof/>
                <w:webHidden/>
              </w:rPr>
              <w:tab/>
            </w:r>
            <w:r>
              <w:rPr>
                <w:noProof/>
                <w:webHidden/>
              </w:rPr>
              <w:fldChar w:fldCharType="begin"/>
            </w:r>
            <w:r>
              <w:rPr>
                <w:noProof/>
                <w:webHidden/>
              </w:rPr>
              <w:instrText xml:space="preserve"> PAGEREF _Toc142469135 \h </w:instrText>
            </w:r>
            <w:r>
              <w:rPr>
                <w:noProof/>
                <w:webHidden/>
              </w:rPr>
            </w:r>
            <w:r>
              <w:rPr>
                <w:noProof/>
                <w:webHidden/>
              </w:rPr>
              <w:fldChar w:fldCharType="separate"/>
            </w:r>
            <w:r>
              <w:rPr>
                <w:noProof/>
                <w:webHidden/>
              </w:rPr>
              <w:t>26</w:t>
            </w:r>
            <w:r>
              <w:rPr>
                <w:noProof/>
                <w:webHidden/>
              </w:rPr>
              <w:fldChar w:fldCharType="end"/>
            </w:r>
          </w:hyperlink>
        </w:p>
        <w:p w:rsidR="004A6B9C" w:rsidRDefault="004A6B9C" w14:paraId="172052B5" w14:textId="38D07AD1">
          <w:pPr>
            <w:pStyle w:val="TOC3"/>
            <w:rPr>
              <w:rFonts w:asciiTheme="minorHAnsi" w:hAnsiTheme="minorHAnsi" w:eastAsiaTheme="minorEastAsia" w:cstheme="minorBidi"/>
              <w:i w:val="0"/>
              <w:noProof/>
              <w:lang w:val="en-GB" w:eastAsia="en-GB"/>
            </w:rPr>
          </w:pPr>
          <w:hyperlink w:history="1" w:anchor="_Toc142469136">
            <w:r w:rsidRPr="00E700AE">
              <w:rPr>
                <w:rStyle w:val="Hyperlink"/>
                <w:noProof/>
              </w:rPr>
              <w:t>3.3.1</w:t>
            </w:r>
            <w:r>
              <w:rPr>
                <w:rFonts w:asciiTheme="minorHAnsi" w:hAnsiTheme="minorHAnsi" w:eastAsiaTheme="minorEastAsia" w:cstheme="minorBidi"/>
                <w:i w:val="0"/>
                <w:noProof/>
                <w:lang w:val="en-GB" w:eastAsia="en-GB"/>
              </w:rPr>
              <w:tab/>
            </w:r>
            <w:r w:rsidRPr="00E700AE">
              <w:rPr>
                <w:rStyle w:val="Hyperlink"/>
                <w:noProof/>
              </w:rPr>
              <w:t>Disclosure</w:t>
            </w:r>
            <w:r>
              <w:rPr>
                <w:noProof/>
                <w:webHidden/>
              </w:rPr>
              <w:tab/>
            </w:r>
            <w:r>
              <w:rPr>
                <w:noProof/>
                <w:webHidden/>
              </w:rPr>
              <w:fldChar w:fldCharType="begin"/>
            </w:r>
            <w:r>
              <w:rPr>
                <w:noProof/>
                <w:webHidden/>
              </w:rPr>
              <w:instrText xml:space="preserve"> PAGEREF _Toc142469136 \h </w:instrText>
            </w:r>
            <w:r>
              <w:rPr>
                <w:noProof/>
                <w:webHidden/>
              </w:rPr>
            </w:r>
            <w:r>
              <w:rPr>
                <w:noProof/>
                <w:webHidden/>
              </w:rPr>
              <w:fldChar w:fldCharType="separate"/>
            </w:r>
            <w:r>
              <w:rPr>
                <w:noProof/>
                <w:webHidden/>
              </w:rPr>
              <w:t>26</w:t>
            </w:r>
            <w:r>
              <w:rPr>
                <w:noProof/>
                <w:webHidden/>
              </w:rPr>
              <w:fldChar w:fldCharType="end"/>
            </w:r>
          </w:hyperlink>
        </w:p>
        <w:p w:rsidR="004A6B9C" w:rsidRDefault="004A6B9C" w14:paraId="4E11A492" w14:textId="13767550">
          <w:pPr>
            <w:pStyle w:val="TOC3"/>
            <w:rPr>
              <w:rFonts w:asciiTheme="minorHAnsi" w:hAnsiTheme="minorHAnsi" w:eastAsiaTheme="minorEastAsia" w:cstheme="minorBidi"/>
              <w:i w:val="0"/>
              <w:noProof/>
              <w:lang w:val="en-GB" w:eastAsia="en-GB"/>
            </w:rPr>
          </w:pPr>
          <w:hyperlink w:history="1" w:anchor="_Toc142469137">
            <w:r w:rsidRPr="00E700AE">
              <w:rPr>
                <w:rStyle w:val="Hyperlink"/>
                <w:noProof/>
              </w:rPr>
              <w:t>3.3.2</w:t>
            </w:r>
            <w:r>
              <w:rPr>
                <w:rFonts w:asciiTheme="minorHAnsi" w:hAnsiTheme="minorHAnsi" w:eastAsiaTheme="minorEastAsia" w:cstheme="minorBidi"/>
                <w:i w:val="0"/>
                <w:noProof/>
                <w:lang w:val="en-GB" w:eastAsia="en-GB"/>
              </w:rPr>
              <w:tab/>
            </w:r>
            <w:r w:rsidRPr="00E700AE">
              <w:rPr>
                <w:rStyle w:val="Hyperlink"/>
                <w:noProof/>
              </w:rPr>
              <w:t>Informed consent and assent</w:t>
            </w:r>
            <w:r>
              <w:rPr>
                <w:noProof/>
                <w:webHidden/>
              </w:rPr>
              <w:tab/>
            </w:r>
            <w:r>
              <w:rPr>
                <w:noProof/>
                <w:webHidden/>
              </w:rPr>
              <w:fldChar w:fldCharType="begin"/>
            </w:r>
            <w:r>
              <w:rPr>
                <w:noProof/>
                <w:webHidden/>
              </w:rPr>
              <w:instrText xml:space="preserve"> PAGEREF _Toc142469137 \h </w:instrText>
            </w:r>
            <w:r>
              <w:rPr>
                <w:noProof/>
                <w:webHidden/>
              </w:rPr>
            </w:r>
            <w:r>
              <w:rPr>
                <w:noProof/>
                <w:webHidden/>
              </w:rPr>
              <w:fldChar w:fldCharType="separate"/>
            </w:r>
            <w:r>
              <w:rPr>
                <w:noProof/>
                <w:webHidden/>
              </w:rPr>
              <w:t>28</w:t>
            </w:r>
            <w:r>
              <w:rPr>
                <w:noProof/>
                <w:webHidden/>
              </w:rPr>
              <w:fldChar w:fldCharType="end"/>
            </w:r>
          </w:hyperlink>
        </w:p>
        <w:p w:rsidR="004A6B9C" w:rsidRDefault="004A6B9C" w14:paraId="15E3656F" w14:textId="46884AEA">
          <w:pPr>
            <w:pStyle w:val="TOC3"/>
            <w:rPr>
              <w:rFonts w:asciiTheme="minorHAnsi" w:hAnsiTheme="minorHAnsi" w:eastAsiaTheme="minorEastAsia" w:cstheme="minorBidi"/>
              <w:i w:val="0"/>
              <w:noProof/>
              <w:lang w:val="en-GB" w:eastAsia="en-GB"/>
            </w:rPr>
          </w:pPr>
          <w:hyperlink w:history="1" w:anchor="_Toc142469138">
            <w:r w:rsidRPr="00E700AE">
              <w:rPr>
                <w:rStyle w:val="Hyperlink"/>
                <w:noProof/>
              </w:rPr>
              <w:t>3.3.3</w:t>
            </w:r>
            <w:r>
              <w:rPr>
                <w:rFonts w:asciiTheme="minorHAnsi" w:hAnsiTheme="minorHAnsi" w:eastAsiaTheme="minorEastAsia" w:cstheme="minorBidi"/>
                <w:i w:val="0"/>
                <w:noProof/>
                <w:lang w:val="en-GB" w:eastAsia="en-GB"/>
              </w:rPr>
              <w:tab/>
            </w:r>
            <w:r w:rsidRPr="00E700AE">
              <w:rPr>
                <w:rStyle w:val="Hyperlink"/>
                <w:noProof/>
              </w:rPr>
              <w:t>Mandatory reporting</w:t>
            </w:r>
            <w:r>
              <w:rPr>
                <w:noProof/>
                <w:webHidden/>
              </w:rPr>
              <w:tab/>
            </w:r>
            <w:r>
              <w:rPr>
                <w:noProof/>
                <w:webHidden/>
              </w:rPr>
              <w:fldChar w:fldCharType="begin"/>
            </w:r>
            <w:r>
              <w:rPr>
                <w:noProof/>
                <w:webHidden/>
              </w:rPr>
              <w:instrText xml:space="preserve"> PAGEREF _Toc142469138 \h </w:instrText>
            </w:r>
            <w:r>
              <w:rPr>
                <w:noProof/>
                <w:webHidden/>
              </w:rPr>
            </w:r>
            <w:r>
              <w:rPr>
                <w:noProof/>
                <w:webHidden/>
              </w:rPr>
              <w:fldChar w:fldCharType="separate"/>
            </w:r>
            <w:r>
              <w:rPr>
                <w:noProof/>
                <w:webHidden/>
              </w:rPr>
              <w:t>29</w:t>
            </w:r>
            <w:r>
              <w:rPr>
                <w:noProof/>
                <w:webHidden/>
              </w:rPr>
              <w:fldChar w:fldCharType="end"/>
            </w:r>
          </w:hyperlink>
        </w:p>
        <w:p w:rsidR="004A6B9C" w:rsidRDefault="004A6B9C" w14:paraId="4FB7187B" w14:textId="70154CB6">
          <w:pPr>
            <w:pStyle w:val="TOC3"/>
            <w:rPr>
              <w:rFonts w:asciiTheme="minorHAnsi" w:hAnsiTheme="minorHAnsi" w:eastAsiaTheme="minorEastAsia" w:cstheme="minorBidi"/>
              <w:i w:val="0"/>
              <w:noProof/>
              <w:lang w:val="en-GB" w:eastAsia="en-GB"/>
            </w:rPr>
          </w:pPr>
          <w:hyperlink w:history="1" w:anchor="_Toc142469139">
            <w:r w:rsidRPr="00E700AE">
              <w:rPr>
                <w:rStyle w:val="Hyperlink"/>
                <w:noProof/>
              </w:rPr>
              <w:t>3.3.4</w:t>
            </w:r>
            <w:r>
              <w:rPr>
                <w:rFonts w:asciiTheme="minorHAnsi" w:hAnsiTheme="minorHAnsi" w:eastAsiaTheme="minorEastAsia" w:cstheme="minorBidi"/>
                <w:i w:val="0"/>
                <w:noProof/>
                <w:lang w:val="en-GB" w:eastAsia="en-GB"/>
              </w:rPr>
              <w:tab/>
            </w:r>
            <w:r w:rsidRPr="00E700AE">
              <w:rPr>
                <w:rStyle w:val="Hyperlink"/>
                <w:noProof/>
              </w:rPr>
              <w:t>Referral pathway</w:t>
            </w:r>
            <w:r>
              <w:rPr>
                <w:noProof/>
                <w:webHidden/>
              </w:rPr>
              <w:tab/>
            </w:r>
            <w:r>
              <w:rPr>
                <w:noProof/>
                <w:webHidden/>
              </w:rPr>
              <w:fldChar w:fldCharType="begin"/>
            </w:r>
            <w:r>
              <w:rPr>
                <w:noProof/>
                <w:webHidden/>
              </w:rPr>
              <w:instrText xml:space="preserve"> PAGEREF _Toc142469139 \h </w:instrText>
            </w:r>
            <w:r>
              <w:rPr>
                <w:noProof/>
                <w:webHidden/>
              </w:rPr>
            </w:r>
            <w:r>
              <w:rPr>
                <w:noProof/>
                <w:webHidden/>
              </w:rPr>
              <w:fldChar w:fldCharType="separate"/>
            </w:r>
            <w:r>
              <w:rPr>
                <w:noProof/>
                <w:webHidden/>
              </w:rPr>
              <w:t>31</w:t>
            </w:r>
            <w:r>
              <w:rPr>
                <w:noProof/>
                <w:webHidden/>
              </w:rPr>
              <w:fldChar w:fldCharType="end"/>
            </w:r>
          </w:hyperlink>
        </w:p>
        <w:p w:rsidR="004A6B9C" w:rsidRDefault="004A6B9C" w14:paraId="3E3319A0" w14:textId="287C31CF">
          <w:pPr>
            <w:pStyle w:val="TOC2"/>
            <w:rPr>
              <w:rFonts w:asciiTheme="minorHAnsi" w:hAnsiTheme="minorHAnsi" w:eastAsiaTheme="minorEastAsia" w:cstheme="minorBidi"/>
              <w:noProof/>
              <w:lang w:val="en-GB" w:eastAsia="en-GB"/>
            </w:rPr>
          </w:pPr>
          <w:hyperlink w:history="1" w:anchor="_Toc142469140">
            <w:r w:rsidRPr="00E700AE">
              <w:rPr>
                <w:rStyle w:val="Hyperlink"/>
                <w:noProof/>
              </w:rPr>
              <w:t>3.4</w:t>
            </w:r>
            <w:r>
              <w:rPr>
                <w:rFonts w:asciiTheme="minorHAnsi" w:hAnsiTheme="minorHAnsi" w:eastAsiaTheme="minorEastAsia" w:cstheme="minorBidi"/>
                <w:noProof/>
                <w:lang w:val="en-GB" w:eastAsia="en-GB"/>
              </w:rPr>
              <w:tab/>
            </w:r>
            <w:r w:rsidRPr="00E700AE">
              <w:rPr>
                <w:rStyle w:val="Hyperlink"/>
                <w:noProof/>
              </w:rPr>
              <w:t>Specialized GBV service providers</w:t>
            </w:r>
            <w:r>
              <w:rPr>
                <w:noProof/>
                <w:webHidden/>
              </w:rPr>
              <w:tab/>
            </w:r>
            <w:r>
              <w:rPr>
                <w:noProof/>
                <w:webHidden/>
              </w:rPr>
              <w:fldChar w:fldCharType="begin"/>
            </w:r>
            <w:r>
              <w:rPr>
                <w:noProof/>
                <w:webHidden/>
              </w:rPr>
              <w:instrText xml:space="preserve"> PAGEREF _Toc142469140 \h </w:instrText>
            </w:r>
            <w:r>
              <w:rPr>
                <w:noProof/>
                <w:webHidden/>
              </w:rPr>
            </w:r>
            <w:r>
              <w:rPr>
                <w:noProof/>
                <w:webHidden/>
              </w:rPr>
              <w:fldChar w:fldCharType="separate"/>
            </w:r>
            <w:r>
              <w:rPr>
                <w:noProof/>
                <w:webHidden/>
              </w:rPr>
              <w:t>34</w:t>
            </w:r>
            <w:r>
              <w:rPr>
                <w:noProof/>
                <w:webHidden/>
              </w:rPr>
              <w:fldChar w:fldCharType="end"/>
            </w:r>
          </w:hyperlink>
        </w:p>
        <w:p w:rsidR="004A6B9C" w:rsidRDefault="004A6B9C" w14:paraId="496ADB07" w14:textId="6D6B2932">
          <w:pPr>
            <w:pStyle w:val="TOC3"/>
            <w:rPr>
              <w:rFonts w:asciiTheme="minorHAnsi" w:hAnsiTheme="minorHAnsi" w:eastAsiaTheme="minorEastAsia" w:cstheme="minorBidi"/>
              <w:i w:val="0"/>
              <w:noProof/>
              <w:lang w:val="en-GB" w:eastAsia="en-GB"/>
            </w:rPr>
          </w:pPr>
          <w:hyperlink w:history="1" w:anchor="_Toc142469141">
            <w:r w:rsidRPr="00E700AE">
              <w:rPr>
                <w:rStyle w:val="Hyperlink"/>
                <w:noProof/>
              </w:rPr>
              <w:t>3.4.1</w:t>
            </w:r>
            <w:r>
              <w:rPr>
                <w:rFonts w:asciiTheme="minorHAnsi" w:hAnsiTheme="minorHAnsi" w:eastAsiaTheme="minorEastAsia" w:cstheme="minorBidi"/>
                <w:i w:val="0"/>
                <w:noProof/>
                <w:lang w:val="en-GB" w:eastAsia="en-GB"/>
              </w:rPr>
              <w:tab/>
            </w:r>
            <w:r w:rsidRPr="00E700AE">
              <w:rPr>
                <w:rStyle w:val="Hyperlink"/>
                <w:noProof/>
              </w:rPr>
              <w:t>Health care for GBV survivors</w:t>
            </w:r>
            <w:r>
              <w:rPr>
                <w:noProof/>
                <w:webHidden/>
              </w:rPr>
              <w:tab/>
            </w:r>
            <w:r>
              <w:rPr>
                <w:noProof/>
                <w:webHidden/>
              </w:rPr>
              <w:fldChar w:fldCharType="begin"/>
            </w:r>
            <w:r>
              <w:rPr>
                <w:noProof/>
                <w:webHidden/>
              </w:rPr>
              <w:instrText xml:space="preserve"> PAGEREF _Toc142469141 \h </w:instrText>
            </w:r>
            <w:r>
              <w:rPr>
                <w:noProof/>
                <w:webHidden/>
              </w:rPr>
            </w:r>
            <w:r>
              <w:rPr>
                <w:noProof/>
                <w:webHidden/>
              </w:rPr>
              <w:fldChar w:fldCharType="separate"/>
            </w:r>
            <w:r>
              <w:rPr>
                <w:noProof/>
                <w:webHidden/>
              </w:rPr>
              <w:t>34</w:t>
            </w:r>
            <w:r>
              <w:rPr>
                <w:noProof/>
                <w:webHidden/>
              </w:rPr>
              <w:fldChar w:fldCharType="end"/>
            </w:r>
          </w:hyperlink>
        </w:p>
        <w:p w:rsidR="004A6B9C" w:rsidRDefault="004A6B9C" w14:paraId="23617576" w14:textId="35506B59">
          <w:pPr>
            <w:pStyle w:val="TOC3"/>
            <w:rPr>
              <w:rFonts w:asciiTheme="minorHAnsi" w:hAnsiTheme="minorHAnsi" w:eastAsiaTheme="minorEastAsia" w:cstheme="minorBidi"/>
              <w:i w:val="0"/>
              <w:noProof/>
              <w:lang w:val="en-GB" w:eastAsia="en-GB"/>
            </w:rPr>
          </w:pPr>
          <w:hyperlink w:history="1" w:anchor="_Toc142469142">
            <w:r w:rsidRPr="00E700AE">
              <w:rPr>
                <w:rStyle w:val="Hyperlink"/>
                <w:noProof/>
              </w:rPr>
              <w:t>3.4.2</w:t>
            </w:r>
            <w:r>
              <w:rPr>
                <w:rFonts w:asciiTheme="minorHAnsi" w:hAnsiTheme="minorHAnsi" w:eastAsiaTheme="minorEastAsia" w:cstheme="minorBidi"/>
                <w:i w:val="0"/>
                <w:noProof/>
                <w:lang w:val="en-GB" w:eastAsia="en-GB"/>
              </w:rPr>
              <w:tab/>
            </w:r>
            <w:r w:rsidRPr="00E700AE">
              <w:rPr>
                <w:rStyle w:val="Hyperlink"/>
                <w:noProof/>
              </w:rPr>
              <w:t>Psychosocial support</w:t>
            </w:r>
            <w:r>
              <w:rPr>
                <w:noProof/>
                <w:webHidden/>
              </w:rPr>
              <w:tab/>
            </w:r>
            <w:r>
              <w:rPr>
                <w:noProof/>
                <w:webHidden/>
              </w:rPr>
              <w:fldChar w:fldCharType="begin"/>
            </w:r>
            <w:r>
              <w:rPr>
                <w:noProof/>
                <w:webHidden/>
              </w:rPr>
              <w:instrText xml:space="preserve"> PAGEREF _Toc142469142 \h </w:instrText>
            </w:r>
            <w:r>
              <w:rPr>
                <w:noProof/>
                <w:webHidden/>
              </w:rPr>
            </w:r>
            <w:r>
              <w:rPr>
                <w:noProof/>
                <w:webHidden/>
              </w:rPr>
              <w:fldChar w:fldCharType="separate"/>
            </w:r>
            <w:r>
              <w:rPr>
                <w:noProof/>
                <w:webHidden/>
              </w:rPr>
              <w:t>35</w:t>
            </w:r>
            <w:r>
              <w:rPr>
                <w:noProof/>
                <w:webHidden/>
              </w:rPr>
              <w:fldChar w:fldCharType="end"/>
            </w:r>
          </w:hyperlink>
        </w:p>
        <w:p w:rsidR="004A6B9C" w:rsidRDefault="004A6B9C" w14:paraId="6CE3E224" w14:textId="5524130A">
          <w:pPr>
            <w:pStyle w:val="TOC3"/>
            <w:rPr>
              <w:rFonts w:asciiTheme="minorHAnsi" w:hAnsiTheme="minorHAnsi" w:eastAsiaTheme="minorEastAsia" w:cstheme="minorBidi"/>
              <w:i w:val="0"/>
              <w:noProof/>
              <w:lang w:val="en-GB" w:eastAsia="en-GB"/>
            </w:rPr>
          </w:pPr>
          <w:hyperlink w:history="1" w:anchor="_Toc142469143">
            <w:r w:rsidRPr="00E700AE">
              <w:rPr>
                <w:rStyle w:val="Hyperlink"/>
                <w:noProof/>
              </w:rPr>
              <w:t>3.4.3</w:t>
            </w:r>
            <w:r>
              <w:rPr>
                <w:rFonts w:asciiTheme="minorHAnsi" w:hAnsiTheme="minorHAnsi" w:eastAsiaTheme="minorEastAsia" w:cstheme="minorBidi"/>
                <w:i w:val="0"/>
                <w:noProof/>
                <w:lang w:val="en-GB" w:eastAsia="en-GB"/>
              </w:rPr>
              <w:tab/>
            </w:r>
            <w:r w:rsidRPr="00E700AE">
              <w:rPr>
                <w:rStyle w:val="Hyperlink"/>
                <w:noProof/>
              </w:rPr>
              <w:t>Case management (see also section 4 on documentation considerations for case management providers)</w:t>
            </w:r>
            <w:r>
              <w:rPr>
                <w:noProof/>
                <w:webHidden/>
              </w:rPr>
              <w:tab/>
            </w:r>
            <w:r>
              <w:rPr>
                <w:noProof/>
                <w:webHidden/>
              </w:rPr>
              <w:fldChar w:fldCharType="begin"/>
            </w:r>
            <w:r>
              <w:rPr>
                <w:noProof/>
                <w:webHidden/>
              </w:rPr>
              <w:instrText xml:space="preserve"> PAGEREF _Toc142469143 \h </w:instrText>
            </w:r>
            <w:r>
              <w:rPr>
                <w:noProof/>
                <w:webHidden/>
              </w:rPr>
            </w:r>
            <w:r>
              <w:rPr>
                <w:noProof/>
                <w:webHidden/>
              </w:rPr>
              <w:fldChar w:fldCharType="separate"/>
            </w:r>
            <w:r>
              <w:rPr>
                <w:noProof/>
                <w:webHidden/>
              </w:rPr>
              <w:t>35</w:t>
            </w:r>
            <w:r>
              <w:rPr>
                <w:noProof/>
                <w:webHidden/>
              </w:rPr>
              <w:fldChar w:fldCharType="end"/>
            </w:r>
          </w:hyperlink>
        </w:p>
        <w:p w:rsidR="004A6B9C" w:rsidRDefault="004A6B9C" w14:paraId="7D677AB5" w14:textId="3FF596F6">
          <w:pPr>
            <w:pStyle w:val="TOC3"/>
            <w:rPr>
              <w:rFonts w:asciiTheme="minorHAnsi" w:hAnsiTheme="minorHAnsi" w:eastAsiaTheme="minorEastAsia" w:cstheme="minorBidi"/>
              <w:i w:val="0"/>
              <w:noProof/>
              <w:lang w:val="en-GB" w:eastAsia="en-GB"/>
            </w:rPr>
          </w:pPr>
          <w:hyperlink w:history="1" w:anchor="_Toc142469144">
            <w:r w:rsidRPr="00E700AE">
              <w:rPr>
                <w:rStyle w:val="Hyperlink"/>
                <w:noProof/>
              </w:rPr>
              <w:t>3.4.4</w:t>
            </w:r>
            <w:r>
              <w:rPr>
                <w:rFonts w:asciiTheme="minorHAnsi" w:hAnsiTheme="minorHAnsi" w:eastAsiaTheme="minorEastAsia" w:cstheme="minorBidi"/>
                <w:i w:val="0"/>
                <w:noProof/>
                <w:lang w:val="en-GB" w:eastAsia="en-GB"/>
              </w:rPr>
              <w:tab/>
            </w:r>
            <w:r w:rsidRPr="00E700AE">
              <w:rPr>
                <w:rStyle w:val="Hyperlink"/>
                <w:noProof/>
              </w:rPr>
              <w:t>Women’s and girls’ safe spaces</w:t>
            </w:r>
            <w:r>
              <w:rPr>
                <w:noProof/>
                <w:webHidden/>
              </w:rPr>
              <w:tab/>
            </w:r>
            <w:r>
              <w:rPr>
                <w:noProof/>
                <w:webHidden/>
              </w:rPr>
              <w:fldChar w:fldCharType="begin"/>
            </w:r>
            <w:r>
              <w:rPr>
                <w:noProof/>
                <w:webHidden/>
              </w:rPr>
              <w:instrText xml:space="preserve"> PAGEREF _Toc142469144 \h </w:instrText>
            </w:r>
            <w:r>
              <w:rPr>
                <w:noProof/>
                <w:webHidden/>
              </w:rPr>
            </w:r>
            <w:r>
              <w:rPr>
                <w:noProof/>
                <w:webHidden/>
              </w:rPr>
              <w:fldChar w:fldCharType="separate"/>
            </w:r>
            <w:r>
              <w:rPr>
                <w:noProof/>
                <w:webHidden/>
              </w:rPr>
              <w:t>38</w:t>
            </w:r>
            <w:r>
              <w:rPr>
                <w:noProof/>
                <w:webHidden/>
              </w:rPr>
              <w:fldChar w:fldCharType="end"/>
            </w:r>
          </w:hyperlink>
        </w:p>
        <w:p w:rsidR="004A6B9C" w:rsidRDefault="004A6B9C" w14:paraId="05DB66DF" w14:textId="4F17FDD3">
          <w:pPr>
            <w:pStyle w:val="TOC3"/>
            <w:rPr>
              <w:rFonts w:asciiTheme="minorHAnsi" w:hAnsiTheme="minorHAnsi" w:eastAsiaTheme="minorEastAsia" w:cstheme="minorBidi"/>
              <w:i w:val="0"/>
              <w:noProof/>
              <w:lang w:val="en-GB" w:eastAsia="en-GB"/>
            </w:rPr>
          </w:pPr>
          <w:hyperlink w:history="1" w:anchor="_Toc142469145">
            <w:r w:rsidRPr="00E700AE">
              <w:rPr>
                <w:rStyle w:val="Hyperlink"/>
                <w:noProof/>
              </w:rPr>
              <w:t>3.4.5</w:t>
            </w:r>
            <w:r>
              <w:rPr>
                <w:rFonts w:asciiTheme="minorHAnsi" w:hAnsiTheme="minorHAnsi" w:eastAsiaTheme="minorEastAsia" w:cstheme="minorBidi"/>
                <w:i w:val="0"/>
                <w:noProof/>
                <w:lang w:val="en-GB" w:eastAsia="en-GB"/>
              </w:rPr>
              <w:tab/>
            </w:r>
            <w:r w:rsidRPr="00E700AE">
              <w:rPr>
                <w:rStyle w:val="Hyperlink"/>
                <w:noProof/>
              </w:rPr>
              <w:t>Security and safety</w:t>
            </w:r>
            <w:r>
              <w:rPr>
                <w:noProof/>
                <w:webHidden/>
              </w:rPr>
              <w:tab/>
            </w:r>
            <w:r>
              <w:rPr>
                <w:noProof/>
                <w:webHidden/>
              </w:rPr>
              <w:fldChar w:fldCharType="begin"/>
            </w:r>
            <w:r>
              <w:rPr>
                <w:noProof/>
                <w:webHidden/>
              </w:rPr>
              <w:instrText xml:space="preserve"> PAGEREF _Toc142469145 \h </w:instrText>
            </w:r>
            <w:r>
              <w:rPr>
                <w:noProof/>
                <w:webHidden/>
              </w:rPr>
            </w:r>
            <w:r>
              <w:rPr>
                <w:noProof/>
                <w:webHidden/>
              </w:rPr>
              <w:fldChar w:fldCharType="separate"/>
            </w:r>
            <w:r>
              <w:rPr>
                <w:noProof/>
                <w:webHidden/>
              </w:rPr>
              <w:t>39</w:t>
            </w:r>
            <w:r>
              <w:rPr>
                <w:noProof/>
                <w:webHidden/>
              </w:rPr>
              <w:fldChar w:fldCharType="end"/>
            </w:r>
          </w:hyperlink>
        </w:p>
        <w:p w:rsidR="004A6B9C" w:rsidRDefault="004A6B9C" w14:paraId="4D0628E4" w14:textId="3E13407C">
          <w:pPr>
            <w:pStyle w:val="TOC3"/>
            <w:rPr>
              <w:rFonts w:asciiTheme="minorHAnsi" w:hAnsiTheme="minorHAnsi" w:eastAsiaTheme="minorEastAsia" w:cstheme="minorBidi"/>
              <w:i w:val="0"/>
              <w:noProof/>
              <w:lang w:val="en-GB" w:eastAsia="en-GB"/>
            </w:rPr>
          </w:pPr>
          <w:hyperlink w:history="1" w:anchor="_Toc142469146">
            <w:r w:rsidRPr="00E700AE">
              <w:rPr>
                <w:rStyle w:val="Hyperlink"/>
                <w:noProof/>
              </w:rPr>
              <w:t>3.4.6</w:t>
            </w:r>
            <w:r>
              <w:rPr>
                <w:rFonts w:asciiTheme="minorHAnsi" w:hAnsiTheme="minorHAnsi" w:eastAsiaTheme="minorEastAsia" w:cstheme="minorBidi"/>
                <w:i w:val="0"/>
                <w:noProof/>
                <w:lang w:val="en-GB" w:eastAsia="en-GB"/>
              </w:rPr>
              <w:tab/>
            </w:r>
            <w:r w:rsidRPr="00E700AE">
              <w:rPr>
                <w:rStyle w:val="Hyperlink"/>
                <w:noProof/>
              </w:rPr>
              <w:t>Justice and legal aid</w:t>
            </w:r>
            <w:r>
              <w:rPr>
                <w:noProof/>
                <w:webHidden/>
              </w:rPr>
              <w:tab/>
            </w:r>
            <w:r>
              <w:rPr>
                <w:noProof/>
                <w:webHidden/>
              </w:rPr>
              <w:fldChar w:fldCharType="begin"/>
            </w:r>
            <w:r>
              <w:rPr>
                <w:noProof/>
                <w:webHidden/>
              </w:rPr>
              <w:instrText xml:space="preserve"> PAGEREF _Toc142469146 \h </w:instrText>
            </w:r>
            <w:r>
              <w:rPr>
                <w:noProof/>
                <w:webHidden/>
              </w:rPr>
            </w:r>
            <w:r>
              <w:rPr>
                <w:noProof/>
                <w:webHidden/>
              </w:rPr>
              <w:fldChar w:fldCharType="separate"/>
            </w:r>
            <w:r>
              <w:rPr>
                <w:noProof/>
                <w:webHidden/>
              </w:rPr>
              <w:t>40</w:t>
            </w:r>
            <w:r>
              <w:rPr>
                <w:noProof/>
                <w:webHidden/>
              </w:rPr>
              <w:fldChar w:fldCharType="end"/>
            </w:r>
          </w:hyperlink>
        </w:p>
        <w:p w:rsidR="004A6B9C" w:rsidRDefault="004A6B9C" w14:paraId="005B8F4B" w14:textId="79056F6B">
          <w:pPr>
            <w:pStyle w:val="TOC3"/>
            <w:rPr>
              <w:rFonts w:asciiTheme="minorHAnsi" w:hAnsiTheme="minorHAnsi" w:eastAsiaTheme="minorEastAsia" w:cstheme="minorBidi"/>
              <w:i w:val="0"/>
              <w:noProof/>
              <w:lang w:val="en-GB" w:eastAsia="en-GB"/>
            </w:rPr>
          </w:pPr>
          <w:hyperlink w:history="1" w:anchor="_Toc142469147">
            <w:r w:rsidRPr="00E700AE">
              <w:rPr>
                <w:rStyle w:val="Hyperlink"/>
                <w:noProof/>
              </w:rPr>
              <w:t>3.4.7</w:t>
            </w:r>
            <w:r>
              <w:rPr>
                <w:rFonts w:asciiTheme="minorHAnsi" w:hAnsiTheme="minorHAnsi" w:eastAsiaTheme="minorEastAsia" w:cstheme="minorBidi"/>
                <w:i w:val="0"/>
                <w:noProof/>
                <w:lang w:val="en-GB" w:eastAsia="en-GB"/>
              </w:rPr>
              <w:tab/>
            </w:r>
            <w:r w:rsidRPr="00E700AE">
              <w:rPr>
                <w:rStyle w:val="Hyperlink"/>
                <w:noProof/>
              </w:rPr>
              <w:t>Dignity kits</w:t>
            </w:r>
            <w:r>
              <w:rPr>
                <w:noProof/>
                <w:webHidden/>
              </w:rPr>
              <w:tab/>
            </w:r>
            <w:r>
              <w:rPr>
                <w:noProof/>
                <w:webHidden/>
              </w:rPr>
              <w:fldChar w:fldCharType="begin"/>
            </w:r>
            <w:r>
              <w:rPr>
                <w:noProof/>
                <w:webHidden/>
              </w:rPr>
              <w:instrText xml:space="preserve"> PAGEREF _Toc142469147 \h </w:instrText>
            </w:r>
            <w:r>
              <w:rPr>
                <w:noProof/>
                <w:webHidden/>
              </w:rPr>
            </w:r>
            <w:r>
              <w:rPr>
                <w:noProof/>
                <w:webHidden/>
              </w:rPr>
              <w:fldChar w:fldCharType="separate"/>
            </w:r>
            <w:r>
              <w:rPr>
                <w:noProof/>
                <w:webHidden/>
              </w:rPr>
              <w:t>41</w:t>
            </w:r>
            <w:r>
              <w:rPr>
                <w:noProof/>
                <w:webHidden/>
              </w:rPr>
              <w:fldChar w:fldCharType="end"/>
            </w:r>
          </w:hyperlink>
        </w:p>
        <w:p w:rsidR="004A6B9C" w:rsidRDefault="004A6B9C" w14:paraId="5394E944" w14:textId="5265E24E">
          <w:pPr>
            <w:pStyle w:val="TOC3"/>
            <w:rPr>
              <w:rFonts w:asciiTheme="minorHAnsi" w:hAnsiTheme="minorHAnsi" w:eastAsiaTheme="minorEastAsia" w:cstheme="minorBidi"/>
              <w:i w:val="0"/>
              <w:noProof/>
              <w:lang w:val="en-GB" w:eastAsia="en-GB"/>
            </w:rPr>
          </w:pPr>
          <w:hyperlink w:history="1" w:anchor="_Toc142469148">
            <w:r w:rsidRPr="00E700AE">
              <w:rPr>
                <w:rStyle w:val="Hyperlink"/>
                <w:noProof/>
              </w:rPr>
              <w:t>3.4.8</w:t>
            </w:r>
            <w:r>
              <w:rPr>
                <w:rFonts w:asciiTheme="minorHAnsi" w:hAnsiTheme="minorHAnsi" w:eastAsiaTheme="minorEastAsia" w:cstheme="minorBidi"/>
                <w:i w:val="0"/>
                <w:noProof/>
                <w:lang w:val="en-GB" w:eastAsia="en-GB"/>
              </w:rPr>
              <w:tab/>
            </w:r>
            <w:r w:rsidRPr="00E700AE">
              <w:rPr>
                <w:rStyle w:val="Hyperlink"/>
                <w:noProof/>
              </w:rPr>
              <w:t>Cash &amp; voucher assistance (see also section 6.3)</w:t>
            </w:r>
            <w:r>
              <w:rPr>
                <w:noProof/>
                <w:webHidden/>
              </w:rPr>
              <w:tab/>
            </w:r>
            <w:r>
              <w:rPr>
                <w:noProof/>
                <w:webHidden/>
              </w:rPr>
              <w:fldChar w:fldCharType="begin"/>
            </w:r>
            <w:r>
              <w:rPr>
                <w:noProof/>
                <w:webHidden/>
              </w:rPr>
              <w:instrText xml:space="preserve"> PAGEREF _Toc142469148 \h </w:instrText>
            </w:r>
            <w:r>
              <w:rPr>
                <w:noProof/>
                <w:webHidden/>
              </w:rPr>
            </w:r>
            <w:r>
              <w:rPr>
                <w:noProof/>
                <w:webHidden/>
              </w:rPr>
              <w:fldChar w:fldCharType="separate"/>
            </w:r>
            <w:r>
              <w:rPr>
                <w:noProof/>
                <w:webHidden/>
              </w:rPr>
              <w:t>42</w:t>
            </w:r>
            <w:r>
              <w:rPr>
                <w:noProof/>
                <w:webHidden/>
              </w:rPr>
              <w:fldChar w:fldCharType="end"/>
            </w:r>
          </w:hyperlink>
        </w:p>
        <w:p w:rsidR="004A6B9C" w:rsidRDefault="004A6B9C" w14:paraId="12C5B850" w14:textId="13C869BD">
          <w:pPr>
            <w:pStyle w:val="TOC2"/>
            <w:rPr>
              <w:rFonts w:asciiTheme="minorHAnsi" w:hAnsiTheme="minorHAnsi" w:eastAsiaTheme="minorEastAsia" w:cstheme="minorBidi"/>
              <w:noProof/>
              <w:lang w:val="en-GB" w:eastAsia="en-GB"/>
            </w:rPr>
          </w:pPr>
          <w:hyperlink w:history="1" w:anchor="_Toc142469149">
            <w:r w:rsidRPr="00E700AE">
              <w:rPr>
                <w:rStyle w:val="Hyperlink"/>
                <w:noProof/>
              </w:rPr>
              <w:t>3.5</w:t>
            </w:r>
            <w:r>
              <w:rPr>
                <w:rFonts w:asciiTheme="minorHAnsi" w:hAnsiTheme="minorHAnsi" w:eastAsiaTheme="minorEastAsia" w:cstheme="minorBidi"/>
                <w:noProof/>
                <w:lang w:val="en-GB" w:eastAsia="en-GB"/>
              </w:rPr>
              <w:tab/>
            </w:r>
            <w:r w:rsidRPr="00E700AE">
              <w:rPr>
                <w:rStyle w:val="Hyperlink"/>
                <w:noProof/>
              </w:rPr>
              <w:t>Economic empowerment and livelihoods</w:t>
            </w:r>
            <w:r>
              <w:rPr>
                <w:noProof/>
                <w:webHidden/>
              </w:rPr>
              <w:tab/>
            </w:r>
            <w:r>
              <w:rPr>
                <w:noProof/>
                <w:webHidden/>
              </w:rPr>
              <w:fldChar w:fldCharType="begin"/>
            </w:r>
            <w:r>
              <w:rPr>
                <w:noProof/>
                <w:webHidden/>
              </w:rPr>
              <w:instrText xml:space="preserve"> PAGEREF _Toc142469149 \h </w:instrText>
            </w:r>
            <w:r>
              <w:rPr>
                <w:noProof/>
                <w:webHidden/>
              </w:rPr>
            </w:r>
            <w:r>
              <w:rPr>
                <w:noProof/>
                <w:webHidden/>
              </w:rPr>
              <w:fldChar w:fldCharType="separate"/>
            </w:r>
            <w:r>
              <w:rPr>
                <w:noProof/>
                <w:webHidden/>
              </w:rPr>
              <w:t>44</w:t>
            </w:r>
            <w:r>
              <w:rPr>
                <w:noProof/>
                <w:webHidden/>
              </w:rPr>
              <w:fldChar w:fldCharType="end"/>
            </w:r>
          </w:hyperlink>
        </w:p>
        <w:p w:rsidR="004A6B9C" w:rsidRDefault="004A6B9C" w14:paraId="463C986C" w14:textId="7E8D9BF5">
          <w:pPr>
            <w:pStyle w:val="TOC3"/>
            <w:rPr>
              <w:rFonts w:asciiTheme="minorHAnsi" w:hAnsiTheme="minorHAnsi" w:eastAsiaTheme="minorEastAsia" w:cstheme="minorBidi"/>
              <w:i w:val="0"/>
              <w:noProof/>
              <w:lang w:val="en-GB" w:eastAsia="en-GB"/>
            </w:rPr>
          </w:pPr>
          <w:hyperlink w:history="1" w:anchor="_Toc142469150">
            <w:r w:rsidRPr="00E700AE">
              <w:rPr>
                <w:rStyle w:val="Hyperlink"/>
                <w:noProof/>
              </w:rPr>
              <w:t>3.5.1</w:t>
            </w:r>
            <w:r>
              <w:rPr>
                <w:rFonts w:asciiTheme="minorHAnsi" w:hAnsiTheme="minorHAnsi" w:eastAsiaTheme="minorEastAsia" w:cstheme="minorBidi"/>
                <w:i w:val="0"/>
                <w:noProof/>
                <w:lang w:val="en-GB" w:eastAsia="en-GB"/>
              </w:rPr>
              <w:tab/>
            </w:r>
            <w:r w:rsidRPr="00E700AE">
              <w:rPr>
                <w:rStyle w:val="Hyperlink"/>
                <w:noProof/>
              </w:rPr>
              <w:t>Additional support services</w:t>
            </w:r>
            <w:r>
              <w:rPr>
                <w:noProof/>
                <w:webHidden/>
              </w:rPr>
              <w:tab/>
            </w:r>
            <w:r>
              <w:rPr>
                <w:noProof/>
                <w:webHidden/>
              </w:rPr>
              <w:fldChar w:fldCharType="begin"/>
            </w:r>
            <w:r>
              <w:rPr>
                <w:noProof/>
                <w:webHidden/>
              </w:rPr>
              <w:instrText xml:space="preserve"> PAGEREF _Toc142469150 \h </w:instrText>
            </w:r>
            <w:r>
              <w:rPr>
                <w:noProof/>
                <w:webHidden/>
              </w:rPr>
            </w:r>
            <w:r>
              <w:rPr>
                <w:noProof/>
                <w:webHidden/>
              </w:rPr>
              <w:fldChar w:fldCharType="separate"/>
            </w:r>
            <w:r>
              <w:rPr>
                <w:noProof/>
                <w:webHidden/>
              </w:rPr>
              <w:t>44</w:t>
            </w:r>
            <w:r>
              <w:rPr>
                <w:noProof/>
                <w:webHidden/>
              </w:rPr>
              <w:fldChar w:fldCharType="end"/>
            </w:r>
          </w:hyperlink>
        </w:p>
        <w:p w:rsidR="004A6B9C" w:rsidRDefault="004A6B9C" w14:paraId="1DB04C64" w14:textId="2D58D85E">
          <w:pPr>
            <w:pStyle w:val="TOC2"/>
            <w:rPr>
              <w:rFonts w:asciiTheme="minorHAnsi" w:hAnsiTheme="minorHAnsi" w:eastAsiaTheme="minorEastAsia" w:cstheme="minorBidi"/>
              <w:noProof/>
              <w:lang w:val="en-GB" w:eastAsia="en-GB"/>
            </w:rPr>
          </w:pPr>
          <w:hyperlink w:history="1" w:anchor="_Toc142469151">
            <w:r w:rsidRPr="00E700AE">
              <w:rPr>
                <w:rStyle w:val="Hyperlink"/>
                <w:noProof/>
              </w:rPr>
              <w:t>3.6</w:t>
            </w:r>
            <w:r>
              <w:rPr>
                <w:rFonts w:asciiTheme="minorHAnsi" w:hAnsiTheme="minorHAnsi" w:eastAsiaTheme="minorEastAsia" w:cstheme="minorBidi"/>
                <w:noProof/>
                <w:lang w:val="en-GB" w:eastAsia="en-GB"/>
              </w:rPr>
              <w:tab/>
            </w:r>
            <w:r w:rsidRPr="00E700AE">
              <w:rPr>
                <w:rStyle w:val="Hyperlink"/>
                <w:noProof/>
              </w:rPr>
              <w:t>Refugee case processing</w:t>
            </w:r>
            <w:r>
              <w:rPr>
                <w:noProof/>
                <w:webHidden/>
              </w:rPr>
              <w:tab/>
            </w:r>
            <w:r>
              <w:rPr>
                <w:noProof/>
                <w:webHidden/>
              </w:rPr>
              <w:fldChar w:fldCharType="begin"/>
            </w:r>
            <w:r>
              <w:rPr>
                <w:noProof/>
                <w:webHidden/>
              </w:rPr>
              <w:instrText xml:space="preserve"> PAGEREF _Toc142469151 \h </w:instrText>
            </w:r>
            <w:r>
              <w:rPr>
                <w:noProof/>
                <w:webHidden/>
              </w:rPr>
            </w:r>
            <w:r>
              <w:rPr>
                <w:noProof/>
                <w:webHidden/>
              </w:rPr>
              <w:fldChar w:fldCharType="separate"/>
            </w:r>
            <w:r>
              <w:rPr>
                <w:noProof/>
                <w:webHidden/>
              </w:rPr>
              <w:t>45</w:t>
            </w:r>
            <w:r>
              <w:rPr>
                <w:noProof/>
                <w:webHidden/>
              </w:rPr>
              <w:fldChar w:fldCharType="end"/>
            </w:r>
          </w:hyperlink>
        </w:p>
        <w:p w:rsidR="004A6B9C" w:rsidRDefault="004A6B9C" w14:paraId="0F6F540D" w14:textId="28977942">
          <w:pPr>
            <w:pStyle w:val="TOC3"/>
            <w:rPr>
              <w:rFonts w:asciiTheme="minorHAnsi" w:hAnsiTheme="minorHAnsi" w:eastAsiaTheme="minorEastAsia" w:cstheme="minorBidi"/>
              <w:i w:val="0"/>
              <w:noProof/>
              <w:lang w:val="en-GB" w:eastAsia="en-GB"/>
            </w:rPr>
          </w:pPr>
          <w:hyperlink w:history="1" w:anchor="_Toc142469152">
            <w:r w:rsidRPr="00E700AE">
              <w:rPr>
                <w:rStyle w:val="Hyperlink"/>
                <w:noProof/>
                <w:lang w:val="en-GB"/>
              </w:rPr>
              <w:t>3.6.1</w:t>
            </w:r>
            <w:r>
              <w:rPr>
                <w:rFonts w:asciiTheme="minorHAnsi" w:hAnsiTheme="minorHAnsi" w:eastAsiaTheme="minorEastAsia" w:cstheme="minorBidi"/>
                <w:i w:val="0"/>
                <w:noProof/>
                <w:lang w:val="en-GB" w:eastAsia="en-GB"/>
              </w:rPr>
              <w:tab/>
            </w:r>
            <w:r w:rsidRPr="00E700AE">
              <w:rPr>
                <w:rStyle w:val="Hyperlink"/>
                <w:noProof/>
                <w:lang w:val="en-GB"/>
              </w:rPr>
              <w:t>Registration</w:t>
            </w:r>
            <w:r>
              <w:rPr>
                <w:noProof/>
                <w:webHidden/>
              </w:rPr>
              <w:tab/>
            </w:r>
            <w:r>
              <w:rPr>
                <w:noProof/>
                <w:webHidden/>
              </w:rPr>
              <w:fldChar w:fldCharType="begin"/>
            </w:r>
            <w:r>
              <w:rPr>
                <w:noProof/>
                <w:webHidden/>
              </w:rPr>
              <w:instrText xml:space="preserve"> PAGEREF _Toc142469152 \h </w:instrText>
            </w:r>
            <w:r>
              <w:rPr>
                <w:noProof/>
                <w:webHidden/>
              </w:rPr>
            </w:r>
            <w:r>
              <w:rPr>
                <w:noProof/>
                <w:webHidden/>
              </w:rPr>
              <w:fldChar w:fldCharType="separate"/>
            </w:r>
            <w:r>
              <w:rPr>
                <w:noProof/>
                <w:webHidden/>
              </w:rPr>
              <w:t>45</w:t>
            </w:r>
            <w:r>
              <w:rPr>
                <w:noProof/>
                <w:webHidden/>
              </w:rPr>
              <w:fldChar w:fldCharType="end"/>
            </w:r>
          </w:hyperlink>
        </w:p>
        <w:p w:rsidR="004A6B9C" w:rsidRDefault="004A6B9C" w14:paraId="3CF82148" w14:textId="0105EFAE">
          <w:pPr>
            <w:pStyle w:val="TOC3"/>
            <w:rPr>
              <w:rFonts w:asciiTheme="minorHAnsi" w:hAnsiTheme="minorHAnsi" w:eastAsiaTheme="minorEastAsia" w:cstheme="minorBidi"/>
              <w:i w:val="0"/>
              <w:noProof/>
              <w:lang w:val="en-GB" w:eastAsia="en-GB"/>
            </w:rPr>
          </w:pPr>
          <w:hyperlink w:history="1" w:anchor="_Toc142469153">
            <w:r w:rsidRPr="00E700AE">
              <w:rPr>
                <w:rStyle w:val="Hyperlink"/>
                <w:noProof/>
                <w:lang w:val="en-GB"/>
              </w:rPr>
              <w:t>3.6.2</w:t>
            </w:r>
            <w:r>
              <w:rPr>
                <w:rFonts w:asciiTheme="minorHAnsi" w:hAnsiTheme="minorHAnsi" w:eastAsiaTheme="minorEastAsia" w:cstheme="minorBidi"/>
                <w:i w:val="0"/>
                <w:noProof/>
                <w:lang w:val="en-GB" w:eastAsia="en-GB"/>
              </w:rPr>
              <w:tab/>
            </w:r>
            <w:r w:rsidRPr="00E700AE">
              <w:rPr>
                <w:rStyle w:val="Hyperlink"/>
                <w:noProof/>
                <w:lang w:val="en-GB"/>
              </w:rPr>
              <w:t>Refugee status determination</w:t>
            </w:r>
            <w:r>
              <w:rPr>
                <w:noProof/>
                <w:webHidden/>
              </w:rPr>
              <w:tab/>
            </w:r>
            <w:r>
              <w:rPr>
                <w:noProof/>
                <w:webHidden/>
              </w:rPr>
              <w:fldChar w:fldCharType="begin"/>
            </w:r>
            <w:r>
              <w:rPr>
                <w:noProof/>
                <w:webHidden/>
              </w:rPr>
              <w:instrText xml:space="preserve"> PAGEREF _Toc142469153 \h </w:instrText>
            </w:r>
            <w:r>
              <w:rPr>
                <w:noProof/>
                <w:webHidden/>
              </w:rPr>
            </w:r>
            <w:r>
              <w:rPr>
                <w:noProof/>
                <w:webHidden/>
              </w:rPr>
              <w:fldChar w:fldCharType="separate"/>
            </w:r>
            <w:r>
              <w:rPr>
                <w:noProof/>
                <w:webHidden/>
              </w:rPr>
              <w:t>45</w:t>
            </w:r>
            <w:r>
              <w:rPr>
                <w:noProof/>
                <w:webHidden/>
              </w:rPr>
              <w:fldChar w:fldCharType="end"/>
            </w:r>
          </w:hyperlink>
        </w:p>
        <w:p w:rsidR="004A6B9C" w:rsidRDefault="004A6B9C" w14:paraId="1621A798" w14:textId="105B84FF">
          <w:pPr>
            <w:pStyle w:val="TOC3"/>
            <w:rPr>
              <w:rFonts w:asciiTheme="minorHAnsi" w:hAnsiTheme="minorHAnsi" w:eastAsiaTheme="minorEastAsia" w:cstheme="minorBidi"/>
              <w:i w:val="0"/>
              <w:noProof/>
              <w:lang w:val="en-GB" w:eastAsia="en-GB"/>
            </w:rPr>
          </w:pPr>
          <w:hyperlink w:history="1" w:anchor="_Toc142469154">
            <w:r w:rsidRPr="00E700AE">
              <w:rPr>
                <w:rStyle w:val="Hyperlink"/>
                <w:noProof/>
                <w:lang w:val="en-GB"/>
              </w:rPr>
              <w:t>3.6.3</w:t>
            </w:r>
            <w:r>
              <w:rPr>
                <w:rFonts w:asciiTheme="minorHAnsi" w:hAnsiTheme="minorHAnsi" w:eastAsiaTheme="minorEastAsia" w:cstheme="minorBidi"/>
                <w:i w:val="0"/>
                <w:noProof/>
                <w:lang w:val="en-GB" w:eastAsia="en-GB"/>
              </w:rPr>
              <w:tab/>
            </w:r>
            <w:r w:rsidRPr="00E700AE">
              <w:rPr>
                <w:rStyle w:val="Hyperlink"/>
                <w:noProof/>
                <w:lang w:val="en-GB"/>
              </w:rPr>
              <w:t>Durable solutions</w:t>
            </w:r>
            <w:r>
              <w:rPr>
                <w:noProof/>
                <w:webHidden/>
              </w:rPr>
              <w:tab/>
            </w:r>
            <w:r>
              <w:rPr>
                <w:noProof/>
                <w:webHidden/>
              </w:rPr>
              <w:fldChar w:fldCharType="begin"/>
            </w:r>
            <w:r>
              <w:rPr>
                <w:noProof/>
                <w:webHidden/>
              </w:rPr>
              <w:instrText xml:space="preserve"> PAGEREF _Toc142469154 \h </w:instrText>
            </w:r>
            <w:r>
              <w:rPr>
                <w:noProof/>
                <w:webHidden/>
              </w:rPr>
            </w:r>
            <w:r>
              <w:rPr>
                <w:noProof/>
                <w:webHidden/>
              </w:rPr>
              <w:fldChar w:fldCharType="separate"/>
            </w:r>
            <w:r>
              <w:rPr>
                <w:noProof/>
                <w:webHidden/>
              </w:rPr>
              <w:t>45</w:t>
            </w:r>
            <w:r>
              <w:rPr>
                <w:noProof/>
                <w:webHidden/>
              </w:rPr>
              <w:fldChar w:fldCharType="end"/>
            </w:r>
          </w:hyperlink>
        </w:p>
        <w:p w:rsidR="004A6B9C" w:rsidRDefault="004A6B9C" w14:paraId="24271CEE" w14:textId="21325AA5">
          <w:pPr>
            <w:pStyle w:val="TOC2"/>
            <w:rPr>
              <w:rFonts w:asciiTheme="minorHAnsi" w:hAnsiTheme="minorHAnsi" w:eastAsiaTheme="minorEastAsia" w:cstheme="minorBidi"/>
              <w:noProof/>
              <w:lang w:val="en-GB" w:eastAsia="en-GB"/>
            </w:rPr>
          </w:pPr>
          <w:hyperlink w:history="1" w:anchor="_Toc142469155">
            <w:r w:rsidRPr="00E700AE">
              <w:rPr>
                <w:rStyle w:val="Hyperlink"/>
                <w:noProof/>
              </w:rPr>
              <w:t>3.7</w:t>
            </w:r>
            <w:r>
              <w:rPr>
                <w:rFonts w:asciiTheme="minorHAnsi" w:hAnsiTheme="minorHAnsi" w:eastAsiaTheme="minorEastAsia" w:cstheme="minorBidi"/>
                <w:noProof/>
                <w:lang w:val="en-GB" w:eastAsia="en-GB"/>
              </w:rPr>
              <w:tab/>
            </w:r>
            <w:r w:rsidRPr="00E700AE">
              <w:rPr>
                <w:rStyle w:val="Hyperlink"/>
                <w:noProof/>
              </w:rPr>
              <w:t>Community outreach for awareness raising</w:t>
            </w:r>
            <w:r>
              <w:rPr>
                <w:noProof/>
                <w:webHidden/>
              </w:rPr>
              <w:tab/>
            </w:r>
            <w:r>
              <w:rPr>
                <w:noProof/>
                <w:webHidden/>
              </w:rPr>
              <w:fldChar w:fldCharType="begin"/>
            </w:r>
            <w:r>
              <w:rPr>
                <w:noProof/>
                <w:webHidden/>
              </w:rPr>
              <w:instrText xml:space="preserve"> PAGEREF _Toc142469155 \h </w:instrText>
            </w:r>
            <w:r>
              <w:rPr>
                <w:noProof/>
                <w:webHidden/>
              </w:rPr>
            </w:r>
            <w:r>
              <w:rPr>
                <w:noProof/>
                <w:webHidden/>
              </w:rPr>
              <w:fldChar w:fldCharType="separate"/>
            </w:r>
            <w:r>
              <w:rPr>
                <w:noProof/>
                <w:webHidden/>
              </w:rPr>
              <w:t>46</w:t>
            </w:r>
            <w:r>
              <w:rPr>
                <w:noProof/>
                <w:webHidden/>
              </w:rPr>
              <w:fldChar w:fldCharType="end"/>
            </w:r>
          </w:hyperlink>
        </w:p>
        <w:p w:rsidR="004A6B9C" w:rsidRDefault="004A6B9C" w14:paraId="0B8D9E78" w14:textId="62984BBE">
          <w:pPr>
            <w:pStyle w:val="TOC1"/>
            <w:rPr>
              <w:rFonts w:asciiTheme="minorHAnsi" w:hAnsiTheme="minorHAnsi" w:eastAsiaTheme="minorEastAsia" w:cstheme="minorBidi"/>
              <w:b w:val="0"/>
              <w:smallCaps w:val="0"/>
              <w:noProof/>
              <w:lang w:val="en-GB" w:eastAsia="en-GB"/>
            </w:rPr>
          </w:pPr>
          <w:hyperlink w:history="1" w:anchor="_Toc142469156">
            <w:r w:rsidRPr="00E700AE">
              <w:rPr>
                <w:rStyle w:val="Hyperlink"/>
                <w:noProof/>
              </w:rPr>
              <w:t>4</w:t>
            </w:r>
            <w:r>
              <w:rPr>
                <w:rFonts w:asciiTheme="minorHAnsi" w:hAnsiTheme="minorHAnsi" w:eastAsiaTheme="minorEastAsia" w:cstheme="minorBidi"/>
                <w:b w:val="0"/>
                <w:smallCaps w:val="0"/>
                <w:noProof/>
                <w:lang w:val="en-GB" w:eastAsia="en-GB"/>
              </w:rPr>
              <w:tab/>
            </w:r>
            <w:r w:rsidRPr="00E700AE">
              <w:rPr>
                <w:rStyle w:val="Hyperlink"/>
                <w:noProof/>
              </w:rPr>
              <w:t>SECTION 4: DOCUMENTATION CONSIDERATIONS FOR CASE MANAGEMENT PROVIDERS</w:t>
            </w:r>
            <w:r>
              <w:rPr>
                <w:noProof/>
                <w:webHidden/>
              </w:rPr>
              <w:tab/>
            </w:r>
            <w:r>
              <w:rPr>
                <w:noProof/>
                <w:webHidden/>
              </w:rPr>
              <w:fldChar w:fldCharType="begin"/>
            </w:r>
            <w:r>
              <w:rPr>
                <w:noProof/>
                <w:webHidden/>
              </w:rPr>
              <w:instrText xml:space="preserve"> PAGEREF _Toc142469156 \h </w:instrText>
            </w:r>
            <w:r>
              <w:rPr>
                <w:noProof/>
                <w:webHidden/>
              </w:rPr>
            </w:r>
            <w:r>
              <w:rPr>
                <w:noProof/>
                <w:webHidden/>
              </w:rPr>
              <w:fldChar w:fldCharType="separate"/>
            </w:r>
            <w:r>
              <w:rPr>
                <w:noProof/>
                <w:webHidden/>
              </w:rPr>
              <w:t>48</w:t>
            </w:r>
            <w:r>
              <w:rPr>
                <w:noProof/>
                <w:webHidden/>
              </w:rPr>
              <w:fldChar w:fldCharType="end"/>
            </w:r>
          </w:hyperlink>
        </w:p>
        <w:p w:rsidR="004A6B9C" w:rsidRDefault="004A6B9C" w14:paraId="53052A6C" w14:textId="1B699976">
          <w:pPr>
            <w:pStyle w:val="TOC2"/>
            <w:rPr>
              <w:rFonts w:asciiTheme="minorHAnsi" w:hAnsiTheme="minorHAnsi" w:eastAsiaTheme="minorEastAsia" w:cstheme="minorBidi"/>
              <w:noProof/>
              <w:lang w:val="en-GB" w:eastAsia="en-GB"/>
            </w:rPr>
          </w:pPr>
          <w:hyperlink w:history="1" w:anchor="_Toc142469157">
            <w:r w:rsidRPr="00E700AE">
              <w:rPr>
                <w:rStyle w:val="Hyperlink"/>
                <w:noProof/>
              </w:rPr>
              <w:t>4.1</w:t>
            </w:r>
            <w:r>
              <w:rPr>
                <w:rFonts w:asciiTheme="minorHAnsi" w:hAnsiTheme="minorHAnsi" w:eastAsiaTheme="minorEastAsia" w:cstheme="minorBidi"/>
                <w:noProof/>
                <w:lang w:val="en-GB" w:eastAsia="en-GB"/>
              </w:rPr>
              <w:tab/>
            </w:r>
            <w:r w:rsidRPr="00E700AE">
              <w:rPr>
                <w:rStyle w:val="Hyperlink"/>
                <w:noProof/>
              </w:rPr>
              <w:t>Case management forms and case files</w:t>
            </w:r>
            <w:r>
              <w:rPr>
                <w:noProof/>
                <w:webHidden/>
              </w:rPr>
              <w:tab/>
            </w:r>
            <w:r>
              <w:rPr>
                <w:noProof/>
                <w:webHidden/>
              </w:rPr>
              <w:fldChar w:fldCharType="begin"/>
            </w:r>
            <w:r>
              <w:rPr>
                <w:noProof/>
                <w:webHidden/>
              </w:rPr>
              <w:instrText xml:space="preserve"> PAGEREF _Toc142469157 \h </w:instrText>
            </w:r>
            <w:r>
              <w:rPr>
                <w:noProof/>
                <w:webHidden/>
              </w:rPr>
            </w:r>
            <w:r>
              <w:rPr>
                <w:noProof/>
                <w:webHidden/>
              </w:rPr>
              <w:fldChar w:fldCharType="separate"/>
            </w:r>
            <w:r>
              <w:rPr>
                <w:noProof/>
                <w:webHidden/>
              </w:rPr>
              <w:t>48</w:t>
            </w:r>
            <w:r>
              <w:rPr>
                <w:noProof/>
                <w:webHidden/>
              </w:rPr>
              <w:fldChar w:fldCharType="end"/>
            </w:r>
          </w:hyperlink>
        </w:p>
        <w:p w:rsidR="004A6B9C" w:rsidRDefault="004A6B9C" w14:paraId="0839605B" w14:textId="676F6D3F">
          <w:pPr>
            <w:pStyle w:val="TOC2"/>
            <w:rPr>
              <w:rFonts w:asciiTheme="minorHAnsi" w:hAnsiTheme="minorHAnsi" w:eastAsiaTheme="minorEastAsia" w:cstheme="minorBidi"/>
              <w:noProof/>
              <w:lang w:val="en-GB" w:eastAsia="en-GB"/>
            </w:rPr>
          </w:pPr>
          <w:hyperlink w:history="1" w:anchor="_Toc142469158">
            <w:r w:rsidRPr="00E700AE">
              <w:rPr>
                <w:rStyle w:val="Hyperlink"/>
                <w:noProof/>
              </w:rPr>
              <w:t>4.2</w:t>
            </w:r>
            <w:r>
              <w:rPr>
                <w:rFonts w:asciiTheme="minorHAnsi" w:hAnsiTheme="minorHAnsi" w:eastAsiaTheme="minorEastAsia" w:cstheme="minorBidi"/>
                <w:noProof/>
                <w:lang w:val="en-GB" w:eastAsia="en-GB"/>
              </w:rPr>
              <w:tab/>
            </w:r>
            <w:r w:rsidRPr="00E700AE">
              <w:rPr>
                <w:rStyle w:val="Hyperlink"/>
                <w:noProof/>
              </w:rPr>
              <w:t>Refugee case processing documentation and information sharing</w:t>
            </w:r>
            <w:r>
              <w:rPr>
                <w:noProof/>
                <w:webHidden/>
              </w:rPr>
              <w:tab/>
            </w:r>
            <w:r>
              <w:rPr>
                <w:noProof/>
                <w:webHidden/>
              </w:rPr>
              <w:fldChar w:fldCharType="begin"/>
            </w:r>
            <w:r>
              <w:rPr>
                <w:noProof/>
                <w:webHidden/>
              </w:rPr>
              <w:instrText xml:space="preserve"> PAGEREF _Toc142469158 \h </w:instrText>
            </w:r>
            <w:r>
              <w:rPr>
                <w:noProof/>
                <w:webHidden/>
              </w:rPr>
            </w:r>
            <w:r>
              <w:rPr>
                <w:noProof/>
                <w:webHidden/>
              </w:rPr>
              <w:fldChar w:fldCharType="separate"/>
            </w:r>
            <w:r>
              <w:rPr>
                <w:noProof/>
                <w:webHidden/>
              </w:rPr>
              <w:t>49</w:t>
            </w:r>
            <w:r>
              <w:rPr>
                <w:noProof/>
                <w:webHidden/>
              </w:rPr>
              <w:fldChar w:fldCharType="end"/>
            </w:r>
          </w:hyperlink>
        </w:p>
        <w:p w:rsidR="004A6B9C" w:rsidRDefault="004A6B9C" w14:paraId="1C3244D9" w14:textId="00F5BC33">
          <w:pPr>
            <w:pStyle w:val="TOC1"/>
            <w:rPr>
              <w:rFonts w:asciiTheme="minorHAnsi" w:hAnsiTheme="minorHAnsi" w:eastAsiaTheme="minorEastAsia" w:cstheme="minorBidi"/>
              <w:b w:val="0"/>
              <w:smallCaps w:val="0"/>
              <w:noProof/>
              <w:lang w:val="en-GB" w:eastAsia="en-GB"/>
            </w:rPr>
          </w:pPr>
          <w:hyperlink w:history="1" w:anchor="_Toc142469159">
            <w:r w:rsidRPr="00E700AE">
              <w:rPr>
                <w:rStyle w:val="Hyperlink"/>
                <w:noProof/>
              </w:rPr>
              <w:t>5</w:t>
            </w:r>
            <w:r>
              <w:rPr>
                <w:rFonts w:asciiTheme="minorHAnsi" w:hAnsiTheme="minorHAnsi" w:eastAsiaTheme="minorEastAsia" w:cstheme="minorBidi"/>
                <w:b w:val="0"/>
                <w:smallCaps w:val="0"/>
                <w:noProof/>
                <w:lang w:val="en-GB" w:eastAsia="en-GB"/>
              </w:rPr>
              <w:tab/>
            </w:r>
            <w:r w:rsidRPr="00E700AE">
              <w:rPr>
                <w:rStyle w:val="Hyperlink"/>
                <w:noProof/>
              </w:rPr>
              <w:t>SECTION 5: PROTECTION FROM SEXUAL EXPLOITATION AND ABUSE</w:t>
            </w:r>
            <w:r>
              <w:rPr>
                <w:noProof/>
                <w:webHidden/>
              </w:rPr>
              <w:tab/>
            </w:r>
            <w:r>
              <w:rPr>
                <w:noProof/>
                <w:webHidden/>
              </w:rPr>
              <w:fldChar w:fldCharType="begin"/>
            </w:r>
            <w:r>
              <w:rPr>
                <w:noProof/>
                <w:webHidden/>
              </w:rPr>
              <w:instrText xml:space="preserve"> PAGEREF _Toc142469159 \h </w:instrText>
            </w:r>
            <w:r>
              <w:rPr>
                <w:noProof/>
                <w:webHidden/>
              </w:rPr>
            </w:r>
            <w:r>
              <w:rPr>
                <w:noProof/>
                <w:webHidden/>
              </w:rPr>
              <w:fldChar w:fldCharType="separate"/>
            </w:r>
            <w:r>
              <w:rPr>
                <w:noProof/>
                <w:webHidden/>
              </w:rPr>
              <w:t>50</w:t>
            </w:r>
            <w:r>
              <w:rPr>
                <w:noProof/>
                <w:webHidden/>
              </w:rPr>
              <w:fldChar w:fldCharType="end"/>
            </w:r>
          </w:hyperlink>
        </w:p>
        <w:p w:rsidR="004A6B9C" w:rsidRDefault="004A6B9C" w14:paraId="4F87FEBD" w14:textId="35524EA2">
          <w:pPr>
            <w:pStyle w:val="TOC2"/>
            <w:rPr>
              <w:rFonts w:asciiTheme="minorHAnsi" w:hAnsiTheme="minorHAnsi" w:eastAsiaTheme="minorEastAsia" w:cstheme="minorBidi"/>
              <w:noProof/>
              <w:lang w:val="en-GB" w:eastAsia="en-GB"/>
            </w:rPr>
          </w:pPr>
          <w:hyperlink w:history="1" w:anchor="_Toc142469160">
            <w:r w:rsidRPr="00E700AE">
              <w:rPr>
                <w:rStyle w:val="Hyperlink"/>
                <w:noProof/>
              </w:rPr>
              <w:t>5.1</w:t>
            </w:r>
            <w:r>
              <w:rPr>
                <w:rFonts w:asciiTheme="minorHAnsi" w:hAnsiTheme="minorHAnsi" w:eastAsiaTheme="minorEastAsia" w:cstheme="minorBidi"/>
                <w:noProof/>
                <w:lang w:val="en-GB" w:eastAsia="en-GB"/>
              </w:rPr>
              <w:tab/>
            </w:r>
            <w:r w:rsidRPr="00E700AE">
              <w:rPr>
                <w:rStyle w:val="Hyperlink"/>
                <w:noProof/>
              </w:rPr>
              <w:t>Prevention</w:t>
            </w:r>
            <w:r>
              <w:rPr>
                <w:noProof/>
                <w:webHidden/>
              </w:rPr>
              <w:tab/>
            </w:r>
            <w:r>
              <w:rPr>
                <w:noProof/>
                <w:webHidden/>
              </w:rPr>
              <w:fldChar w:fldCharType="begin"/>
            </w:r>
            <w:r>
              <w:rPr>
                <w:noProof/>
                <w:webHidden/>
              </w:rPr>
              <w:instrText xml:space="preserve"> PAGEREF _Toc142469160 \h </w:instrText>
            </w:r>
            <w:r>
              <w:rPr>
                <w:noProof/>
                <w:webHidden/>
              </w:rPr>
            </w:r>
            <w:r>
              <w:rPr>
                <w:noProof/>
                <w:webHidden/>
              </w:rPr>
              <w:fldChar w:fldCharType="separate"/>
            </w:r>
            <w:r>
              <w:rPr>
                <w:noProof/>
                <w:webHidden/>
              </w:rPr>
              <w:t>51</w:t>
            </w:r>
            <w:r>
              <w:rPr>
                <w:noProof/>
                <w:webHidden/>
              </w:rPr>
              <w:fldChar w:fldCharType="end"/>
            </w:r>
          </w:hyperlink>
        </w:p>
        <w:p w:rsidR="004A6B9C" w:rsidRDefault="004A6B9C" w14:paraId="2F44848F" w14:textId="1B7200F5">
          <w:pPr>
            <w:pStyle w:val="TOC2"/>
            <w:rPr>
              <w:rFonts w:asciiTheme="minorHAnsi" w:hAnsiTheme="minorHAnsi" w:eastAsiaTheme="minorEastAsia" w:cstheme="minorBidi"/>
              <w:noProof/>
              <w:lang w:val="en-GB" w:eastAsia="en-GB"/>
            </w:rPr>
          </w:pPr>
          <w:hyperlink w:history="1" w:anchor="_Toc142469161">
            <w:r w:rsidRPr="00E700AE">
              <w:rPr>
                <w:rStyle w:val="Hyperlink"/>
                <w:noProof/>
              </w:rPr>
              <w:t>5.2</w:t>
            </w:r>
            <w:r>
              <w:rPr>
                <w:rFonts w:asciiTheme="minorHAnsi" w:hAnsiTheme="minorHAnsi" w:eastAsiaTheme="minorEastAsia" w:cstheme="minorBidi"/>
                <w:noProof/>
                <w:lang w:val="en-GB" w:eastAsia="en-GB"/>
              </w:rPr>
              <w:tab/>
            </w:r>
            <w:r w:rsidRPr="00E700AE">
              <w:rPr>
                <w:rStyle w:val="Hyperlink"/>
                <w:noProof/>
              </w:rPr>
              <w:t>Reporting and response</w:t>
            </w:r>
            <w:r>
              <w:rPr>
                <w:noProof/>
                <w:webHidden/>
              </w:rPr>
              <w:tab/>
            </w:r>
            <w:r>
              <w:rPr>
                <w:noProof/>
                <w:webHidden/>
              </w:rPr>
              <w:fldChar w:fldCharType="begin"/>
            </w:r>
            <w:r>
              <w:rPr>
                <w:noProof/>
                <w:webHidden/>
              </w:rPr>
              <w:instrText xml:space="preserve"> PAGEREF _Toc142469161 \h </w:instrText>
            </w:r>
            <w:r>
              <w:rPr>
                <w:noProof/>
                <w:webHidden/>
              </w:rPr>
            </w:r>
            <w:r>
              <w:rPr>
                <w:noProof/>
                <w:webHidden/>
              </w:rPr>
              <w:fldChar w:fldCharType="separate"/>
            </w:r>
            <w:r>
              <w:rPr>
                <w:noProof/>
                <w:webHidden/>
              </w:rPr>
              <w:t>51</w:t>
            </w:r>
            <w:r>
              <w:rPr>
                <w:noProof/>
                <w:webHidden/>
              </w:rPr>
              <w:fldChar w:fldCharType="end"/>
            </w:r>
          </w:hyperlink>
        </w:p>
        <w:p w:rsidR="004A6B9C" w:rsidRDefault="004A6B9C" w14:paraId="729E2B00" w14:textId="3E0E901D">
          <w:pPr>
            <w:pStyle w:val="TOC1"/>
            <w:rPr>
              <w:rFonts w:asciiTheme="minorHAnsi" w:hAnsiTheme="minorHAnsi" w:eastAsiaTheme="minorEastAsia" w:cstheme="minorBidi"/>
              <w:b w:val="0"/>
              <w:smallCaps w:val="0"/>
              <w:noProof/>
              <w:lang w:val="en-GB" w:eastAsia="en-GB"/>
            </w:rPr>
          </w:pPr>
          <w:hyperlink w:history="1" w:anchor="_Toc142469162">
            <w:r w:rsidRPr="00E700AE">
              <w:rPr>
                <w:rStyle w:val="Hyperlink"/>
                <w:noProof/>
              </w:rPr>
              <w:t>6</w:t>
            </w:r>
            <w:r>
              <w:rPr>
                <w:rFonts w:asciiTheme="minorHAnsi" w:hAnsiTheme="minorHAnsi" w:eastAsiaTheme="minorEastAsia" w:cstheme="minorBidi"/>
                <w:b w:val="0"/>
                <w:smallCaps w:val="0"/>
                <w:noProof/>
                <w:lang w:val="en-GB" w:eastAsia="en-GB"/>
              </w:rPr>
              <w:tab/>
            </w:r>
            <w:r w:rsidRPr="00E700AE">
              <w:rPr>
                <w:rStyle w:val="Hyperlink"/>
                <w:noProof/>
              </w:rPr>
              <w:t>SECTION 6: RISK MITIGATION</w:t>
            </w:r>
            <w:r>
              <w:rPr>
                <w:noProof/>
                <w:webHidden/>
              </w:rPr>
              <w:tab/>
            </w:r>
            <w:r>
              <w:rPr>
                <w:noProof/>
                <w:webHidden/>
              </w:rPr>
              <w:fldChar w:fldCharType="begin"/>
            </w:r>
            <w:r>
              <w:rPr>
                <w:noProof/>
                <w:webHidden/>
              </w:rPr>
              <w:instrText xml:space="preserve"> PAGEREF _Toc142469162 \h </w:instrText>
            </w:r>
            <w:r>
              <w:rPr>
                <w:noProof/>
                <w:webHidden/>
              </w:rPr>
            </w:r>
            <w:r>
              <w:rPr>
                <w:noProof/>
                <w:webHidden/>
              </w:rPr>
              <w:fldChar w:fldCharType="separate"/>
            </w:r>
            <w:r>
              <w:rPr>
                <w:noProof/>
                <w:webHidden/>
              </w:rPr>
              <w:t>53</w:t>
            </w:r>
            <w:r>
              <w:rPr>
                <w:noProof/>
                <w:webHidden/>
              </w:rPr>
              <w:fldChar w:fldCharType="end"/>
            </w:r>
          </w:hyperlink>
        </w:p>
        <w:p w:rsidR="004A6B9C" w:rsidRDefault="004A6B9C" w14:paraId="38E4A306" w14:textId="503E7C59">
          <w:pPr>
            <w:pStyle w:val="TOC2"/>
            <w:rPr>
              <w:rFonts w:asciiTheme="minorHAnsi" w:hAnsiTheme="minorHAnsi" w:eastAsiaTheme="minorEastAsia" w:cstheme="minorBidi"/>
              <w:noProof/>
              <w:lang w:val="en-GB" w:eastAsia="en-GB"/>
            </w:rPr>
          </w:pPr>
          <w:hyperlink w:history="1" w:anchor="_Toc142469163">
            <w:r w:rsidRPr="00E700AE">
              <w:rPr>
                <w:rStyle w:val="Hyperlink"/>
                <w:noProof/>
              </w:rPr>
              <w:t>6.1</w:t>
            </w:r>
            <w:r>
              <w:rPr>
                <w:rFonts w:asciiTheme="minorHAnsi" w:hAnsiTheme="minorHAnsi" w:eastAsiaTheme="minorEastAsia" w:cstheme="minorBidi"/>
                <w:noProof/>
                <w:lang w:val="en-GB" w:eastAsia="en-GB"/>
              </w:rPr>
              <w:tab/>
            </w:r>
            <w:r w:rsidRPr="00E700AE">
              <w:rPr>
                <w:rStyle w:val="Hyperlink"/>
                <w:noProof/>
              </w:rPr>
              <w:t>Menstrual hygiene management</w:t>
            </w:r>
            <w:r>
              <w:rPr>
                <w:noProof/>
                <w:webHidden/>
              </w:rPr>
              <w:tab/>
            </w:r>
            <w:r>
              <w:rPr>
                <w:noProof/>
                <w:webHidden/>
              </w:rPr>
              <w:fldChar w:fldCharType="begin"/>
            </w:r>
            <w:r>
              <w:rPr>
                <w:noProof/>
                <w:webHidden/>
              </w:rPr>
              <w:instrText xml:space="preserve"> PAGEREF _Toc142469163 \h </w:instrText>
            </w:r>
            <w:r>
              <w:rPr>
                <w:noProof/>
                <w:webHidden/>
              </w:rPr>
            </w:r>
            <w:r>
              <w:rPr>
                <w:noProof/>
                <w:webHidden/>
              </w:rPr>
              <w:fldChar w:fldCharType="separate"/>
            </w:r>
            <w:r>
              <w:rPr>
                <w:noProof/>
                <w:webHidden/>
              </w:rPr>
              <w:t>55</w:t>
            </w:r>
            <w:r>
              <w:rPr>
                <w:noProof/>
                <w:webHidden/>
              </w:rPr>
              <w:fldChar w:fldCharType="end"/>
            </w:r>
          </w:hyperlink>
        </w:p>
        <w:p w:rsidR="004A6B9C" w:rsidRDefault="004A6B9C" w14:paraId="364EF91E" w14:textId="3048FCED">
          <w:pPr>
            <w:pStyle w:val="TOC2"/>
            <w:rPr>
              <w:rFonts w:asciiTheme="minorHAnsi" w:hAnsiTheme="minorHAnsi" w:eastAsiaTheme="minorEastAsia" w:cstheme="minorBidi"/>
              <w:noProof/>
              <w:lang w:val="en-GB" w:eastAsia="en-GB"/>
            </w:rPr>
          </w:pPr>
          <w:hyperlink w:history="1" w:anchor="_Toc142469164">
            <w:r w:rsidRPr="00E700AE">
              <w:rPr>
                <w:rStyle w:val="Hyperlink"/>
                <w:noProof/>
              </w:rPr>
              <w:t>6.2</w:t>
            </w:r>
            <w:r>
              <w:rPr>
                <w:rFonts w:asciiTheme="minorHAnsi" w:hAnsiTheme="minorHAnsi" w:eastAsiaTheme="minorEastAsia" w:cstheme="minorBidi"/>
                <w:noProof/>
                <w:lang w:val="en-GB" w:eastAsia="en-GB"/>
              </w:rPr>
              <w:tab/>
            </w:r>
            <w:r w:rsidRPr="00E700AE">
              <w:rPr>
                <w:rStyle w:val="Hyperlink"/>
                <w:noProof/>
              </w:rPr>
              <w:t>Cash and voucher assistance</w:t>
            </w:r>
            <w:r>
              <w:rPr>
                <w:noProof/>
                <w:webHidden/>
              </w:rPr>
              <w:tab/>
            </w:r>
            <w:r>
              <w:rPr>
                <w:noProof/>
                <w:webHidden/>
              </w:rPr>
              <w:fldChar w:fldCharType="begin"/>
            </w:r>
            <w:r>
              <w:rPr>
                <w:noProof/>
                <w:webHidden/>
              </w:rPr>
              <w:instrText xml:space="preserve"> PAGEREF _Toc142469164 \h </w:instrText>
            </w:r>
            <w:r>
              <w:rPr>
                <w:noProof/>
                <w:webHidden/>
              </w:rPr>
            </w:r>
            <w:r>
              <w:rPr>
                <w:noProof/>
                <w:webHidden/>
              </w:rPr>
              <w:fldChar w:fldCharType="separate"/>
            </w:r>
            <w:r>
              <w:rPr>
                <w:noProof/>
                <w:webHidden/>
              </w:rPr>
              <w:t>57</w:t>
            </w:r>
            <w:r>
              <w:rPr>
                <w:noProof/>
                <w:webHidden/>
              </w:rPr>
              <w:fldChar w:fldCharType="end"/>
            </w:r>
          </w:hyperlink>
        </w:p>
        <w:p w:rsidR="004A6B9C" w:rsidRDefault="004A6B9C" w14:paraId="0EB7C8DF" w14:textId="355C7AA6">
          <w:pPr>
            <w:pStyle w:val="TOC1"/>
            <w:rPr>
              <w:rFonts w:asciiTheme="minorHAnsi" w:hAnsiTheme="minorHAnsi" w:eastAsiaTheme="minorEastAsia" w:cstheme="minorBidi"/>
              <w:b w:val="0"/>
              <w:smallCaps w:val="0"/>
              <w:noProof/>
              <w:lang w:val="en-GB" w:eastAsia="en-GB"/>
            </w:rPr>
          </w:pPr>
          <w:hyperlink w:history="1" w:anchor="_Toc142469165">
            <w:r w:rsidRPr="00E700AE">
              <w:rPr>
                <w:rStyle w:val="Hyperlink"/>
                <w:noProof/>
              </w:rPr>
              <w:t>7</w:t>
            </w:r>
            <w:r>
              <w:rPr>
                <w:rFonts w:asciiTheme="minorHAnsi" w:hAnsiTheme="minorHAnsi" w:eastAsiaTheme="minorEastAsia" w:cstheme="minorBidi"/>
                <w:b w:val="0"/>
                <w:smallCaps w:val="0"/>
                <w:noProof/>
                <w:lang w:val="en-GB" w:eastAsia="en-GB"/>
              </w:rPr>
              <w:tab/>
            </w:r>
            <w:r w:rsidRPr="00E700AE">
              <w:rPr>
                <w:rStyle w:val="Hyperlink"/>
                <w:noProof/>
              </w:rPr>
              <w:t>SECTION 7: GBV PREVENTION</w:t>
            </w:r>
            <w:r>
              <w:rPr>
                <w:noProof/>
                <w:webHidden/>
              </w:rPr>
              <w:tab/>
            </w:r>
            <w:r>
              <w:rPr>
                <w:noProof/>
                <w:webHidden/>
              </w:rPr>
              <w:fldChar w:fldCharType="begin"/>
            </w:r>
            <w:r>
              <w:rPr>
                <w:noProof/>
                <w:webHidden/>
              </w:rPr>
              <w:instrText xml:space="preserve"> PAGEREF _Toc142469165 \h </w:instrText>
            </w:r>
            <w:r>
              <w:rPr>
                <w:noProof/>
                <w:webHidden/>
              </w:rPr>
            </w:r>
            <w:r>
              <w:rPr>
                <w:noProof/>
                <w:webHidden/>
              </w:rPr>
              <w:fldChar w:fldCharType="separate"/>
            </w:r>
            <w:r>
              <w:rPr>
                <w:noProof/>
                <w:webHidden/>
              </w:rPr>
              <w:t>58</w:t>
            </w:r>
            <w:r>
              <w:rPr>
                <w:noProof/>
                <w:webHidden/>
              </w:rPr>
              <w:fldChar w:fldCharType="end"/>
            </w:r>
          </w:hyperlink>
        </w:p>
        <w:p w:rsidR="004A6B9C" w:rsidRDefault="004A6B9C" w14:paraId="3BA1C5BD" w14:textId="1B19957D">
          <w:pPr>
            <w:pStyle w:val="TOC1"/>
            <w:rPr>
              <w:rFonts w:asciiTheme="minorHAnsi" w:hAnsiTheme="minorHAnsi" w:eastAsiaTheme="minorEastAsia" w:cstheme="minorBidi"/>
              <w:b w:val="0"/>
              <w:smallCaps w:val="0"/>
              <w:noProof/>
              <w:lang w:val="en-GB" w:eastAsia="en-GB"/>
            </w:rPr>
          </w:pPr>
          <w:hyperlink w:history="1" w:anchor="_Toc142469166">
            <w:r w:rsidRPr="00E700AE">
              <w:rPr>
                <w:rStyle w:val="Hyperlink"/>
                <w:noProof/>
              </w:rPr>
              <w:t>8</w:t>
            </w:r>
            <w:r>
              <w:rPr>
                <w:rFonts w:asciiTheme="minorHAnsi" w:hAnsiTheme="minorHAnsi" w:eastAsiaTheme="minorEastAsia" w:cstheme="minorBidi"/>
                <w:b w:val="0"/>
                <w:smallCaps w:val="0"/>
                <w:noProof/>
                <w:lang w:val="en-GB" w:eastAsia="en-GB"/>
              </w:rPr>
              <w:tab/>
            </w:r>
            <w:r w:rsidRPr="00E700AE">
              <w:rPr>
                <w:rStyle w:val="Hyperlink"/>
                <w:noProof/>
              </w:rPr>
              <w:t>SECTION 8: PREPAREDNESS</w:t>
            </w:r>
            <w:r>
              <w:rPr>
                <w:noProof/>
                <w:webHidden/>
              </w:rPr>
              <w:tab/>
            </w:r>
            <w:r>
              <w:rPr>
                <w:noProof/>
                <w:webHidden/>
              </w:rPr>
              <w:fldChar w:fldCharType="begin"/>
            </w:r>
            <w:r>
              <w:rPr>
                <w:noProof/>
                <w:webHidden/>
              </w:rPr>
              <w:instrText xml:space="preserve"> PAGEREF _Toc142469166 \h </w:instrText>
            </w:r>
            <w:r>
              <w:rPr>
                <w:noProof/>
                <w:webHidden/>
              </w:rPr>
            </w:r>
            <w:r>
              <w:rPr>
                <w:noProof/>
                <w:webHidden/>
              </w:rPr>
              <w:fldChar w:fldCharType="separate"/>
            </w:r>
            <w:r>
              <w:rPr>
                <w:noProof/>
                <w:webHidden/>
              </w:rPr>
              <w:t>60</w:t>
            </w:r>
            <w:r>
              <w:rPr>
                <w:noProof/>
                <w:webHidden/>
              </w:rPr>
              <w:fldChar w:fldCharType="end"/>
            </w:r>
          </w:hyperlink>
        </w:p>
        <w:p w:rsidR="004A6B9C" w:rsidRDefault="004A6B9C" w14:paraId="482BBC60" w14:textId="6152B0DF">
          <w:pPr>
            <w:pStyle w:val="TOC1"/>
            <w:rPr>
              <w:rFonts w:asciiTheme="minorHAnsi" w:hAnsiTheme="minorHAnsi" w:eastAsiaTheme="minorEastAsia" w:cstheme="minorBidi"/>
              <w:b w:val="0"/>
              <w:smallCaps w:val="0"/>
              <w:noProof/>
              <w:lang w:val="en-GB" w:eastAsia="en-GB"/>
            </w:rPr>
          </w:pPr>
          <w:hyperlink w:history="1" w:anchor="_Toc142469167">
            <w:r w:rsidRPr="00E700AE">
              <w:rPr>
                <w:rStyle w:val="Hyperlink"/>
                <w:noProof/>
              </w:rPr>
              <w:t>9</w:t>
            </w:r>
            <w:r>
              <w:rPr>
                <w:rFonts w:asciiTheme="minorHAnsi" w:hAnsiTheme="minorHAnsi" w:eastAsiaTheme="minorEastAsia" w:cstheme="minorBidi"/>
                <w:b w:val="0"/>
                <w:smallCaps w:val="0"/>
                <w:noProof/>
                <w:lang w:val="en-GB" w:eastAsia="en-GB"/>
              </w:rPr>
              <w:tab/>
            </w:r>
            <w:r w:rsidRPr="00E700AE">
              <w:rPr>
                <w:rStyle w:val="Hyperlink"/>
                <w:noProof/>
              </w:rPr>
              <w:t>SECTION 9: COORDINATION</w:t>
            </w:r>
            <w:r>
              <w:rPr>
                <w:noProof/>
                <w:webHidden/>
              </w:rPr>
              <w:tab/>
            </w:r>
            <w:r>
              <w:rPr>
                <w:noProof/>
                <w:webHidden/>
              </w:rPr>
              <w:fldChar w:fldCharType="begin"/>
            </w:r>
            <w:r>
              <w:rPr>
                <w:noProof/>
                <w:webHidden/>
              </w:rPr>
              <w:instrText xml:space="preserve"> PAGEREF _Toc142469167 \h </w:instrText>
            </w:r>
            <w:r>
              <w:rPr>
                <w:noProof/>
                <w:webHidden/>
              </w:rPr>
            </w:r>
            <w:r>
              <w:rPr>
                <w:noProof/>
                <w:webHidden/>
              </w:rPr>
              <w:fldChar w:fldCharType="separate"/>
            </w:r>
            <w:r>
              <w:rPr>
                <w:noProof/>
                <w:webHidden/>
              </w:rPr>
              <w:t>62</w:t>
            </w:r>
            <w:r>
              <w:rPr>
                <w:noProof/>
                <w:webHidden/>
              </w:rPr>
              <w:fldChar w:fldCharType="end"/>
            </w:r>
          </w:hyperlink>
        </w:p>
        <w:p w:rsidR="004A6B9C" w:rsidRDefault="004A6B9C" w14:paraId="50E68B1C" w14:textId="630F979B">
          <w:pPr>
            <w:pStyle w:val="TOC2"/>
            <w:rPr>
              <w:rFonts w:asciiTheme="minorHAnsi" w:hAnsiTheme="minorHAnsi" w:eastAsiaTheme="minorEastAsia" w:cstheme="minorBidi"/>
              <w:noProof/>
              <w:lang w:val="en-GB" w:eastAsia="en-GB"/>
            </w:rPr>
          </w:pPr>
          <w:hyperlink w:history="1" w:anchor="_Toc142469168">
            <w:r w:rsidRPr="00E700AE">
              <w:rPr>
                <w:rStyle w:val="Hyperlink"/>
                <w:noProof/>
              </w:rPr>
              <w:t>9.1</w:t>
            </w:r>
            <w:r>
              <w:rPr>
                <w:rFonts w:asciiTheme="minorHAnsi" w:hAnsiTheme="minorHAnsi" w:eastAsiaTheme="minorEastAsia" w:cstheme="minorBidi"/>
                <w:noProof/>
                <w:lang w:val="en-GB" w:eastAsia="en-GB"/>
              </w:rPr>
              <w:tab/>
            </w:r>
            <w:r w:rsidRPr="00E700AE">
              <w:rPr>
                <w:rStyle w:val="Hyperlink"/>
                <w:noProof/>
              </w:rPr>
              <w:t>Coordination among GBV specialized actors and other service providers</w:t>
            </w:r>
            <w:r>
              <w:rPr>
                <w:noProof/>
                <w:webHidden/>
              </w:rPr>
              <w:tab/>
            </w:r>
            <w:r>
              <w:rPr>
                <w:noProof/>
                <w:webHidden/>
              </w:rPr>
              <w:fldChar w:fldCharType="begin"/>
            </w:r>
            <w:r>
              <w:rPr>
                <w:noProof/>
                <w:webHidden/>
              </w:rPr>
              <w:instrText xml:space="preserve"> PAGEREF _Toc142469168 \h </w:instrText>
            </w:r>
            <w:r>
              <w:rPr>
                <w:noProof/>
                <w:webHidden/>
              </w:rPr>
            </w:r>
            <w:r>
              <w:rPr>
                <w:noProof/>
                <w:webHidden/>
              </w:rPr>
              <w:fldChar w:fldCharType="separate"/>
            </w:r>
            <w:r>
              <w:rPr>
                <w:noProof/>
                <w:webHidden/>
              </w:rPr>
              <w:t>62</w:t>
            </w:r>
            <w:r>
              <w:rPr>
                <w:noProof/>
                <w:webHidden/>
              </w:rPr>
              <w:fldChar w:fldCharType="end"/>
            </w:r>
          </w:hyperlink>
        </w:p>
        <w:p w:rsidR="004A6B9C" w:rsidRDefault="004A6B9C" w14:paraId="3773A204" w14:textId="1CBB7A7A">
          <w:pPr>
            <w:pStyle w:val="TOC3"/>
            <w:rPr>
              <w:rFonts w:asciiTheme="minorHAnsi" w:hAnsiTheme="minorHAnsi" w:eastAsiaTheme="minorEastAsia" w:cstheme="minorBidi"/>
              <w:i w:val="0"/>
              <w:noProof/>
              <w:lang w:val="en-GB" w:eastAsia="en-GB"/>
            </w:rPr>
          </w:pPr>
          <w:hyperlink w:history="1" w:anchor="_Toc142469169">
            <w:r w:rsidRPr="00E700AE">
              <w:rPr>
                <w:rStyle w:val="Hyperlink"/>
                <w:noProof/>
              </w:rPr>
              <w:t>9.1.1</w:t>
            </w:r>
            <w:r>
              <w:rPr>
                <w:rFonts w:asciiTheme="minorHAnsi" w:hAnsiTheme="minorHAnsi" w:eastAsiaTheme="minorEastAsia" w:cstheme="minorBidi"/>
                <w:i w:val="0"/>
                <w:noProof/>
                <w:lang w:val="en-GB" w:eastAsia="en-GB"/>
              </w:rPr>
              <w:tab/>
            </w:r>
            <w:r w:rsidRPr="00E700AE">
              <w:rPr>
                <w:rStyle w:val="Hyperlink"/>
                <w:noProof/>
              </w:rPr>
              <w:t>Information management for coordination purposes</w:t>
            </w:r>
            <w:r>
              <w:rPr>
                <w:noProof/>
                <w:webHidden/>
              </w:rPr>
              <w:tab/>
            </w:r>
            <w:r>
              <w:rPr>
                <w:noProof/>
                <w:webHidden/>
              </w:rPr>
              <w:fldChar w:fldCharType="begin"/>
            </w:r>
            <w:r>
              <w:rPr>
                <w:noProof/>
                <w:webHidden/>
              </w:rPr>
              <w:instrText xml:space="preserve"> PAGEREF _Toc142469169 \h </w:instrText>
            </w:r>
            <w:r>
              <w:rPr>
                <w:noProof/>
                <w:webHidden/>
              </w:rPr>
            </w:r>
            <w:r>
              <w:rPr>
                <w:noProof/>
                <w:webHidden/>
              </w:rPr>
              <w:fldChar w:fldCharType="separate"/>
            </w:r>
            <w:r>
              <w:rPr>
                <w:noProof/>
                <w:webHidden/>
              </w:rPr>
              <w:t>64</w:t>
            </w:r>
            <w:r>
              <w:rPr>
                <w:noProof/>
                <w:webHidden/>
              </w:rPr>
              <w:fldChar w:fldCharType="end"/>
            </w:r>
          </w:hyperlink>
        </w:p>
        <w:p w:rsidR="004A6B9C" w:rsidRDefault="004A6B9C" w14:paraId="6A1B3C0E" w14:textId="23CC6ED7">
          <w:pPr>
            <w:pStyle w:val="TOC2"/>
            <w:rPr>
              <w:rFonts w:asciiTheme="minorHAnsi" w:hAnsiTheme="minorHAnsi" w:eastAsiaTheme="minorEastAsia" w:cstheme="minorBidi"/>
              <w:noProof/>
              <w:lang w:val="en-GB" w:eastAsia="en-GB"/>
            </w:rPr>
          </w:pPr>
          <w:hyperlink w:history="1" w:anchor="_Toc142469170">
            <w:r w:rsidRPr="00E700AE">
              <w:rPr>
                <w:rStyle w:val="Hyperlink"/>
                <w:noProof/>
              </w:rPr>
              <w:t>9.2</w:t>
            </w:r>
            <w:r>
              <w:rPr>
                <w:rFonts w:asciiTheme="minorHAnsi" w:hAnsiTheme="minorHAnsi" w:eastAsiaTheme="minorEastAsia" w:cstheme="minorBidi"/>
                <w:noProof/>
                <w:lang w:val="en-GB" w:eastAsia="en-GB"/>
              </w:rPr>
              <w:tab/>
            </w:r>
            <w:r w:rsidRPr="00E700AE">
              <w:rPr>
                <w:rStyle w:val="Hyperlink"/>
                <w:noProof/>
              </w:rPr>
              <w:t>Coordination with other sectors</w:t>
            </w:r>
            <w:r>
              <w:rPr>
                <w:noProof/>
                <w:webHidden/>
              </w:rPr>
              <w:tab/>
            </w:r>
            <w:r>
              <w:rPr>
                <w:noProof/>
                <w:webHidden/>
              </w:rPr>
              <w:fldChar w:fldCharType="begin"/>
            </w:r>
            <w:r>
              <w:rPr>
                <w:noProof/>
                <w:webHidden/>
              </w:rPr>
              <w:instrText xml:space="preserve"> PAGEREF _Toc142469170 \h </w:instrText>
            </w:r>
            <w:r>
              <w:rPr>
                <w:noProof/>
                <w:webHidden/>
              </w:rPr>
            </w:r>
            <w:r>
              <w:rPr>
                <w:noProof/>
                <w:webHidden/>
              </w:rPr>
              <w:fldChar w:fldCharType="separate"/>
            </w:r>
            <w:r>
              <w:rPr>
                <w:noProof/>
                <w:webHidden/>
              </w:rPr>
              <w:t>66</w:t>
            </w:r>
            <w:r>
              <w:rPr>
                <w:noProof/>
                <w:webHidden/>
              </w:rPr>
              <w:fldChar w:fldCharType="end"/>
            </w:r>
          </w:hyperlink>
        </w:p>
        <w:p w:rsidR="004A6B9C" w:rsidRDefault="004A6B9C" w14:paraId="75E9CFD4" w14:textId="74C501DF">
          <w:r>
            <w:rPr>
              <w:b/>
              <w:bCs/>
              <w:noProof/>
            </w:rPr>
            <w:fldChar w:fldCharType="end"/>
          </w:r>
        </w:p>
      </w:sdtContent>
    </w:sdt>
    <w:p w:rsidR="002B0DD7" w:rsidRDefault="002B0DD7" w14:paraId="616134A4" w14:textId="77777777">
      <w:pPr>
        <w:rPr>
          <w:b/>
          <w:bCs/>
          <w:color w:val="0070C0"/>
          <w:sz w:val="36"/>
          <w:szCs w:val="36"/>
        </w:rPr>
      </w:pPr>
      <w:r>
        <w:rPr>
          <w:b/>
          <w:bCs/>
          <w:color w:val="0070C0"/>
          <w:sz w:val="36"/>
          <w:szCs w:val="36"/>
        </w:rPr>
        <w:br w:type="page"/>
      </w:r>
    </w:p>
    <w:p w:rsidRPr="005703F3" w:rsidR="002C7D0E" w:rsidP="005703F3" w:rsidRDefault="002C7D0E" w14:paraId="765FB3F3" w14:textId="77777777">
      <w:pPr>
        <w:rPr>
          <w:b/>
          <w:bCs/>
          <w:lang w:val="en-GB"/>
        </w:rPr>
      </w:pPr>
      <w:bookmarkStart w:name="_heading=h.shujpvgldgvj" w:colFirst="0" w:colLast="0" w:id="0"/>
      <w:bookmarkEnd w:id="0"/>
      <w:r w:rsidRPr="005703F3">
        <w:rPr>
          <w:b/>
          <w:bCs/>
          <w:lang w:val="en-GB"/>
        </w:rPr>
        <w:t>Acronyms</w:t>
      </w:r>
    </w:p>
    <w:p w:rsidRPr="002C7D0E" w:rsidR="002C7D0E" w:rsidP="002C7D0E" w:rsidRDefault="002C7D0E" w14:paraId="5087662A" w14:textId="77777777">
      <w:pPr>
        <w:spacing w:before="120" w:after="120" w:line="240" w:lineRule="auto"/>
        <w:jc w:val="both"/>
        <w:rPr>
          <w:i/>
          <w:iCs/>
          <w:lang w:val="en-GB"/>
        </w:rPr>
      </w:pPr>
      <w:r w:rsidRPr="002C7D0E">
        <w:rPr>
          <w:i/>
          <w:iCs/>
          <w:color w:val="0070C0"/>
          <w:lang w:val="en-GB"/>
        </w:rPr>
        <w:t>[To be filled in when SOPs are completed.]</w:t>
      </w:r>
    </w:p>
    <w:p w:rsidRPr="00585205" w:rsidR="002C7D0E" w:rsidP="002C7D0E" w:rsidRDefault="002C7D0E" w14:paraId="756740E1" w14:textId="77777777">
      <w:pPr>
        <w:spacing w:before="120" w:after="120" w:line="240" w:lineRule="auto"/>
        <w:jc w:val="both"/>
        <w:rPr>
          <w:b/>
          <w:lang w:val="en-GB"/>
        </w:rPr>
      </w:pPr>
    </w:p>
    <w:p w:rsidRPr="005703F3" w:rsidR="002C7D0E" w:rsidP="005703F3" w:rsidRDefault="002C7D0E" w14:paraId="1530FFF6" w14:textId="77777777">
      <w:pPr>
        <w:rPr>
          <w:b/>
          <w:bCs/>
          <w:lang w:val="en-GB"/>
        </w:rPr>
      </w:pPr>
      <w:r w:rsidRPr="005703F3">
        <w:rPr>
          <w:b/>
          <w:bCs/>
          <w:lang w:val="en-GB"/>
        </w:rPr>
        <w:t>Definitions</w:t>
      </w:r>
    </w:p>
    <w:p w:rsidRPr="002C7D0E" w:rsidR="002C7D0E" w:rsidP="002C7D0E" w:rsidRDefault="002C7D0E" w14:paraId="13D83C8A" w14:textId="77777777">
      <w:pPr>
        <w:spacing w:before="120" w:after="120" w:line="240" w:lineRule="auto"/>
        <w:jc w:val="both"/>
        <w:rPr>
          <w:i/>
          <w:iCs/>
          <w:color w:val="0070C0"/>
          <w:lang w:val="en-GB"/>
        </w:rPr>
      </w:pPr>
      <w:r w:rsidRPr="002C7D0E">
        <w:rPr>
          <w:i/>
          <w:iCs/>
          <w:color w:val="0070C0"/>
          <w:lang w:val="en-GB"/>
        </w:rPr>
        <w:t>[To be filled in when SOPs are completed.]</w:t>
      </w:r>
    </w:p>
    <w:p w:rsidRPr="002C7D0E" w:rsidR="002C7D0E" w:rsidP="00E82689" w:rsidRDefault="002C7D0E" w14:paraId="42313F8C" w14:textId="77777777">
      <w:pPr>
        <w:spacing w:before="120" w:after="120"/>
        <w:jc w:val="both"/>
        <w:rPr>
          <w:b/>
          <w:bCs/>
          <w:color w:val="0070C0"/>
          <w:lang w:val="en-GB"/>
        </w:rPr>
      </w:pPr>
    </w:p>
    <w:p w:rsidRPr="00876734" w:rsidR="001D323A" w:rsidP="00E82689" w:rsidRDefault="00CE2830" w14:paraId="7E28F79D" w14:textId="0F621E4E">
      <w:pPr>
        <w:spacing w:before="120" w:after="120"/>
        <w:jc w:val="both"/>
        <w:rPr>
          <w:color w:val="0070C0"/>
        </w:rPr>
      </w:pPr>
      <w:r w:rsidRPr="00876734">
        <w:rPr>
          <w:b/>
          <w:bCs/>
          <w:color w:val="0070C0"/>
        </w:rPr>
        <w:t>DEFINITIONS</w:t>
      </w:r>
    </w:p>
    <w:p w:rsidRPr="009F7561" w:rsidR="001D323A" w:rsidP="00D04AC2" w:rsidRDefault="00CE2830" w14:paraId="7E28F79F" w14:textId="309B755E">
      <w:pPr>
        <w:spacing w:before="120" w:after="120" w:line="300" w:lineRule="atLeast"/>
        <w:jc w:val="both"/>
        <w:rPr>
          <w:lang w:val="en-GB"/>
        </w:rPr>
      </w:pPr>
      <w:r w:rsidRPr="009F7561">
        <w:rPr>
          <w:lang w:val="en-GB"/>
        </w:rPr>
        <w:t>Common terms and definitions used in this document are defined below and listed in alphabetical order.</w:t>
      </w:r>
      <w:r w:rsidRPr="009F7561">
        <w:rPr>
          <w:vertAlign w:val="superscript"/>
          <w:lang w:val="en-GB"/>
        </w:rPr>
        <w:footnoteReference w:id="5"/>
      </w:r>
      <w:r w:rsidRPr="009F7561">
        <w:rPr>
          <w:lang w:val="en-GB"/>
        </w:rPr>
        <w:t xml:space="preserve"> These terms and definitions are not legal </w:t>
      </w:r>
      <w:r w:rsidRPr="009F7561" w:rsidR="00A414B9">
        <w:rPr>
          <w:lang w:val="en-GB"/>
        </w:rPr>
        <w:t>definitions,</w:t>
      </w:r>
      <w:r w:rsidRPr="009F7561">
        <w:rPr>
          <w:lang w:val="en-GB"/>
        </w:rPr>
        <w:t xml:space="preserve"> nor </w:t>
      </w:r>
      <w:r w:rsidRPr="009F7561" w:rsidR="00B66914">
        <w:rPr>
          <w:lang w:val="en-GB"/>
        </w:rPr>
        <w:t xml:space="preserve">are they </w:t>
      </w:r>
      <w:r w:rsidRPr="009F7561">
        <w:rPr>
          <w:lang w:val="en-GB"/>
        </w:rPr>
        <w:t xml:space="preserve">intended as such. The definitions of many of the types of violence provided here are based on commonly accepted </w:t>
      </w:r>
      <w:r w:rsidRPr="009F7561" w:rsidR="00BD7257">
        <w:rPr>
          <w:lang w:val="en-GB"/>
        </w:rPr>
        <w:t xml:space="preserve">global </w:t>
      </w:r>
      <w:r w:rsidRPr="009F7561">
        <w:rPr>
          <w:lang w:val="en-GB"/>
        </w:rPr>
        <w:t xml:space="preserve">standards. Local and national legal systems may define these terms differently and/or may have other legally recognized forms of GBV that are not universally accepted as GBV. When developing the SOPs, the list of definitions </w:t>
      </w:r>
      <w:r w:rsidR="00B83B3D">
        <w:rPr>
          <w:lang w:val="en-GB"/>
        </w:rPr>
        <w:t xml:space="preserve">should be </w:t>
      </w:r>
      <w:r w:rsidRPr="009F7561">
        <w:rPr>
          <w:lang w:val="en-GB"/>
        </w:rPr>
        <w:t>revised and aligned with terminology used in context.</w:t>
      </w:r>
    </w:p>
    <w:p w:rsidRPr="009F7561" w:rsidR="001D323A" w:rsidP="00D04AC2" w:rsidRDefault="00CE2830" w14:paraId="7E28F7A1" w14:textId="6FD02487">
      <w:pPr>
        <w:spacing w:before="120" w:after="120" w:line="300" w:lineRule="atLeast"/>
        <w:jc w:val="both"/>
        <w:rPr>
          <w:lang w:val="en-GB"/>
        </w:rPr>
      </w:pPr>
      <w:r w:rsidRPr="009F7561">
        <w:rPr>
          <w:b/>
          <w:lang w:val="en-GB"/>
        </w:rPr>
        <w:t>Actor(s)</w:t>
      </w:r>
      <w:r w:rsidRPr="009F7561">
        <w:rPr>
          <w:lang w:val="en-GB"/>
        </w:rPr>
        <w:t>: Refers to individuals, groups, organ</w:t>
      </w:r>
      <w:r w:rsidRPr="009F7561" w:rsidR="002D1850">
        <w:rPr>
          <w:lang w:val="en-GB"/>
        </w:rPr>
        <w:t>iza</w:t>
      </w:r>
      <w:r w:rsidRPr="009F7561">
        <w:rPr>
          <w:lang w:val="en-GB"/>
        </w:rPr>
        <w:t>tions</w:t>
      </w:r>
      <w:r w:rsidRPr="009F7561" w:rsidR="00396FBD">
        <w:rPr>
          <w:lang w:val="en-GB"/>
        </w:rPr>
        <w:t xml:space="preserve"> and </w:t>
      </w:r>
      <w:r w:rsidRPr="009F7561">
        <w:rPr>
          <w:lang w:val="en-GB"/>
        </w:rPr>
        <w:t>institutions involved in responding to, mitigating and preventing gender-based violence. Actors may be refugees/internally displaced persons, stateless persons, local populations, employees</w:t>
      </w:r>
      <w:r w:rsidRPr="009F7561" w:rsidR="00461384">
        <w:rPr>
          <w:lang w:val="en-GB"/>
        </w:rPr>
        <w:t xml:space="preserve"> or </w:t>
      </w:r>
      <w:r w:rsidRPr="009F7561">
        <w:rPr>
          <w:lang w:val="en-GB"/>
        </w:rPr>
        <w:t>volunteers of UN and all other agencies and organ</w:t>
      </w:r>
      <w:r w:rsidRPr="009F7561" w:rsidR="002D1850">
        <w:rPr>
          <w:lang w:val="en-GB"/>
        </w:rPr>
        <w:t>iza</w:t>
      </w:r>
      <w:r w:rsidRPr="009F7561">
        <w:rPr>
          <w:lang w:val="en-GB"/>
        </w:rPr>
        <w:t>tions, NGOs, host government institutions, donors</w:t>
      </w:r>
      <w:r w:rsidRPr="009F7561" w:rsidR="00396FBD">
        <w:rPr>
          <w:lang w:val="en-GB"/>
        </w:rPr>
        <w:t xml:space="preserve"> and </w:t>
      </w:r>
      <w:r w:rsidRPr="009F7561">
        <w:rPr>
          <w:lang w:val="en-GB"/>
        </w:rPr>
        <w:t>other members of the international community.</w:t>
      </w:r>
    </w:p>
    <w:p w:rsidRPr="009F7561" w:rsidR="001D323A" w:rsidP="00D04AC2" w:rsidRDefault="00CE2830" w14:paraId="7E28F7A3" w14:textId="35415D31">
      <w:pPr>
        <w:spacing w:before="120" w:after="120" w:line="300" w:lineRule="atLeast"/>
        <w:jc w:val="both"/>
        <w:rPr>
          <w:lang w:val="en-GB"/>
        </w:rPr>
      </w:pPr>
      <w:r w:rsidRPr="009F7561">
        <w:rPr>
          <w:b/>
          <w:lang w:val="en-GB"/>
        </w:rPr>
        <w:t>Adolescence</w:t>
      </w:r>
      <w:r w:rsidRPr="009F7561">
        <w:rPr>
          <w:lang w:val="en-GB"/>
        </w:rPr>
        <w:t>: Defined as the period between ages 10 and 19 years old. It is a continuum of development in a person</w:t>
      </w:r>
      <w:r w:rsidRPr="009F7561" w:rsidR="00315391">
        <w:rPr>
          <w:lang w:val="en-GB"/>
        </w:rPr>
        <w:t>’s</w:t>
      </w:r>
      <w:r w:rsidRPr="009F7561">
        <w:rPr>
          <w:lang w:val="en-GB"/>
        </w:rPr>
        <w:t xml:space="preserve"> physical, cognitive, </w:t>
      </w:r>
      <w:r w:rsidRPr="009F7561" w:rsidR="006F0115">
        <w:rPr>
          <w:lang w:val="en-GB"/>
        </w:rPr>
        <w:t>behavioural</w:t>
      </w:r>
      <w:r w:rsidRPr="009F7561">
        <w:rPr>
          <w:lang w:val="en-GB"/>
        </w:rPr>
        <w:t xml:space="preserve"> and psychosocial spheres.</w:t>
      </w:r>
    </w:p>
    <w:p w:rsidRPr="009F7561" w:rsidR="001D323A" w:rsidP="00D04AC2" w:rsidRDefault="00CE2830" w14:paraId="7E28F7A5" w14:textId="4D5F14CA">
      <w:pPr>
        <w:spacing w:before="120" w:after="120" w:line="300" w:lineRule="atLeast"/>
        <w:jc w:val="both"/>
        <w:rPr>
          <w:lang w:val="en-GB"/>
        </w:rPr>
      </w:pPr>
      <w:r w:rsidRPr="009F7561">
        <w:rPr>
          <w:b/>
          <w:lang w:val="en-GB"/>
        </w:rPr>
        <w:t>Adolescent</w:t>
      </w:r>
      <w:r w:rsidRPr="009F7561">
        <w:rPr>
          <w:lang w:val="en-GB"/>
        </w:rPr>
        <w:t>: Any person between the ages of 10-19 years old.</w:t>
      </w:r>
      <w:r w:rsidRPr="009F7561">
        <w:rPr>
          <w:vertAlign w:val="superscript"/>
          <w:lang w:val="en-GB"/>
        </w:rPr>
        <w:t xml:space="preserve"> </w:t>
      </w:r>
      <w:r w:rsidRPr="009F7561">
        <w:rPr>
          <w:lang w:val="en-GB"/>
        </w:rPr>
        <w:t>Adolescence can be broken down into the following sub-group: pre-adolescence (9–10), early adolescence (10–14), middle adolescence (15–17) and late adolescence (18–19).</w:t>
      </w:r>
      <w:r w:rsidRPr="009F7561">
        <w:rPr>
          <w:vertAlign w:val="superscript"/>
          <w:lang w:val="en-GB"/>
        </w:rPr>
        <w:footnoteReference w:id="6"/>
      </w:r>
    </w:p>
    <w:p w:rsidRPr="009F7561" w:rsidR="001D323A" w:rsidP="00D04AC2" w:rsidRDefault="00CE2830" w14:paraId="7E28F7A7" w14:textId="77777777">
      <w:pPr>
        <w:spacing w:before="120" w:after="120" w:line="300" w:lineRule="atLeast"/>
        <w:jc w:val="both"/>
        <w:rPr>
          <w:lang w:val="en-GB"/>
        </w:rPr>
      </w:pPr>
      <w:r w:rsidRPr="009F7561">
        <w:rPr>
          <w:b/>
          <w:lang w:val="en-GB"/>
        </w:rPr>
        <w:t>Adult</w:t>
      </w:r>
      <w:r w:rsidRPr="009F7561">
        <w:rPr>
          <w:lang w:val="en-GB"/>
        </w:rPr>
        <w:t>: Any person 18 years and older.</w:t>
      </w:r>
    </w:p>
    <w:p w:rsidRPr="009F7561" w:rsidR="001D323A" w:rsidP="00D04AC2" w:rsidRDefault="00CE2830" w14:paraId="7E28F7A9" w14:textId="27A0E0CB">
      <w:pPr>
        <w:spacing w:before="120" w:after="120" w:line="300" w:lineRule="atLeast"/>
        <w:jc w:val="both"/>
        <w:rPr>
          <w:lang w:val="en-GB"/>
        </w:rPr>
      </w:pPr>
      <w:r w:rsidRPr="009F7561">
        <w:rPr>
          <w:b/>
          <w:lang w:val="en-GB"/>
        </w:rPr>
        <w:t>Advocacy</w:t>
      </w:r>
      <w:r w:rsidRPr="009F7561">
        <w:rPr>
          <w:lang w:val="en-GB"/>
        </w:rPr>
        <w:t>: The deliberate and strategic use of information, initiated by individuals or groups of individuals, to bring about change. Advocacy work includes employing strategies to influence decision makers and policies</w:t>
      </w:r>
      <w:r w:rsidRPr="009F7561" w:rsidR="009D4EA0">
        <w:rPr>
          <w:lang w:val="en-GB"/>
        </w:rPr>
        <w:t xml:space="preserve"> with a view</w:t>
      </w:r>
      <w:r w:rsidRPr="009F7561">
        <w:rPr>
          <w:lang w:val="en-GB"/>
        </w:rPr>
        <w:t xml:space="preserve"> to changing attitudes, power relations, social relations and institutional functioning to improve the situation for groups of individuals who share similar problems.</w:t>
      </w:r>
      <w:r w:rsidRPr="009F7561">
        <w:rPr>
          <w:vertAlign w:val="superscript"/>
          <w:lang w:val="en-GB"/>
        </w:rPr>
        <w:footnoteReference w:id="7"/>
      </w:r>
      <w:r w:rsidRPr="009F7561">
        <w:rPr>
          <w:lang w:val="en-GB"/>
        </w:rPr>
        <w:t xml:space="preserve"> </w:t>
      </w:r>
    </w:p>
    <w:p w:rsidRPr="009F7561" w:rsidR="001D323A" w:rsidP="00D04AC2" w:rsidRDefault="00CE2830" w14:paraId="7E28F7AD" w14:textId="7AF5286A">
      <w:pPr>
        <w:spacing w:before="120" w:after="120" w:line="300" w:lineRule="atLeast"/>
        <w:jc w:val="both"/>
        <w:rPr>
          <w:lang w:val="en-GB"/>
        </w:rPr>
      </w:pPr>
      <w:r w:rsidRPr="009F7561">
        <w:rPr>
          <w:b/>
          <w:lang w:val="en-GB"/>
        </w:rPr>
        <w:t>Affected p</w:t>
      </w:r>
      <w:sdt>
        <w:sdtPr>
          <w:rPr>
            <w:lang w:val="en-GB"/>
          </w:rPr>
          <w:tag w:val="goog_rdk_68"/>
          <w:id w:val="-658462563"/>
        </w:sdtPr>
        <w:sdtEndPr/>
        <w:sdtContent>
          <w:r w:rsidRPr="009F7561">
            <w:rPr>
              <w:b/>
              <w:lang w:val="en-GB"/>
            </w:rPr>
            <w:t>eo</w:t>
          </w:r>
        </w:sdtContent>
      </w:sdt>
      <w:r w:rsidRPr="009F7561">
        <w:rPr>
          <w:b/>
          <w:lang w:val="en-GB"/>
        </w:rPr>
        <w:t>ple</w:t>
      </w:r>
      <w:r w:rsidR="00D04AC2">
        <w:rPr>
          <w:b/>
          <w:lang w:val="en-GB"/>
        </w:rPr>
        <w:t xml:space="preserve">: </w:t>
      </w:r>
      <w:r w:rsidRPr="009F7561">
        <w:rPr>
          <w:lang w:val="en-GB"/>
        </w:rPr>
        <w:t xml:space="preserve">For UNHCR, the terms affected people and affected populations, common in </w:t>
      </w:r>
      <w:r w:rsidR="00B51A45">
        <w:rPr>
          <w:lang w:val="en-GB"/>
        </w:rPr>
        <w:t>inter-agency</w:t>
      </w:r>
      <w:r w:rsidRPr="009F7561">
        <w:rPr>
          <w:lang w:val="en-GB"/>
        </w:rPr>
        <w:t xml:space="preserve"> settings, generally refer to persons of concern to UNHCR, in line with the </w:t>
      </w:r>
      <w:r w:rsidRPr="009F7561" w:rsidR="00DE1F1A">
        <w:rPr>
          <w:lang w:val="en-GB"/>
        </w:rPr>
        <w:t>organization</w:t>
      </w:r>
      <w:r w:rsidRPr="009F7561" w:rsidR="00315391">
        <w:rPr>
          <w:lang w:val="en-GB"/>
        </w:rPr>
        <w:t>’s</w:t>
      </w:r>
      <w:r w:rsidRPr="009F7561" w:rsidR="00DE1F1A">
        <w:rPr>
          <w:lang w:val="en-GB"/>
        </w:rPr>
        <w:t xml:space="preserve"> </w:t>
      </w:r>
      <w:r w:rsidRPr="009F7561">
        <w:rPr>
          <w:lang w:val="en-GB"/>
        </w:rPr>
        <w:t>mandate for refugees, asylum-seekers, refugee returnees, stateless people</w:t>
      </w:r>
      <w:r w:rsidRPr="009F7561" w:rsidR="00396FBD">
        <w:rPr>
          <w:lang w:val="en-GB"/>
        </w:rPr>
        <w:t xml:space="preserve"> and </w:t>
      </w:r>
      <w:r w:rsidRPr="009F7561">
        <w:rPr>
          <w:lang w:val="en-GB"/>
        </w:rPr>
        <w:t>the internally displaced. In many situations, affected people may also refer to communities hosting persons of concern to UNHCR</w:t>
      </w:r>
      <w:r w:rsidRPr="009F7561" w:rsidR="00DE1F1A">
        <w:rPr>
          <w:lang w:val="en-GB"/>
        </w:rPr>
        <w:t>.</w:t>
      </w:r>
      <w:r w:rsidRPr="009F7561">
        <w:rPr>
          <w:vertAlign w:val="superscript"/>
          <w:lang w:val="en-GB"/>
        </w:rPr>
        <w:footnoteReference w:id="8"/>
      </w:r>
    </w:p>
    <w:p w:rsidRPr="009F7561" w:rsidR="001D323A" w:rsidP="00D04AC2" w:rsidRDefault="00CE2830" w14:paraId="7E28F7AF" w14:textId="4380D413">
      <w:pPr>
        <w:spacing w:before="120" w:after="120" w:line="300" w:lineRule="atLeast"/>
        <w:jc w:val="both"/>
        <w:rPr>
          <w:lang w:val="en-GB"/>
        </w:rPr>
      </w:pPr>
      <w:r w:rsidRPr="009F7561">
        <w:rPr>
          <w:b/>
          <w:lang w:val="en-GB"/>
        </w:rPr>
        <w:t>Assessment</w:t>
      </w:r>
      <w:r w:rsidRPr="009F7561">
        <w:rPr>
          <w:lang w:val="en-GB"/>
        </w:rPr>
        <w:t>:</w:t>
      </w:r>
      <w:r w:rsidRPr="009F7561">
        <w:rPr>
          <w:b/>
          <w:lang w:val="en-GB"/>
        </w:rPr>
        <w:t xml:space="preserve"> </w:t>
      </w:r>
      <w:r w:rsidRPr="009F7561">
        <w:rPr>
          <w:lang w:val="en-GB"/>
        </w:rPr>
        <w:t>Assessments can be defined as the set of activities necessary to understand a given situation. They include the collection, up-dating and analysis of data pertaining to the population of concern (needs, capacities, resources, etc.) as well as the state of infrastructure and general socio</w:t>
      </w:r>
      <w:r w:rsidRPr="009F7561" w:rsidR="00FD1969">
        <w:rPr>
          <w:lang w:val="en-GB"/>
        </w:rPr>
        <w:t>-</w:t>
      </w:r>
      <w:r w:rsidRPr="009F7561">
        <w:rPr>
          <w:lang w:val="en-GB"/>
        </w:rPr>
        <w:t>economic conditions in a given location/area. In humanitarian settings, NGOs and United Nations agencies often carry out assessments to identify community needs and gaps in coordination and then use this information to design effective interventions.</w:t>
      </w:r>
      <w:r w:rsidRPr="009F7561">
        <w:rPr>
          <w:vertAlign w:val="superscript"/>
          <w:lang w:val="en-GB"/>
        </w:rPr>
        <w:footnoteReference w:id="9"/>
      </w:r>
    </w:p>
    <w:p w:rsidRPr="009F7561" w:rsidR="001D323A" w:rsidP="00D04AC2" w:rsidRDefault="00CE2830" w14:paraId="7E28F7B1" w14:textId="4A2ED5D4">
      <w:pPr>
        <w:spacing w:before="120" w:after="120" w:line="300" w:lineRule="atLeast"/>
        <w:jc w:val="both"/>
        <w:rPr>
          <w:lang w:val="en-GB"/>
        </w:rPr>
      </w:pPr>
      <w:r w:rsidRPr="009F7561">
        <w:rPr>
          <w:b/>
          <w:lang w:val="en-GB"/>
        </w:rPr>
        <w:t>Asylum seekers</w:t>
      </w:r>
      <w:r w:rsidRPr="009F7561">
        <w:rPr>
          <w:lang w:val="en-GB"/>
        </w:rPr>
        <w:t>: An individual who is seeking international protection. In countries with individualized procedures, an asylum-seeker is someone whose claim has not yet been finally decided on by the country in which the claim is submitted. Not every asylum-seeker will ultimately be recognized as a refugee, but every refugee was initially an asylum-seeker</w:t>
      </w:r>
      <w:r w:rsidRPr="009F7561" w:rsidR="00F83B7B">
        <w:rPr>
          <w:lang w:val="en-GB"/>
        </w:rPr>
        <w:t>.</w:t>
      </w:r>
      <w:r w:rsidRPr="009F7561">
        <w:rPr>
          <w:vertAlign w:val="superscript"/>
          <w:lang w:val="en-GB"/>
        </w:rPr>
        <w:footnoteReference w:id="10"/>
      </w:r>
    </w:p>
    <w:p w:rsidRPr="009F7561" w:rsidR="001D323A" w:rsidP="00D04AC2" w:rsidRDefault="00CE2830" w14:paraId="7E28F7B3" w14:textId="4054ACDA">
      <w:pPr>
        <w:spacing w:before="120" w:after="120" w:line="300" w:lineRule="atLeast"/>
        <w:jc w:val="both"/>
        <w:rPr>
          <w:lang w:val="en-GB"/>
        </w:rPr>
      </w:pPr>
      <w:r w:rsidRPr="009F7561">
        <w:rPr>
          <w:b/>
          <w:lang w:val="en-GB"/>
        </w:rPr>
        <w:t>Case action plan</w:t>
      </w:r>
      <w:r w:rsidRPr="009F7561">
        <w:rPr>
          <w:lang w:val="en-GB"/>
        </w:rPr>
        <w:t>:</w:t>
      </w:r>
      <w:r w:rsidRPr="009F7561">
        <w:rPr>
          <w:b/>
          <w:lang w:val="en-GB"/>
        </w:rPr>
        <w:t xml:space="preserve"> </w:t>
      </w:r>
      <w:r w:rsidRPr="009F7561">
        <w:rPr>
          <w:lang w:val="en-GB"/>
        </w:rPr>
        <w:t>The case document that outlines the main needs of the survivor and goals and strategies for meeting their needs and improving their current condition</w:t>
      </w:r>
      <w:r w:rsidRPr="009F7561" w:rsidR="006A401B">
        <w:rPr>
          <w:lang w:val="en-GB"/>
        </w:rPr>
        <w:t>.</w:t>
      </w:r>
      <w:r w:rsidRPr="009F7561">
        <w:rPr>
          <w:vertAlign w:val="superscript"/>
          <w:lang w:val="en-GB"/>
        </w:rPr>
        <w:footnoteReference w:id="11"/>
      </w:r>
      <w:r w:rsidRPr="009F7561">
        <w:rPr>
          <w:lang w:val="en-GB"/>
        </w:rPr>
        <w:t xml:space="preserve"> </w:t>
      </w:r>
    </w:p>
    <w:p w:rsidRPr="009F7561" w:rsidR="001D323A" w:rsidP="00D04AC2" w:rsidRDefault="00CE2830" w14:paraId="7E28F7B5" w14:textId="6622434B">
      <w:pPr>
        <w:spacing w:before="120" w:after="120" w:line="300" w:lineRule="atLeast"/>
        <w:jc w:val="both"/>
        <w:rPr>
          <w:lang w:val="en-GB"/>
        </w:rPr>
      </w:pPr>
      <w:r w:rsidRPr="009F7561">
        <w:rPr>
          <w:b/>
          <w:lang w:val="en-GB"/>
        </w:rPr>
        <w:t>Case conference (or meeting)</w:t>
      </w:r>
      <w:r w:rsidRPr="009F7561">
        <w:rPr>
          <w:lang w:val="en-GB"/>
        </w:rPr>
        <w:t xml:space="preserve">: Case conferences are meetings with the survivor, concerned </w:t>
      </w:r>
      <w:r w:rsidRPr="00585205">
        <w:rPr>
          <w:spacing w:val="-3"/>
          <w:lang w:val="en-GB"/>
        </w:rPr>
        <w:t>support people in the survivor</w:t>
      </w:r>
      <w:r w:rsidRPr="00585205" w:rsidR="00315391">
        <w:rPr>
          <w:spacing w:val="-3"/>
          <w:lang w:val="en-GB"/>
        </w:rPr>
        <w:t>’s</w:t>
      </w:r>
      <w:r w:rsidRPr="00585205">
        <w:rPr>
          <w:spacing w:val="-3"/>
          <w:lang w:val="en-GB"/>
        </w:rPr>
        <w:t xml:space="preserve"> life as appropriate and service providers involved in the survivor</w:t>
      </w:r>
      <w:r w:rsidRPr="00585205" w:rsidR="00315391">
        <w:rPr>
          <w:spacing w:val="-3"/>
          <w:lang w:val="en-GB"/>
        </w:rPr>
        <w:t>’s</w:t>
      </w:r>
      <w:r w:rsidRPr="009F7561">
        <w:rPr>
          <w:lang w:val="en-GB"/>
        </w:rPr>
        <w:t xml:space="preserve"> </w:t>
      </w:r>
      <w:r w:rsidRPr="00585205">
        <w:rPr>
          <w:spacing w:val="-3"/>
          <w:lang w:val="en-GB"/>
        </w:rPr>
        <w:t>care when the survivor</w:t>
      </w:r>
      <w:r w:rsidRPr="00585205" w:rsidR="00315391">
        <w:rPr>
          <w:spacing w:val="-3"/>
          <w:lang w:val="en-GB"/>
        </w:rPr>
        <w:t>’s</w:t>
      </w:r>
      <w:r w:rsidRPr="00585205">
        <w:rPr>
          <w:spacing w:val="-3"/>
          <w:lang w:val="en-GB"/>
        </w:rPr>
        <w:t xml:space="preserve"> needs are not being met in a timely or appropriate manner. The survivor</w:t>
      </w:r>
      <w:r w:rsidRPr="009F7561">
        <w:rPr>
          <w:lang w:val="en-GB"/>
        </w:rPr>
        <w:t xml:space="preserve"> should be invited but is not required to participate. The purpose of the case conference is to identify or clarify ongoing issues regarding her care. Case conferences provide an opportunity to review activities, including progress and barriers towards goals; map roles and responsibilities; resolve conflicts or strategize solutions and adjust action plans</w:t>
      </w:r>
      <w:r w:rsidRPr="009F7561" w:rsidR="00A105A4">
        <w:rPr>
          <w:lang w:val="en-GB"/>
        </w:rPr>
        <w:t>.</w:t>
      </w:r>
      <w:r w:rsidRPr="009F7561">
        <w:rPr>
          <w:vertAlign w:val="superscript"/>
          <w:lang w:val="en-GB"/>
        </w:rPr>
        <w:footnoteReference w:id="12"/>
      </w:r>
    </w:p>
    <w:p w:rsidRPr="009F7561" w:rsidR="001D323A" w:rsidP="00D04AC2" w:rsidRDefault="00CE2830" w14:paraId="7E28F7B7" w14:textId="57A9849A">
      <w:pPr>
        <w:spacing w:before="120" w:after="120" w:line="300" w:lineRule="atLeast"/>
        <w:jc w:val="both"/>
        <w:rPr>
          <w:lang w:val="en-GB"/>
        </w:rPr>
      </w:pPr>
      <w:r w:rsidRPr="009F7561">
        <w:rPr>
          <w:b/>
          <w:lang w:val="en-GB"/>
        </w:rPr>
        <w:t xml:space="preserve">Case documentation: </w:t>
      </w:r>
      <w:r w:rsidRPr="009F7561" w:rsidR="00A74BE6">
        <w:t>This is</w:t>
      </w:r>
      <w:r w:rsidRPr="009F7561" w:rsidR="00A74BE6">
        <w:rPr>
          <w:b/>
          <w:lang w:val="en-GB"/>
        </w:rPr>
        <w:t xml:space="preserve"> </w:t>
      </w:r>
      <w:r w:rsidRPr="009F7561" w:rsidR="00A74BE6">
        <w:rPr>
          <w:lang w:val="en-GB"/>
        </w:rPr>
        <w:t>i</w:t>
      </w:r>
      <w:r w:rsidRPr="009F7561">
        <w:rPr>
          <w:lang w:val="en-GB"/>
        </w:rPr>
        <w:t>nformation related to the provision of case management services. Generally, this information includes dates of services; the specific service provider; a brief description of the situation and the person</w:t>
      </w:r>
      <w:r w:rsidRPr="009F7561" w:rsidR="00315391">
        <w:rPr>
          <w:lang w:val="en-GB"/>
        </w:rPr>
        <w:t>’s</w:t>
      </w:r>
      <w:r w:rsidRPr="009F7561">
        <w:rPr>
          <w:lang w:val="en-GB"/>
        </w:rPr>
        <w:t xml:space="preserve"> responses to the subject matter; relevant action plans and follow-up appointment information. Case documentation also includes dates and reasons for closing the person</w:t>
      </w:r>
      <w:r w:rsidRPr="009F7561" w:rsidR="00315391">
        <w:rPr>
          <w:lang w:val="en-GB"/>
        </w:rPr>
        <w:t>’s</w:t>
      </w:r>
      <w:r w:rsidRPr="009F7561">
        <w:rPr>
          <w:lang w:val="en-GB"/>
        </w:rPr>
        <w:t xml:space="preserve"> case</w:t>
      </w:r>
      <w:r w:rsidRPr="009F7561" w:rsidR="00A74BE6">
        <w:rPr>
          <w:lang w:val="en-GB"/>
        </w:rPr>
        <w:t>.</w:t>
      </w:r>
      <w:r w:rsidRPr="009F7561">
        <w:rPr>
          <w:vertAlign w:val="superscript"/>
          <w:lang w:val="en-GB"/>
        </w:rPr>
        <w:footnoteReference w:id="13"/>
      </w:r>
    </w:p>
    <w:p w:rsidRPr="009F7561" w:rsidR="001D323A" w:rsidP="00D04AC2" w:rsidRDefault="00CE2830" w14:paraId="7E28F7B9" w14:textId="2E2404E1">
      <w:pPr>
        <w:spacing w:before="120" w:after="120" w:line="300" w:lineRule="atLeast"/>
        <w:jc w:val="both"/>
        <w:rPr>
          <w:lang w:val="en-GB"/>
        </w:rPr>
      </w:pPr>
      <w:r w:rsidRPr="009F7561">
        <w:rPr>
          <w:b/>
          <w:lang w:val="en-GB"/>
        </w:rPr>
        <w:t xml:space="preserve">Caseworker: </w:t>
      </w:r>
      <w:r w:rsidRPr="009F7561">
        <w:rPr>
          <w:lang w:val="en-GB"/>
        </w:rPr>
        <w:t xml:space="preserve">This term describes an individual working within a </w:t>
      </w:r>
      <w:r w:rsidRPr="009F7561" w:rsidR="00A36F7E">
        <w:rPr>
          <w:lang w:val="en-GB"/>
        </w:rPr>
        <w:t>service-</w:t>
      </w:r>
      <w:r w:rsidRPr="009F7561">
        <w:rPr>
          <w:lang w:val="en-GB"/>
        </w:rPr>
        <w:t xml:space="preserve">providing agency who </w:t>
      </w:r>
      <w:r w:rsidRPr="009F7561" w:rsidR="00A36F7E">
        <w:rPr>
          <w:lang w:val="en-GB"/>
        </w:rPr>
        <w:t xml:space="preserve">is responsible for </w:t>
      </w:r>
      <w:r w:rsidRPr="009F7561">
        <w:rPr>
          <w:lang w:val="en-GB"/>
        </w:rPr>
        <w:t>providing case management services to clients. This means that caseworkers are trained appropriately on client-</w:t>
      </w:r>
      <w:r w:rsidRPr="009F7561" w:rsidR="00E8438C">
        <w:rPr>
          <w:lang w:val="en-GB"/>
        </w:rPr>
        <w:t>centred</w:t>
      </w:r>
      <w:r w:rsidRPr="009F7561">
        <w:rPr>
          <w:lang w:val="en-GB"/>
        </w:rPr>
        <w:t xml:space="preserve"> case management; they are supervised by senior program</w:t>
      </w:r>
      <w:r w:rsidRPr="009F7561" w:rsidR="00A36F7E">
        <w:rPr>
          <w:lang w:val="en-GB"/>
        </w:rPr>
        <w:t>me</w:t>
      </w:r>
      <w:r w:rsidRPr="009F7561">
        <w:rPr>
          <w:lang w:val="en-GB"/>
        </w:rPr>
        <w:t xml:space="preserve"> staff and adhere to a specific set of systems and guiding principles designed to promote health, hope and healing for their clients. Caseworkers are also commonly referred to as social workers and case managers, among other terms</w:t>
      </w:r>
      <w:r w:rsidRPr="009F7561" w:rsidR="00147E30">
        <w:rPr>
          <w:lang w:val="en-GB"/>
        </w:rPr>
        <w:t>.</w:t>
      </w:r>
      <w:r w:rsidRPr="009F7561">
        <w:rPr>
          <w:vertAlign w:val="superscript"/>
          <w:lang w:val="en-GB"/>
        </w:rPr>
        <w:footnoteReference w:id="14"/>
      </w:r>
    </w:p>
    <w:p w:rsidRPr="009F7561" w:rsidR="001D323A" w:rsidP="00D04AC2" w:rsidRDefault="00CE2830" w14:paraId="7E28F7BB" w14:textId="36DBED3A">
      <w:pPr>
        <w:spacing w:before="120" w:after="120" w:line="300" w:lineRule="atLeast"/>
        <w:jc w:val="both"/>
        <w:rPr>
          <w:lang w:val="en-GB"/>
        </w:rPr>
      </w:pPr>
      <w:r w:rsidRPr="009F7561">
        <w:rPr>
          <w:b/>
          <w:lang w:val="en-GB"/>
        </w:rPr>
        <w:t>Child</w:t>
      </w:r>
      <w:r w:rsidRPr="009F7561">
        <w:rPr>
          <w:lang w:val="en-GB"/>
        </w:rPr>
        <w:t xml:space="preserve">: </w:t>
      </w:r>
      <w:r w:rsidRPr="009F7561" w:rsidR="00D312E0">
        <w:t>E</w:t>
      </w:r>
      <w:r w:rsidRPr="009F7561">
        <w:t xml:space="preserve">very </w:t>
      </w:r>
      <w:r w:rsidRPr="009F7561">
        <w:rPr>
          <w:lang w:val="en-GB"/>
        </w:rPr>
        <w:t>human being below the age of 18 years unless, under the law applicable to the child, majority is attained earlier</w:t>
      </w:r>
      <w:r w:rsidRPr="009F7561" w:rsidR="007D090F">
        <w:rPr>
          <w:lang w:val="en-GB"/>
        </w:rPr>
        <w:t>.</w:t>
      </w:r>
      <w:r w:rsidRPr="009F7561">
        <w:rPr>
          <w:vertAlign w:val="superscript"/>
          <w:lang w:val="en-GB"/>
        </w:rPr>
        <w:footnoteReference w:id="15"/>
      </w:r>
    </w:p>
    <w:p w:rsidRPr="009F7561" w:rsidR="001D323A" w:rsidP="00D04AC2" w:rsidRDefault="00CE2830" w14:paraId="7E28F7BD" w14:textId="66BAC39C">
      <w:pPr>
        <w:spacing w:before="120" w:after="120" w:line="300" w:lineRule="atLeast"/>
        <w:jc w:val="both"/>
        <w:rPr>
          <w:b/>
          <w:lang w:val="en-GB"/>
        </w:rPr>
      </w:pPr>
      <w:r w:rsidRPr="009F7561">
        <w:rPr>
          <w:b/>
          <w:lang w:val="en-GB"/>
        </w:rPr>
        <w:t>Denial of resources, opportunities or services</w:t>
      </w:r>
      <w:r w:rsidRPr="009F7561">
        <w:rPr>
          <w:lang w:val="en-GB"/>
        </w:rPr>
        <w:t>:</w:t>
      </w:r>
      <w:r w:rsidRPr="009F7561">
        <w:rPr>
          <w:b/>
          <w:lang w:val="en-GB"/>
        </w:rPr>
        <w:t xml:space="preserve"> </w:t>
      </w:r>
      <w:r w:rsidRPr="009F7561">
        <w:rPr>
          <w:lang w:val="en-GB"/>
        </w:rPr>
        <w:t>Denial of rightful access to economic resources/assets or livelihoods opportunities, education,</w:t>
      </w:r>
      <w:r w:rsidRPr="009F7561">
        <w:rPr>
          <w:b/>
          <w:lang w:val="en-GB"/>
        </w:rPr>
        <w:t xml:space="preserve"> </w:t>
      </w:r>
      <w:r w:rsidRPr="009F7561">
        <w:rPr>
          <w:lang w:val="en-GB"/>
        </w:rPr>
        <w:t>health or other social services. Examples include a widow prevented from receiving an inheritance,</w:t>
      </w:r>
      <w:r w:rsidRPr="009F7561">
        <w:rPr>
          <w:b/>
          <w:lang w:val="en-GB"/>
        </w:rPr>
        <w:t xml:space="preserve"> </w:t>
      </w:r>
      <w:r w:rsidRPr="009F7561">
        <w:rPr>
          <w:lang w:val="en-GB"/>
        </w:rPr>
        <w:t>earnings forcibly taken by an intimate partner or family member, a woman prevented from using</w:t>
      </w:r>
      <w:r w:rsidRPr="009F7561">
        <w:rPr>
          <w:b/>
          <w:lang w:val="en-GB"/>
        </w:rPr>
        <w:t xml:space="preserve"> </w:t>
      </w:r>
      <w:r w:rsidRPr="009F7561">
        <w:rPr>
          <w:lang w:val="en-GB"/>
        </w:rPr>
        <w:t xml:space="preserve">contraceptives, a girl prevented from attending school, etc. </w:t>
      </w:r>
      <w:r w:rsidRPr="009F7561" w:rsidR="008D18EB">
        <w:rPr>
          <w:lang w:val="en-GB"/>
        </w:rPr>
        <w:t>“</w:t>
      </w:r>
      <w:r w:rsidRPr="009F7561">
        <w:rPr>
          <w:lang w:val="en-GB"/>
        </w:rPr>
        <w:t xml:space="preserve">Economic </w:t>
      </w:r>
      <w:r w:rsidRPr="009F7561" w:rsidR="00142CCF">
        <w:rPr>
          <w:lang w:val="en-GB"/>
        </w:rPr>
        <w:t xml:space="preserve">abuse” </w:t>
      </w:r>
      <w:r w:rsidRPr="009F7561">
        <w:rPr>
          <w:lang w:val="en-GB"/>
        </w:rPr>
        <w:t>is included in this</w:t>
      </w:r>
      <w:r w:rsidRPr="009F7561">
        <w:rPr>
          <w:b/>
          <w:lang w:val="en-GB"/>
        </w:rPr>
        <w:t xml:space="preserve"> </w:t>
      </w:r>
      <w:r w:rsidRPr="009F7561">
        <w:rPr>
          <w:lang w:val="en-GB"/>
        </w:rPr>
        <w:t>category. Some acts of confinement may also fall under this category.</w:t>
      </w:r>
      <w:r w:rsidRPr="009F7561">
        <w:rPr>
          <w:vertAlign w:val="superscript"/>
          <w:lang w:val="en-GB"/>
        </w:rPr>
        <w:footnoteReference w:id="16"/>
      </w:r>
    </w:p>
    <w:p w:rsidRPr="009F7561" w:rsidR="001D323A" w:rsidP="00D04AC2" w:rsidRDefault="00CE2830" w14:paraId="7E28F7BF" w14:textId="25EF2598">
      <w:pPr>
        <w:spacing w:before="120" w:after="120" w:line="300" w:lineRule="atLeast"/>
        <w:jc w:val="both"/>
        <w:rPr>
          <w:lang w:val="en-GB"/>
        </w:rPr>
      </w:pPr>
      <w:r w:rsidRPr="009F7561">
        <w:rPr>
          <w:b/>
          <w:lang w:val="en-GB"/>
        </w:rPr>
        <w:t>Disclosure</w:t>
      </w:r>
      <w:r w:rsidRPr="009F7561">
        <w:rPr>
          <w:lang w:val="en-GB"/>
        </w:rPr>
        <w:t>:</w:t>
      </w:r>
      <w:r w:rsidRPr="009F7561">
        <w:rPr>
          <w:b/>
          <w:lang w:val="en-GB"/>
        </w:rPr>
        <w:t xml:space="preserve"> </w:t>
      </w:r>
      <w:r w:rsidRPr="009F7561">
        <w:rPr>
          <w:lang w:val="en-GB"/>
        </w:rPr>
        <w:t>The process of revealing information. Disclosure in the context of this document refers to a survivor voluntarily sharing with someone that she has experienced or is experiencing gender-based violence</w:t>
      </w:r>
      <w:r w:rsidRPr="009F7561" w:rsidR="00B61C35">
        <w:rPr>
          <w:lang w:val="en-GB"/>
        </w:rPr>
        <w:t>.</w:t>
      </w:r>
      <w:r w:rsidRPr="009F7561">
        <w:rPr>
          <w:vertAlign w:val="superscript"/>
          <w:lang w:val="en-GB"/>
        </w:rPr>
        <w:footnoteReference w:id="17"/>
      </w:r>
    </w:p>
    <w:p w:rsidRPr="009F7561" w:rsidR="001D323A" w:rsidP="00D04AC2" w:rsidRDefault="00CE2830" w14:paraId="7E28F7C1" w14:textId="6281FD9A">
      <w:pPr>
        <w:spacing w:before="120" w:after="120" w:line="300" w:lineRule="atLeast"/>
        <w:jc w:val="both"/>
        <w:rPr>
          <w:lang w:val="en-GB"/>
        </w:rPr>
      </w:pPr>
      <w:r w:rsidRPr="009F7561">
        <w:rPr>
          <w:b/>
          <w:lang w:val="en-GB"/>
        </w:rPr>
        <w:t>Disability</w:t>
      </w:r>
      <w:r w:rsidRPr="009F7561">
        <w:rPr>
          <w:lang w:val="en-GB"/>
        </w:rPr>
        <w:t>:</w:t>
      </w:r>
      <w:r w:rsidRPr="009F7561">
        <w:rPr>
          <w:b/>
          <w:lang w:val="en-GB"/>
        </w:rPr>
        <w:t xml:space="preserve"> </w:t>
      </w:r>
      <w:r w:rsidRPr="009F7561">
        <w:rPr>
          <w:lang w:val="en-GB"/>
        </w:rPr>
        <w:t>An evolving concept that results from the interactions between persons with impairments and attitudinal and environmental barriers that hinder their full and effective participation in society on an equal basis with others</w:t>
      </w:r>
      <w:r w:rsidRPr="009F7561" w:rsidR="00B61C35">
        <w:rPr>
          <w:lang w:val="en-GB"/>
        </w:rPr>
        <w:t>.</w:t>
      </w:r>
      <w:r w:rsidRPr="009F7561">
        <w:rPr>
          <w:vertAlign w:val="superscript"/>
          <w:lang w:val="en-GB"/>
        </w:rPr>
        <w:footnoteReference w:id="18"/>
      </w:r>
    </w:p>
    <w:p w:rsidRPr="009F7561" w:rsidR="001D323A" w:rsidP="00D04AC2" w:rsidRDefault="00CE2830" w14:paraId="7E28F7C3" w14:textId="0DE2D14A">
      <w:pPr>
        <w:spacing w:before="120" w:after="120" w:line="300" w:lineRule="atLeast"/>
        <w:jc w:val="both"/>
        <w:rPr>
          <w:b/>
          <w:lang w:val="en-GB"/>
        </w:rPr>
      </w:pPr>
      <w:r w:rsidRPr="009F7561">
        <w:rPr>
          <w:b/>
          <w:lang w:val="en-GB"/>
        </w:rPr>
        <w:t>Domestic violence (DV)</w:t>
      </w:r>
      <w:r w:rsidRPr="009F7561">
        <w:rPr>
          <w:lang w:val="en-GB"/>
        </w:rPr>
        <w:t>: Although DV and intimate partner violence (IPV) are sometimes used interchangeably, there are important distinctions between</w:t>
      </w:r>
      <w:r w:rsidRPr="009F7561">
        <w:rPr>
          <w:b/>
          <w:lang w:val="en-GB"/>
        </w:rPr>
        <w:t xml:space="preserve"> </w:t>
      </w:r>
      <w:r w:rsidRPr="009F7561">
        <w:rPr>
          <w:lang w:val="en-GB"/>
        </w:rPr>
        <w:t xml:space="preserve">them. </w:t>
      </w:r>
      <w:r w:rsidRPr="009F7561" w:rsidR="0041217A">
        <w:rPr>
          <w:lang w:val="en-GB"/>
        </w:rPr>
        <w:t>”</w:t>
      </w:r>
      <w:r w:rsidRPr="009F7561">
        <w:rPr>
          <w:lang w:val="en-GB"/>
        </w:rPr>
        <w:t xml:space="preserve">Domestic </w:t>
      </w:r>
      <w:r w:rsidRPr="009F7561" w:rsidR="0041217A">
        <w:rPr>
          <w:lang w:val="en-GB"/>
        </w:rPr>
        <w:t xml:space="preserve">violence” </w:t>
      </w:r>
      <w:r w:rsidRPr="009F7561">
        <w:rPr>
          <w:lang w:val="en-GB"/>
        </w:rPr>
        <w:t>is a term used to describe violence that takes place within the home</w:t>
      </w:r>
      <w:r w:rsidRPr="009F7561">
        <w:rPr>
          <w:b/>
          <w:lang w:val="en-GB"/>
        </w:rPr>
        <w:t xml:space="preserve"> </w:t>
      </w:r>
      <w:r w:rsidRPr="009F7561">
        <w:rPr>
          <w:lang w:val="en-GB"/>
        </w:rPr>
        <w:t>or family between intimate partners as well as between other family members</w:t>
      </w:r>
      <w:r w:rsidRPr="009F7561" w:rsidR="0041217A">
        <w:rPr>
          <w:lang w:val="en-GB"/>
        </w:rPr>
        <w:t>.</w:t>
      </w:r>
      <w:r w:rsidRPr="009F7561">
        <w:rPr>
          <w:vertAlign w:val="superscript"/>
          <w:lang w:val="en-GB"/>
        </w:rPr>
        <w:footnoteReference w:id="19"/>
      </w:r>
      <w:r w:rsidRPr="009F7561">
        <w:rPr>
          <w:lang w:val="en-GB"/>
        </w:rPr>
        <w:t xml:space="preserve"> </w:t>
      </w:r>
      <w:r w:rsidRPr="009F7561" w:rsidR="0041217A">
        <w:rPr>
          <w:lang w:val="en-GB"/>
        </w:rPr>
        <w:t>”</w:t>
      </w:r>
      <w:r w:rsidRPr="009F7561">
        <w:rPr>
          <w:lang w:val="en-GB"/>
        </w:rPr>
        <w:t>Intimate partner</w:t>
      </w:r>
      <w:r w:rsidRPr="009F7561">
        <w:rPr>
          <w:b/>
          <w:lang w:val="en-GB"/>
        </w:rPr>
        <w:t xml:space="preserve"> </w:t>
      </w:r>
      <w:r w:rsidRPr="009F7561" w:rsidR="0041217A">
        <w:rPr>
          <w:lang w:val="en-GB"/>
        </w:rPr>
        <w:t xml:space="preserve">violence” </w:t>
      </w:r>
      <w:r w:rsidRPr="009F7561">
        <w:rPr>
          <w:lang w:val="en-GB"/>
        </w:rPr>
        <w:t>applies specifically to violence occurring between intimate partners (married, cohabiting,</w:t>
      </w:r>
      <w:r w:rsidRPr="009F7561">
        <w:rPr>
          <w:b/>
          <w:lang w:val="en-GB"/>
        </w:rPr>
        <w:t xml:space="preserve"> </w:t>
      </w:r>
      <w:r w:rsidRPr="009F7561">
        <w:rPr>
          <w:lang w:val="en-GB"/>
        </w:rPr>
        <w:t xml:space="preserve">boyfriend/girlfriend or other </w:t>
      </w:r>
      <w:r w:rsidRPr="00585205">
        <w:rPr>
          <w:spacing w:val="-2"/>
          <w:lang w:val="en-GB"/>
        </w:rPr>
        <w:t>close relationships)</w:t>
      </w:r>
      <w:r w:rsidRPr="00585205" w:rsidR="00396FBD">
        <w:rPr>
          <w:spacing w:val="-2"/>
          <w:lang w:val="en-GB"/>
        </w:rPr>
        <w:t xml:space="preserve"> and </w:t>
      </w:r>
      <w:r w:rsidRPr="00585205">
        <w:rPr>
          <w:spacing w:val="-2"/>
          <w:lang w:val="en-GB"/>
        </w:rPr>
        <w:t>is defined by WHO as behaviour by an intimate</w:t>
      </w:r>
      <w:r w:rsidRPr="00585205">
        <w:rPr>
          <w:b/>
          <w:spacing w:val="-2"/>
          <w:lang w:val="en-GB"/>
        </w:rPr>
        <w:t xml:space="preserve"> </w:t>
      </w:r>
      <w:r w:rsidRPr="00585205">
        <w:rPr>
          <w:spacing w:val="-2"/>
          <w:lang w:val="en-GB"/>
        </w:rPr>
        <w:t>partner or ex-partner that causes physical, sexual or psychological harm, including physical</w:t>
      </w:r>
      <w:r w:rsidRPr="00585205">
        <w:rPr>
          <w:b/>
          <w:spacing w:val="-2"/>
          <w:lang w:val="en-GB"/>
        </w:rPr>
        <w:t xml:space="preserve"> </w:t>
      </w:r>
      <w:r w:rsidRPr="00585205">
        <w:rPr>
          <w:spacing w:val="-2"/>
          <w:lang w:val="en-GB"/>
        </w:rPr>
        <w:t>aggression, sexual coercion, psychological abuse and controlling behaviours. This type of violence</w:t>
      </w:r>
      <w:r w:rsidRPr="00585205">
        <w:rPr>
          <w:b/>
          <w:spacing w:val="-2"/>
          <w:lang w:val="en-GB"/>
        </w:rPr>
        <w:t xml:space="preserve"> </w:t>
      </w:r>
      <w:r w:rsidRPr="00585205">
        <w:rPr>
          <w:spacing w:val="-2"/>
          <w:lang w:val="en-GB"/>
        </w:rPr>
        <w:t>may also include the denial of resources, opportunities or services.</w:t>
      </w:r>
      <w:r w:rsidRPr="00585205" w:rsidR="00FF211B">
        <w:rPr>
          <w:spacing w:val="-2"/>
          <w:lang w:val="en-GB"/>
        </w:rPr>
        <w:t xml:space="preserve"> See definition of intimate partner violence</w:t>
      </w:r>
      <w:r w:rsidRPr="009F7561" w:rsidR="00532404">
        <w:rPr>
          <w:lang w:val="en-GB"/>
        </w:rPr>
        <w:t>.</w:t>
      </w:r>
    </w:p>
    <w:p w:rsidRPr="009F7561" w:rsidR="001D323A" w:rsidP="00D04AC2" w:rsidRDefault="00CE2830" w14:paraId="7E28F7C5" w14:textId="77777777">
      <w:pPr>
        <w:spacing w:before="120" w:after="120" w:line="300" w:lineRule="atLeast"/>
        <w:jc w:val="both"/>
        <w:rPr>
          <w:lang w:val="en-GB"/>
        </w:rPr>
      </w:pPr>
      <w:r w:rsidRPr="00585205">
        <w:rPr>
          <w:b/>
          <w:lang w:val="en-GB"/>
        </w:rPr>
        <w:t>Disaster</w:t>
      </w:r>
      <w:r w:rsidRPr="00585205">
        <w:rPr>
          <w:lang w:val="en-GB"/>
        </w:rPr>
        <w:t>:</w:t>
      </w:r>
      <w:r w:rsidRPr="00585205">
        <w:rPr>
          <w:b/>
          <w:lang w:val="en-GB"/>
        </w:rPr>
        <w:t xml:space="preserve"> </w:t>
      </w:r>
      <w:r w:rsidRPr="00585205">
        <w:rPr>
          <w:lang w:val="en-GB"/>
        </w:rPr>
        <w:t xml:space="preserve">A serious disruption of the functioning of a community or a society causing widespread human, material, economic or environmental losses that exceed the ability of the affected community or society to cope using </w:t>
      </w:r>
      <w:r w:rsidRPr="009F7561">
        <w:rPr>
          <w:lang w:val="en-GB"/>
        </w:rPr>
        <w:t>its own resources. Disasters can be slow-onset (such as drought or socio-economic decline) or sudden-onset (such as earthquakes, floods or sudden conflict situations).</w:t>
      </w:r>
      <w:r w:rsidRPr="009F7561">
        <w:rPr>
          <w:vertAlign w:val="superscript"/>
          <w:lang w:val="en-GB"/>
        </w:rPr>
        <w:footnoteReference w:id="20"/>
      </w:r>
      <w:r w:rsidRPr="009F7561">
        <w:rPr>
          <w:lang w:val="en-GB"/>
        </w:rPr>
        <w:t xml:space="preserve"> </w:t>
      </w:r>
    </w:p>
    <w:p w:rsidRPr="009F7561" w:rsidR="001D323A" w:rsidP="00D04AC2" w:rsidRDefault="00CE2830" w14:paraId="7E28F7C7" w14:textId="5183C0F3">
      <w:pPr>
        <w:spacing w:before="120" w:after="120" w:line="300" w:lineRule="atLeast"/>
        <w:jc w:val="both"/>
        <w:rPr>
          <w:lang w:val="en-GB"/>
        </w:rPr>
      </w:pPr>
      <w:r w:rsidRPr="009F7561">
        <w:rPr>
          <w:b/>
          <w:lang w:val="en-GB"/>
        </w:rPr>
        <w:t>Economic abuse</w:t>
      </w:r>
      <w:r w:rsidRPr="009F7561">
        <w:rPr>
          <w:lang w:val="en-GB"/>
        </w:rPr>
        <w:t>:</w:t>
      </w:r>
      <w:r w:rsidRPr="009F7561">
        <w:rPr>
          <w:b/>
          <w:lang w:val="en-GB"/>
        </w:rPr>
        <w:t xml:space="preserve"> </w:t>
      </w:r>
      <w:r w:rsidRPr="009F7561">
        <w:rPr>
          <w:lang w:val="en-GB"/>
        </w:rPr>
        <w:t>An aspect of abuse where abusers control victims</w:t>
      </w:r>
      <w:r w:rsidRPr="009F7561" w:rsidR="00C00163">
        <w:rPr>
          <w:lang w:val="en-GB"/>
        </w:rPr>
        <w:t>’</w:t>
      </w:r>
      <w:r w:rsidRPr="009F7561">
        <w:rPr>
          <w:lang w:val="en-GB"/>
        </w:rPr>
        <w:t xml:space="preserve"> finances to prevent them from accessing resources, working or maintaining control of earnings, achieving self-sufficiency and gaining financial independence</w:t>
      </w:r>
      <w:r w:rsidRPr="009F7561" w:rsidR="00CD0C8F">
        <w:rPr>
          <w:lang w:val="en-GB"/>
        </w:rPr>
        <w:t>.</w:t>
      </w:r>
      <w:r w:rsidRPr="009F7561">
        <w:rPr>
          <w:vertAlign w:val="superscript"/>
          <w:lang w:val="en-GB"/>
        </w:rPr>
        <w:footnoteReference w:id="21"/>
      </w:r>
    </w:p>
    <w:p w:rsidRPr="009F7561" w:rsidR="001D323A" w:rsidP="00D04AC2" w:rsidRDefault="00CE2830" w14:paraId="7E28F7C9" w14:textId="77777777">
      <w:pPr>
        <w:spacing w:before="120" w:after="120" w:line="300" w:lineRule="atLeast"/>
        <w:jc w:val="both"/>
        <w:rPr>
          <w:lang w:val="en-GB"/>
        </w:rPr>
      </w:pPr>
      <w:r w:rsidRPr="009F7561">
        <w:rPr>
          <w:b/>
          <w:lang w:val="en-GB"/>
        </w:rPr>
        <w:t>Emergency</w:t>
      </w:r>
      <w:r w:rsidRPr="009F7561">
        <w:rPr>
          <w:lang w:val="en-GB"/>
        </w:rPr>
        <w:t>:</w:t>
      </w:r>
      <w:r w:rsidRPr="009F7561">
        <w:rPr>
          <w:b/>
          <w:lang w:val="en-GB"/>
        </w:rPr>
        <w:t xml:space="preserve"> </w:t>
      </w:r>
      <w:r w:rsidRPr="009F7561">
        <w:rPr>
          <w:lang w:val="en-GB"/>
        </w:rPr>
        <w:t>An event or series of events that represents a critical threat to the health, safety, security or wellbeing of a community or other large group of people, usually over a wide area.</w:t>
      </w:r>
      <w:r w:rsidRPr="009F7561">
        <w:rPr>
          <w:vertAlign w:val="superscript"/>
          <w:lang w:val="en-GB"/>
        </w:rPr>
        <w:footnoteReference w:id="22"/>
      </w:r>
    </w:p>
    <w:p w:rsidRPr="009F7561" w:rsidR="001D323A" w:rsidP="00D04AC2" w:rsidRDefault="00CE2830" w14:paraId="7E28F7CB" w14:textId="358EB40A">
      <w:pPr>
        <w:spacing w:before="120" w:after="120" w:line="300" w:lineRule="atLeast"/>
        <w:jc w:val="both"/>
        <w:rPr>
          <w:b/>
          <w:lang w:val="en-GB"/>
        </w:rPr>
      </w:pPr>
      <w:r w:rsidRPr="009F7561">
        <w:rPr>
          <w:b/>
          <w:lang w:val="en-GB"/>
        </w:rPr>
        <w:t>Emotional abuse (also referred to as psychological abuse)</w:t>
      </w:r>
      <w:r w:rsidRPr="009F7561">
        <w:rPr>
          <w:lang w:val="en-GB"/>
        </w:rPr>
        <w:t>:</w:t>
      </w:r>
      <w:r w:rsidRPr="009F7561">
        <w:rPr>
          <w:b/>
          <w:lang w:val="en-GB"/>
        </w:rPr>
        <w:t xml:space="preserve"> </w:t>
      </w:r>
      <w:r w:rsidRPr="009F7561">
        <w:rPr>
          <w:lang w:val="en-GB"/>
        </w:rPr>
        <w:t xml:space="preserve">Infliction of mental or emotional pain or injury. Examples </w:t>
      </w:r>
      <w:r w:rsidRPr="009F7561" w:rsidR="00DD29D1">
        <w:rPr>
          <w:lang w:val="en-GB"/>
        </w:rPr>
        <w:t>include</w:t>
      </w:r>
      <w:r w:rsidRPr="009F7561">
        <w:rPr>
          <w:lang w:val="en-GB"/>
        </w:rPr>
        <w:t xml:space="preserve"> threats of physical or sexual</w:t>
      </w:r>
      <w:r w:rsidRPr="009F7561">
        <w:rPr>
          <w:b/>
          <w:lang w:val="en-GB"/>
        </w:rPr>
        <w:t xml:space="preserve"> </w:t>
      </w:r>
      <w:r w:rsidRPr="009F7561">
        <w:rPr>
          <w:lang w:val="en-GB"/>
        </w:rPr>
        <w:t>violence, intimidation, humiliation, forced isolation, social exclusion, stalking, verbal harassment,</w:t>
      </w:r>
      <w:r w:rsidRPr="009F7561">
        <w:rPr>
          <w:b/>
          <w:lang w:val="en-GB"/>
        </w:rPr>
        <w:t xml:space="preserve"> </w:t>
      </w:r>
      <w:r w:rsidRPr="009F7561">
        <w:rPr>
          <w:lang w:val="en-GB"/>
        </w:rPr>
        <w:t>unwanted attention, remarks, gestures or written words of a sexual and/or menacing nature,</w:t>
      </w:r>
      <w:r w:rsidRPr="009F7561">
        <w:rPr>
          <w:b/>
          <w:lang w:val="en-GB"/>
        </w:rPr>
        <w:t xml:space="preserve"> </w:t>
      </w:r>
      <w:r w:rsidRPr="009F7561">
        <w:rPr>
          <w:lang w:val="en-GB"/>
        </w:rPr>
        <w:t xml:space="preserve">destruction of cherished things, etc. </w:t>
      </w:r>
      <w:r w:rsidRPr="009F7561" w:rsidR="00100780">
        <w:rPr>
          <w:lang w:val="en-GB"/>
        </w:rPr>
        <w:t>“</w:t>
      </w:r>
      <w:r w:rsidRPr="009F7561">
        <w:rPr>
          <w:lang w:val="en-GB"/>
        </w:rPr>
        <w:t xml:space="preserve">Sexual </w:t>
      </w:r>
      <w:r w:rsidRPr="009F7561" w:rsidR="00753224">
        <w:rPr>
          <w:lang w:val="en-GB"/>
        </w:rPr>
        <w:t xml:space="preserve">harassment” </w:t>
      </w:r>
      <w:r w:rsidRPr="009F7561">
        <w:rPr>
          <w:lang w:val="en-GB"/>
        </w:rPr>
        <w:t>is included in this category of GBV.</w:t>
      </w:r>
      <w:r w:rsidRPr="009F7561">
        <w:rPr>
          <w:vertAlign w:val="superscript"/>
          <w:lang w:val="en-GB"/>
        </w:rPr>
        <w:footnoteReference w:id="23"/>
      </w:r>
    </w:p>
    <w:p w:rsidRPr="00585205" w:rsidR="001D323A" w:rsidP="00D04AC2" w:rsidRDefault="00CE2830" w14:paraId="7E28F7CD" w14:textId="7437BFBC">
      <w:pPr>
        <w:spacing w:before="120" w:after="120" w:line="300" w:lineRule="atLeast"/>
        <w:jc w:val="both"/>
        <w:rPr>
          <w:lang w:val="en-GB"/>
        </w:rPr>
      </w:pPr>
      <w:r w:rsidRPr="009F7561">
        <w:rPr>
          <w:b/>
          <w:lang w:val="en-GB"/>
        </w:rPr>
        <w:t>Empowerment of women and girls</w:t>
      </w:r>
      <w:r w:rsidRPr="009F7561">
        <w:rPr>
          <w:lang w:val="en-GB"/>
        </w:rPr>
        <w:t>:</w:t>
      </w:r>
      <w:r w:rsidRPr="009F7561">
        <w:rPr>
          <w:b/>
          <w:lang w:val="en-GB"/>
        </w:rPr>
        <w:t xml:space="preserve"> </w:t>
      </w:r>
      <w:r w:rsidRPr="009F7561">
        <w:rPr>
          <w:lang w:val="en-GB"/>
        </w:rPr>
        <w:t xml:space="preserve">The empowerment of women and girls concerns women and girls gaining power </w:t>
      </w:r>
      <w:r w:rsidRPr="00585205">
        <w:rPr>
          <w:lang w:val="en-GB"/>
        </w:rPr>
        <w:t>and control over their own lives. It involves</w:t>
      </w:r>
      <w:r w:rsidRPr="00585205">
        <w:rPr>
          <w:b/>
          <w:lang w:val="en-GB"/>
        </w:rPr>
        <w:t xml:space="preserve"> </w:t>
      </w:r>
      <w:r w:rsidRPr="00585205">
        <w:rPr>
          <w:lang w:val="en-GB"/>
        </w:rPr>
        <w:t>awareness-raising, building self-confidence, expansion of choices, increased access to and control over</w:t>
      </w:r>
      <w:r w:rsidRPr="00585205">
        <w:rPr>
          <w:b/>
          <w:lang w:val="en-GB"/>
        </w:rPr>
        <w:t xml:space="preserve"> </w:t>
      </w:r>
      <w:r w:rsidRPr="00585205">
        <w:rPr>
          <w:lang w:val="en-GB"/>
        </w:rPr>
        <w:t>resources</w:t>
      </w:r>
      <w:r w:rsidR="00101D69">
        <w:rPr>
          <w:lang w:val="en-GB"/>
        </w:rPr>
        <w:t xml:space="preserve"> and</w:t>
      </w:r>
      <w:r w:rsidRPr="00585205">
        <w:rPr>
          <w:lang w:val="en-GB"/>
        </w:rPr>
        <w:t xml:space="preserve"> actions to transform the structures and institutions that reinforce and perpetuate gender</w:t>
      </w:r>
      <w:r w:rsidRPr="00585205">
        <w:rPr>
          <w:b/>
          <w:lang w:val="en-GB"/>
        </w:rPr>
        <w:t xml:space="preserve"> </w:t>
      </w:r>
      <w:r w:rsidRPr="00585205">
        <w:rPr>
          <w:lang w:val="en-GB"/>
        </w:rPr>
        <w:t>discrimination and inequality</w:t>
      </w:r>
      <w:r w:rsidRPr="00585205" w:rsidR="00B64AB5">
        <w:rPr>
          <w:lang w:val="en-GB"/>
        </w:rPr>
        <w:t>.</w:t>
      </w:r>
      <w:r w:rsidRPr="00585205">
        <w:rPr>
          <w:vertAlign w:val="superscript"/>
          <w:lang w:val="en-GB"/>
        </w:rPr>
        <w:footnoteReference w:id="24"/>
      </w:r>
    </w:p>
    <w:p w:rsidRPr="009F7561" w:rsidR="001D323A" w:rsidP="00D04AC2" w:rsidRDefault="00CE2830" w14:paraId="7E28F7CF" w14:textId="43D9A3DF">
      <w:pPr>
        <w:spacing w:before="120" w:after="120" w:line="300" w:lineRule="atLeast"/>
        <w:jc w:val="both"/>
        <w:rPr>
          <w:b/>
          <w:lang w:val="en-GB"/>
        </w:rPr>
      </w:pPr>
      <w:r w:rsidRPr="009F7561">
        <w:rPr>
          <w:b/>
          <w:lang w:val="en-GB"/>
        </w:rPr>
        <w:t>Female genital mutilation/cutting (FGM/C)</w:t>
      </w:r>
      <w:r w:rsidRPr="009F7561">
        <w:rPr>
          <w:lang w:val="en-GB"/>
        </w:rPr>
        <w:t>:</w:t>
      </w:r>
      <w:r w:rsidRPr="009F7561">
        <w:rPr>
          <w:b/>
          <w:lang w:val="en-GB"/>
        </w:rPr>
        <w:t xml:space="preserve"> </w:t>
      </w:r>
      <w:r w:rsidRPr="009F7561">
        <w:rPr>
          <w:lang w:val="en-GB"/>
        </w:rPr>
        <w:t>Refers to all procedures involving partial or total removal of the external female genitalia or other</w:t>
      </w:r>
      <w:r w:rsidRPr="009F7561">
        <w:rPr>
          <w:b/>
          <w:lang w:val="en-GB"/>
        </w:rPr>
        <w:t xml:space="preserve"> </w:t>
      </w:r>
      <w:r w:rsidRPr="009F7561">
        <w:rPr>
          <w:lang w:val="en-GB"/>
        </w:rPr>
        <w:t>injury to the female genital organs for non-medical reasons</w:t>
      </w:r>
      <w:r w:rsidRPr="009F7561" w:rsidR="0065638E">
        <w:rPr>
          <w:lang w:val="en-GB"/>
        </w:rPr>
        <w:t>.</w:t>
      </w:r>
      <w:r w:rsidRPr="009F7561">
        <w:rPr>
          <w:vertAlign w:val="superscript"/>
          <w:lang w:val="en-GB"/>
        </w:rPr>
        <w:footnoteReference w:id="25"/>
      </w:r>
    </w:p>
    <w:p w:rsidRPr="009F7561" w:rsidR="001D323A" w:rsidP="00D04AC2" w:rsidRDefault="00CE2830" w14:paraId="7E28F7D1" w14:textId="6951EB9B">
      <w:pPr>
        <w:spacing w:before="120" w:after="120" w:line="300" w:lineRule="atLeast"/>
        <w:jc w:val="both"/>
        <w:rPr>
          <w:b/>
          <w:lang w:val="en-GB"/>
        </w:rPr>
      </w:pPr>
      <w:r w:rsidRPr="009F7561">
        <w:rPr>
          <w:b/>
          <w:lang w:val="en-GB"/>
        </w:rPr>
        <w:t>Female infanticide and sex-selective abortion</w:t>
      </w:r>
      <w:r w:rsidRPr="009F7561">
        <w:rPr>
          <w:lang w:val="en-GB"/>
        </w:rPr>
        <w:t>:</w:t>
      </w:r>
      <w:r w:rsidRPr="009F7561">
        <w:rPr>
          <w:b/>
          <w:lang w:val="en-GB"/>
        </w:rPr>
        <w:t xml:space="preserve"> </w:t>
      </w:r>
      <w:r w:rsidRPr="009F7561">
        <w:rPr>
          <w:lang w:val="en-GB"/>
        </w:rPr>
        <w:t>Sex selection can take place before a pregnancy is established, during pregnancy through prenatal</w:t>
      </w:r>
      <w:r w:rsidRPr="009F7561">
        <w:rPr>
          <w:b/>
          <w:lang w:val="en-GB"/>
        </w:rPr>
        <w:t xml:space="preserve"> </w:t>
      </w:r>
      <w:r w:rsidRPr="009F7561">
        <w:rPr>
          <w:lang w:val="en-GB"/>
        </w:rPr>
        <w:t>sex detection and selective abortion</w:t>
      </w:r>
      <w:r w:rsidRPr="009F7561" w:rsidR="00461384">
        <w:rPr>
          <w:lang w:val="en-GB"/>
        </w:rPr>
        <w:t xml:space="preserve"> or </w:t>
      </w:r>
      <w:r w:rsidRPr="009F7561">
        <w:rPr>
          <w:lang w:val="en-GB"/>
        </w:rPr>
        <w:t>following birth through infanticide (the killing of a baby) or</w:t>
      </w:r>
      <w:r w:rsidRPr="009F7561">
        <w:rPr>
          <w:b/>
          <w:lang w:val="en-GB"/>
        </w:rPr>
        <w:t xml:space="preserve"> </w:t>
      </w:r>
      <w:r w:rsidRPr="009F7561">
        <w:rPr>
          <w:lang w:val="en-GB"/>
        </w:rPr>
        <w:t>child neglect. Sex selection is sometimes used for family balancing purposes but far more typically</w:t>
      </w:r>
      <w:r w:rsidRPr="009F7561">
        <w:rPr>
          <w:b/>
          <w:lang w:val="en-GB"/>
        </w:rPr>
        <w:t xml:space="preserve"> </w:t>
      </w:r>
      <w:r w:rsidRPr="009F7561">
        <w:rPr>
          <w:lang w:val="en-GB"/>
        </w:rPr>
        <w:t>occurs because of a systematic preference for boys</w:t>
      </w:r>
      <w:r w:rsidRPr="009F7561" w:rsidR="00B05C2F">
        <w:rPr>
          <w:lang w:val="en-GB"/>
        </w:rPr>
        <w:t>.</w:t>
      </w:r>
      <w:r w:rsidRPr="009F7561">
        <w:rPr>
          <w:vertAlign w:val="superscript"/>
          <w:lang w:val="en-GB"/>
        </w:rPr>
        <w:footnoteReference w:id="26"/>
      </w:r>
    </w:p>
    <w:p w:rsidRPr="009F7561" w:rsidR="001D323A" w:rsidP="00D04AC2" w:rsidRDefault="00CE2830" w14:paraId="7E28F7D3" w14:textId="19C388D5">
      <w:pPr>
        <w:spacing w:before="120" w:after="120" w:line="300" w:lineRule="atLeast"/>
        <w:jc w:val="both"/>
        <w:rPr>
          <w:lang w:val="en-GB"/>
        </w:rPr>
      </w:pPr>
      <w:r w:rsidRPr="009F7561">
        <w:rPr>
          <w:b/>
          <w:lang w:val="en-GB"/>
        </w:rPr>
        <w:t>Forced marriage and child (also referred to as early) marriage</w:t>
      </w:r>
      <w:r w:rsidRPr="009F7561">
        <w:rPr>
          <w:lang w:val="en-GB"/>
        </w:rPr>
        <w:t>:</w:t>
      </w:r>
      <w:r w:rsidRPr="009F7561">
        <w:rPr>
          <w:b/>
          <w:lang w:val="en-GB"/>
        </w:rPr>
        <w:t xml:space="preserve"> </w:t>
      </w:r>
      <w:r w:rsidRPr="009F7561">
        <w:rPr>
          <w:lang w:val="en-GB"/>
        </w:rPr>
        <w:t>Forced marriage is the marriage of an individual against her or his will. Child marriage is a formal</w:t>
      </w:r>
      <w:r w:rsidRPr="009F7561">
        <w:rPr>
          <w:b/>
          <w:lang w:val="en-GB"/>
        </w:rPr>
        <w:t xml:space="preserve"> </w:t>
      </w:r>
      <w:r w:rsidRPr="009F7561">
        <w:rPr>
          <w:lang w:val="en-GB"/>
        </w:rPr>
        <w:t xml:space="preserve">marriage or informal union before age 18. Even though some countries permit marriage </w:t>
      </w:r>
      <w:r w:rsidR="001A0D9F">
        <w:rPr>
          <w:lang w:val="en-GB"/>
        </w:rPr>
        <w:t xml:space="preserve">under the </w:t>
      </w:r>
      <w:r w:rsidRPr="009F7561">
        <w:rPr>
          <w:lang w:val="en-GB"/>
        </w:rPr>
        <w:t>age</w:t>
      </w:r>
      <w:r w:rsidRPr="009F7561">
        <w:rPr>
          <w:b/>
          <w:lang w:val="en-GB"/>
        </w:rPr>
        <w:t xml:space="preserve"> </w:t>
      </w:r>
      <w:r w:rsidRPr="00630569" w:rsidR="001A0D9F">
        <w:rPr>
          <w:bCs/>
          <w:lang w:val="en-GB"/>
        </w:rPr>
        <w:t>of</w:t>
      </w:r>
      <w:r w:rsidR="001A0D9F">
        <w:rPr>
          <w:b/>
          <w:lang w:val="en-GB"/>
        </w:rPr>
        <w:t xml:space="preserve"> </w:t>
      </w:r>
      <w:r w:rsidRPr="009F7561">
        <w:rPr>
          <w:lang w:val="en-GB"/>
        </w:rPr>
        <w:t>18, international human rights standards classify these as forced marriages because those</w:t>
      </w:r>
      <w:r w:rsidRPr="009F7561">
        <w:rPr>
          <w:b/>
          <w:lang w:val="en-GB"/>
        </w:rPr>
        <w:t xml:space="preserve"> </w:t>
      </w:r>
      <w:r w:rsidRPr="009F7561">
        <w:rPr>
          <w:lang w:val="en-GB"/>
        </w:rPr>
        <w:t>under age 18 are unable to give informed consent for these actions. Therefore, child marriage is a form of forced</w:t>
      </w:r>
      <w:r w:rsidRPr="009F7561">
        <w:rPr>
          <w:b/>
          <w:lang w:val="en-GB"/>
        </w:rPr>
        <w:t xml:space="preserve"> </w:t>
      </w:r>
      <w:r w:rsidRPr="009F7561">
        <w:rPr>
          <w:lang w:val="en-GB"/>
        </w:rPr>
        <w:t>marriage as children are not legally competent to agree to such unions.</w:t>
      </w:r>
      <w:r w:rsidRPr="009F7561">
        <w:rPr>
          <w:vertAlign w:val="superscript"/>
          <w:lang w:val="en-GB"/>
        </w:rPr>
        <w:footnoteReference w:id="27"/>
      </w:r>
    </w:p>
    <w:p w:rsidRPr="009F7561" w:rsidR="001D323A" w:rsidP="00D04AC2" w:rsidRDefault="00CE2830" w14:paraId="7E28F7D5" w14:textId="70F4A227">
      <w:pPr>
        <w:spacing w:before="120" w:after="120" w:line="300" w:lineRule="atLeast"/>
        <w:jc w:val="both"/>
        <w:rPr>
          <w:vertAlign w:val="superscript"/>
          <w:lang w:val="en-GB"/>
        </w:rPr>
      </w:pPr>
      <w:r w:rsidRPr="009F7561">
        <w:rPr>
          <w:b/>
          <w:lang w:val="en-GB"/>
        </w:rPr>
        <w:t>Gender</w:t>
      </w:r>
      <w:r w:rsidRPr="009F7561">
        <w:rPr>
          <w:lang w:val="en-GB"/>
        </w:rPr>
        <w:t>:</w:t>
      </w:r>
      <w:r w:rsidRPr="009F7561">
        <w:rPr>
          <w:b/>
          <w:lang w:val="en-GB"/>
        </w:rPr>
        <w:t xml:space="preserve"> </w:t>
      </w:r>
      <w:r w:rsidRPr="009F7561">
        <w:rPr>
          <w:lang w:val="en-GB"/>
        </w:rPr>
        <w:t xml:space="preserve">Refers to the social attributes and opportunities associated with being male and female and the relationships between women and men and girls and boys, as well as the relations between women and those between men. These attributes, opportunities and relationships are socially constructed and are learned through socialization processes. They are context- and time-specific and changeable. Gender determines what is expected, allowed and valued in a woman or a man in a given context. In most societies there are differences and inequalities between women and men in responsibilities assigned, activities undertaken, access to and control over </w:t>
      </w:r>
      <w:r w:rsidRPr="009F7561">
        <w:rPr>
          <w:lang w:val="en-GB"/>
        </w:rPr>
        <w:t>resources, as well as decision-making opportunities and power relations</w:t>
      </w:r>
      <w:r w:rsidRPr="009F7561" w:rsidR="007B4F50">
        <w:rPr>
          <w:lang w:val="en-GB"/>
        </w:rPr>
        <w:t>.</w:t>
      </w:r>
      <w:r w:rsidRPr="009F7561">
        <w:rPr>
          <w:lang w:val="en-GB"/>
        </w:rPr>
        <w:t xml:space="preserve"> Gender is part of the broader socio-cultural context.</w:t>
      </w:r>
      <w:r w:rsidRPr="009F7561">
        <w:rPr>
          <w:vertAlign w:val="superscript"/>
          <w:lang w:val="en-GB"/>
        </w:rPr>
        <w:footnoteReference w:id="28"/>
      </w:r>
    </w:p>
    <w:p w:rsidRPr="009F7561" w:rsidR="001D323A" w:rsidP="00D04AC2" w:rsidRDefault="00CE2830" w14:paraId="7E28F7D7" w14:textId="5C6B3BA3">
      <w:pPr>
        <w:spacing w:before="120" w:after="120" w:line="300" w:lineRule="atLeast"/>
        <w:jc w:val="both"/>
        <w:rPr>
          <w:lang w:val="en-GB"/>
        </w:rPr>
      </w:pPr>
      <w:r w:rsidRPr="009F7561">
        <w:rPr>
          <w:b/>
          <w:lang w:val="en-GB"/>
        </w:rPr>
        <w:t>Gender-based violence (GBV)</w:t>
      </w:r>
      <w:r w:rsidRPr="009F7561">
        <w:rPr>
          <w:lang w:val="en-GB"/>
        </w:rPr>
        <w:t>:</w:t>
      </w:r>
      <w:r w:rsidRPr="009F7561">
        <w:rPr>
          <w:b/>
          <w:lang w:val="en-GB"/>
        </w:rPr>
        <w:t xml:space="preserve"> </w:t>
      </w:r>
      <w:r w:rsidRPr="009F7561">
        <w:rPr>
          <w:lang w:val="en-GB"/>
        </w:rPr>
        <w:t>An umbrella term for any harmful act that is perpetrated against a person</w:t>
      </w:r>
      <w:r w:rsidRPr="009F7561" w:rsidR="00315391">
        <w:rPr>
          <w:lang w:val="en-GB"/>
        </w:rPr>
        <w:t>’s</w:t>
      </w:r>
      <w:r w:rsidRPr="009F7561">
        <w:rPr>
          <w:lang w:val="en-GB"/>
        </w:rPr>
        <w:t xml:space="preserve"> will and that is based on socially ascribed (i.e. gender) differences between males and females. The term </w:t>
      </w:r>
      <w:r w:rsidRPr="009F7561" w:rsidR="00047351">
        <w:rPr>
          <w:lang w:val="en-GB"/>
        </w:rPr>
        <w:t>“</w:t>
      </w:r>
      <w:r w:rsidRPr="009F7561">
        <w:rPr>
          <w:lang w:val="en-GB"/>
        </w:rPr>
        <w:t xml:space="preserve">gender-based </w:t>
      </w:r>
      <w:r w:rsidRPr="009F7561" w:rsidR="00047351">
        <w:rPr>
          <w:lang w:val="en-GB"/>
        </w:rPr>
        <w:t xml:space="preserve">violence” </w:t>
      </w:r>
      <w:r w:rsidRPr="009F7561">
        <w:rPr>
          <w:lang w:val="en-GB"/>
        </w:rPr>
        <w:t>is primarily used to underscore the fact that structural, gender-based power differentials between males and females around the world place females at risk for multiple forms of violence</w:t>
      </w:r>
      <w:r w:rsidRPr="009F7561" w:rsidR="0062579A">
        <w:rPr>
          <w:lang w:val="en-GB"/>
        </w:rPr>
        <w:t>.</w:t>
      </w:r>
      <w:r w:rsidRPr="009F7561">
        <w:rPr>
          <w:vertAlign w:val="superscript"/>
          <w:lang w:val="en-GB"/>
        </w:rPr>
        <w:footnoteReference w:id="29"/>
      </w:r>
    </w:p>
    <w:p w:rsidRPr="009F7561" w:rsidR="001D323A" w:rsidP="00D04AC2" w:rsidRDefault="00CE2830" w14:paraId="7E28F7D9" w14:textId="77777777">
      <w:pPr>
        <w:spacing w:before="120" w:after="120" w:line="300" w:lineRule="atLeast"/>
        <w:jc w:val="both"/>
        <w:rPr>
          <w:vertAlign w:val="superscript"/>
          <w:lang w:val="en-GB"/>
        </w:rPr>
      </w:pPr>
      <w:r w:rsidRPr="009F7561">
        <w:rPr>
          <w:lang w:val="en-GB"/>
        </w:rPr>
        <w:t xml:space="preserve">As agreed in the </w:t>
      </w:r>
      <w:r w:rsidRPr="009F7561">
        <w:rPr>
          <w:i/>
          <w:lang w:val="en-GB"/>
        </w:rPr>
        <w:t xml:space="preserve">Declaration on the Elimination of Violence against Women </w:t>
      </w:r>
      <w:r w:rsidRPr="009F7561">
        <w:rPr>
          <w:lang w:val="en-GB"/>
        </w:rPr>
        <w:t>(1993), this includes acts that inflict physical, mental or sexual harm or suffering, threats of such acts, coercion and other deprivations of liberty, whether occurring in public or in private life. The term is also used by some actors to describe some forms of sexual violence against males and /or targeted violence against people, especially women and girls, with diverse sexual orientations and gender identities (see SOGIESC definition, below), in these cases when referencing violence related to gender-inequitable norms of masculinity and/or norms of gender identity.</w:t>
      </w:r>
    </w:p>
    <w:p w:rsidRPr="009F7561" w:rsidR="001D323A" w:rsidP="00D04AC2" w:rsidRDefault="00CE2830" w14:paraId="7E28F7DB" w14:textId="5C222EAB">
      <w:pPr>
        <w:spacing w:before="120" w:after="120" w:line="300" w:lineRule="atLeast"/>
        <w:jc w:val="both"/>
        <w:rPr>
          <w:lang w:val="en-GB"/>
        </w:rPr>
      </w:pPr>
      <w:r w:rsidRPr="009F7561">
        <w:rPr>
          <w:b/>
          <w:lang w:val="en-GB"/>
        </w:rPr>
        <w:t xml:space="preserve">Gender-based </w:t>
      </w:r>
      <w:r w:rsidRPr="009F7561" w:rsidR="00D01B3A">
        <w:rPr>
          <w:b/>
          <w:lang w:val="en-GB"/>
        </w:rPr>
        <w:t>v</w:t>
      </w:r>
      <w:r w:rsidRPr="009F7561">
        <w:rPr>
          <w:b/>
          <w:lang w:val="en-GB"/>
        </w:rPr>
        <w:t>iolence (GBV) case management</w:t>
      </w:r>
      <w:r w:rsidRPr="009F7561">
        <w:rPr>
          <w:lang w:val="en-GB"/>
        </w:rPr>
        <w:t>:</w:t>
      </w:r>
      <w:r w:rsidRPr="009F7561">
        <w:rPr>
          <w:b/>
          <w:lang w:val="en-GB"/>
        </w:rPr>
        <w:t xml:space="preserve"> </w:t>
      </w:r>
      <w:r w:rsidRPr="009F7561">
        <w:rPr>
          <w:lang w:val="en-GB"/>
        </w:rPr>
        <w:t>GBV case management, which is based on social work case management, is a structured method for providing help to a survivor</w:t>
      </w:r>
      <w:r w:rsidRPr="009F7561" w:rsidR="00D9200B">
        <w:rPr>
          <w:lang w:val="en-GB"/>
        </w:rPr>
        <w:t>.</w:t>
      </w:r>
      <w:r w:rsidRPr="009F7561">
        <w:rPr>
          <w:vertAlign w:val="superscript"/>
          <w:lang w:val="en-GB"/>
        </w:rPr>
        <w:footnoteReference w:id="30"/>
      </w:r>
      <w:r w:rsidRPr="009F7561">
        <w:rPr>
          <w:lang w:val="en-GB"/>
        </w:rPr>
        <w:t xml:space="preserve"> It involves one organization, usually a psychosocial support or social services actor, taking responsibility for making sure that survivors are informed of all the options available to them and that issues and problems facing a survivor and her/his family are identified and followed up in a coordinated way</w:t>
      </w:r>
      <w:r w:rsidR="00101D69">
        <w:rPr>
          <w:lang w:val="en-GB"/>
        </w:rPr>
        <w:t xml:space="preserve"> and</w:t>
      </w:r>
      <w:r w:rsidRPr="009F7561">
        <w:rPr>
          <w:lang w:val="en-GB"/>
        </w:rPr>
        <w:t xml:space="preserve"> providing the survivor with emotional support throughout the process. GBV case management services require specialized intervention from a range of service providers to meet a survivor</w:t>
      </w:r>
      <w:r w:rsidRPr="009F7561" w:rsidR="00315391">
        <w:rPr>
          <w:lang w:val="en-GB"/>
        </w:rPr>
        <w:t>’s</w:t>
      </w:r>
      <w:r w:rsidRPr="009F7561">
        <w:rPr>
          <w:lang w:val="en-GB"/>
        </w:rPr>
        <w:t xml:space="preserve"> immediate needs and support long-term recovery. Effective GBV case management ensures adherence to the GBV Guiding Principles. Case management for child survivors will be guided by the best interests of the child.</w:t>
      </w:r>
    </w:p>
    <w:p w:rsidRPr="009F7561" w:rsidR="001D323A" w:rsidP="00D04AC2" w:rsidRDefault="00CE2830" w14:paraId="7E28F7DD" w14:textId="4788CC9A">
      <w:pPr>
        <w:spacing w:before="120" w:after="120" w:line="300" w:lineRule="atLeast"/>
        <w:jc w:val="both"/>
        <w:rPr>
          <w:lang w:val="en-GB"/>
        </w:rPr>
      </w:pPr>
      <w:r w:rsidRPr="009F7561">
        <w:rPr>
          <w:b/>
          <w:lang w:val="en-GB"/>
        </w:rPr>
        <w:t xml:space="preserve">GBV </w:t>
      </w:r>
      <w:r w:rsidRPr="009F7561" w:rsidR="00D01B3A">
        <w:rPr>
          <w:b/>
          <w:lang w:val="en-GB"/>
        </w:rPr>
        <w:t>coordination group</w:t>
      </w:r>
      <w:r w:rsidRPr="009F7561">
        <w:rPr>
          <w:lang w:val="en-GB"/>
        </w:rPr>
        <w:t xml:space="preserve">: An umbrella term to describe a group of actors implementing or involved in supporting GBV programming. Examples include </w:t>
      </w:r>
      <w:r w:rsidRPr="009F7561" w:rsidR="00D01B3A">
        <w:rPr>
          <w:lang w:val="en-GB"/>
        </w:rPr>
        <w:t>sub-cluster, sub-sector, area of responsibility or working group.</w:t>
      </w:r>
    </w:p>
    <w:p w:rsidRPr="009F7561" w:rsidR="001D323A" w:rsidP="00D04AC2" w:rsidRDefault="00CE2830" w14:paraId="7E28F7DF" w14:textId="252CB744">
      <w:pPr>
        <w:spacing w:before="120" w:after="120" w:line="300" w:lineRule="atLeast"/>
        <w:jc w:val="both"/>
        <w:rPr>
          <w:lang w:val="en-GB"/>
        </w:rPr>
      </w:pPr>
      <w:r w:rsidRPr="009F7561">
        <w:rPr>
          <w:b/>
          <w:lang w:val="en-GB"/>
        </w:rPr>
        <w:t>GBV specialized service providers</w:t>
      </w:r>
      <w:r w:rsidRPr="009F7561">
        <w:rPr>
          <w:lang w:val="en-GB"/>
        </w:rPr>
        <w:t>: Refers to all actors, including UN, NGO</w:t>
      </w:r>
      <w:r w:rsidRPr="009F7561" w:rsidR="001935BB">
        <w:rPr>
          <w:lang w:val="en-GB"/>
        </w:rPr>
        <w:t xml:space="preserve"> and </w:t>
      </w:r>
      <w:r w:rsidRPr="009F7561">
        <w:rPr>
          <w:lang w:val="en-GB"/>
        </w:rPr>
        <w:t>governmental actors</w:t>
      </w:r>
      <w:r w:rsidRPr="009F7561" w:rsidR="00645A86">
        <w:rPr>
          <w:lang w:val="en-GB"/>
        </w:rPr>
        <w:t xml:space="preserve"> and local organizations</w:t>
      </w:r>
      <w:r w:rsidRPr="009F7561">
        <w:rPr>
          <w:lang w:val="en-GB"/>
        </w:rPr>
        <w:t xml:space="preserve"> providing GBV specialized services.</w:t>
      </w:r>
    </w:p>
    <w:p w:rsidRPr="009F7561" w:rsidR="001D323A" w:rsidP="00D04AC2" w:rsidRDefault="00CE2830" w14:paraId="7E28F7E1" w14:textId="54581B61">
      <w:pPr>
        <w:spacing w:before="120" w:after="120" w:line="300" w:lineRule="atLeast"/>
        <w:jc w:val="both"/>
        <w:rPr>
          <w:lang w:val="en-GB"/>
        </w:rPr>
      </w:pPr>
      <w:r w:rsidRPr="00585205">
        <w:rPr>
          <w:b/>
          <w:spacing w:val="-2"/>
          <w:lang w:val="en-GB"/>
        </w:rPr>
        <w:t>Gender equality</w:t>
      </w:r>
      <w:r w:rsidRPr="00585205">
        <w:rPr>
          <w:spacing w:val="-2"/>
          <w:lang w:val="en-GB"/>
        </w:rPr>
        <w:t>:</w:t>
      </w:r>
      <w:r w:rsidRPr="00585205">
        <w:rPr>
          <w:b/>
          <w:spacing w:val="-2"/>
          <w:lang w:val="en-GB"/>
        </w:rPr>
        <w:t xml:space="preserve"> </w:t>
      </w:r>
      <w:r w:rsidRPr="00585205">
        <w:rPr>
          <w:spacing w:val="-2"/>
          <w:lang w:val="en-GB"/>
        </w:rPr>
        <w:t xml:space="preserve">Refers to the equal rights, responsibilities and opportunities of women and men and girls and boys. Equality does not mean that women and men </w:t>
      </w:r>
      <w:r w:rsidR="0016536D">
        <w:rPr>
          <w:spacing w:val="-2"/>
          <w:lang w:val="en-GB"/>
        </w:rPr>
        <w:t>a</w:t>
      </w:r>
      <w:r w:rsidR="00031855">
        <w:rPr>
          <w:spacing w:val="-2"/>
          <w:lang w:val="en-GB"/>
        </w:rPr>
        <w:t xml:space="preserve">re </w:t>
      </w:r>
      <w:r w:rsidRPr="00585205">
        <w:rPr>
          <w:spacing w:val="-2"/>
          <w:lang w:val="en-GB"/>
        </w:rPr>
        <w:t>the same but that women</w:t>
      </w:r>
      <w:r w:rsidRPr="00585205" w:rsidR="00315391">
        <w:rPr>
          <w:spacing w:val="-2"/>
          <w:lang w:val="en-GB"/>
        </w:rPr>
        <w:t>’s</w:t>
      </w:r>
      <w:r w:rsidRPr="00585205">
        <w:rPr>
          <w:spacing w:val="-2"/>
          <w:lang w:val="en-GB"/>
        </w:rPr>
        <w:t xml:space="preserve"> and men</w:t>
      </w:r>
      <w:r w:rsidRPr="00585205" w:rsidR="00315391">
        <w:rPr>
          <w:spacing w:val="-2"/>
          <w:lang w:val="en-GB"/>
        </w:rPr>
        <w:t>’s</w:t>
      </w:r>
      <w:r w:rsidRPr="00585205">
        <w:rPr>
          <w:spacing w:val="-2"/>
          <w:lang w:val="en-GB"/>
        </w:rPr>
        <w:t xml:space="preserve"> rights, responsibilities and opportunities </w:t>
      </w:r>
      <w:r w:rsidR="00031855">
        <w:rPr>
          <w:spacing w:val="-2"/>
          <w:lang w:val="en-GB"/>
        </w:rPr>
        <w:t xml:space="preserve">do </w:t>
      </w:r>
      <w:r w:rsidRPr="00585205">
        <w:rPr>
          <w:spacing w:val="-2"/>
          <w:lang w:val="en-GB"/>
        </w:rPr>
        <w:t>not depend on whether they are born male or female. Gender equality implies that the interests, needs and priorities of both women and men are taken into consideration, recognizing the diversity of different groups of women and men. Gender equality is not a women</w:t>
      </w:r>
      <w:r w:rsidRPr="00585205" w:rsidR="00315391">
        <w:rPr>
          <w:spacing w:val="-2"/>
          <w:lang w:val="en-GB"/>
        </w:rPr>
        <w:t>’s</w:t>
      </w:r>
      <w:r w:rsidRPr="00585205">
        <w:rPr>
          <w:spacing w:val="-2"/>
          <w:lang w:val="en-GB"/>
        </w:rPr>
        <w:t xml:space="preserve"> issue but should concern and fully engage men as well as women. </w:t>
      </w:r>
      <w:r w:rsidRPr="00585205">
        <w:rPr>
          <w:spacing w:val="-2"/>
          <w:lang w:val="en-GB"/>
        </w:rPr>
        <w:t>Equality between women and men is seen both as a human rights issue and as a precondition for and indicator of sustainable people-centred development</w:t>
      </w:r>
      <w:r w:rsidRPr="009F7561">
        <w:rPr>
          <w:lang w:val="en-GB"/>
        </w:rPr>
        <w:t>.</w:t>
      </w:r>
      <w:r w:rsidRPr="009F7561">
        <w:rPr>
          <w:vertAlign w:val="superscript"/>
          <w:lang w:val="en-GB"/>
        </w:rPr>
        <w:footnoteReference w:id="31"/>
      </w:r>
    </w:p>
    <w:p w:rsidRPr="009F7561" w:rsidR="001D323A" w:rsidP="00D04AC2" w:rsidRDefault="00CE2830" w14:paraId="7E28F7E3" w14:textId="22F3561E">
      <w:pPr>
        <w:spacing w:before="120" w:after="120" w:line="300" w:lineRule="atLeast"/>
        <w:jc w:val="both"/>
        <w:rPr>
          <w:lang w:val="en-GB"/>
        </w:rPr>
      </w:pPr>
      <w:r w:rsidRPr="009F7561">
        <w:rPr>
          <w:b/>
          <w:lang w:val="en-GB"/>
        </w:rPr>
        <w:t>Gender equity</w:t>
      </w:r>
      <w:r w:rsidRPr="009F7561">
        <w:rPr>
          <w:lang w:val="en-GB"/>
        </w:rPr>
        <w:t>:</w:t>
      </w:r>
      <w:r w:rsidRPr="009F7561">
        <w:rPr>
          <w:b/>
          <w:lang w:val="en-GB"/>
        </w:rPr>
        <w:t xml:space="preserve"> </w:t>
      </w:r>
      <w:r w:rsidRPr="009F7561">
        <w:rPr>
          <w:lang w:val="en-GB"/>
        </w:rPr>
        <w:t>Refers to fairness and justice in the distribution of benefits and responsibilities between women and men, according to their respective needs. It is considered part of the process of achieving gender equality</w:t>
      </w:r>
      <w:r w:rsidRPr="009F7561" w:rsidR="0025527E">
        <w:rPr>
          <w:lang w:val="en-GB"/>
        </w:rPr>
        <w:t xml:space="preserve"> and </w:t>
      </w:r>
      <w:r w:rsidRPr="009F7561">
        <w:rPr>
          <w:lang w:val="en-GB"/>
        </w:rPr>
        <w:t>may include equal treatment (or treatment that is different but considered equivalent) in terms of rights, benefits, obligations and opportunities.</w:t>
      </w:r>
      <w:r w:rsidRPr="009F7561">
        <w:rPr>
          <w:vertAlign w:val="superscript"/>
          <w:lang w:val="en-GB"/>
        </w:rPr>
        <w:footnoteReference w:id="32"/>
      </w:r>
    </w:p>
    <w:p w:rsidRPr="009F7561" w:rsidR="001D323A" w:rsidP="00D04AC2" w:rsidRDefault="00CE2830" w14:paraId="7E28F7E5" w14:textId="43C25177">
      <w:pPr>
        <w:spacing w:before="120" w:after="120" w:line="300" w:lineRule="atLeast"/>
        <w:jc w:val="both"/>
        <w:rPr>
          <w:lang w:val="en-GB"/>
        </w:rPr>
      </w:pPr>
      <w:r w:rsidRPr="009F7561">
        <w:rPr>
          <w:b/>
          <w:lang w:val="en-GB"/>
        </w:rPr>
        <w:t>Gender mainstreaming</w:t>
      </w:r>
      <w:r w:rsidRPr="009F7561">
        <w:rPr>
          <w:lang w:val="en-GB"/>
        </w:rPr>
        <w:t>:</w:t>
      </w:r>
      <w:r w:rsidRPr="009F7561">
        <w:rPr>
          <w:b/>
          <w:lang w:val="en-GB"/>
        </w:rPr>
        <w:t xml:space="preserve"> </w:t>
      </w:r>
      <w:r w:rsidRPr="009F7561">
        <w:rPr>
          <w:lang w:val="en-GB"/>
        </w:rPr>
        <w:t>A strategy that aims to bring about gender equality and advance women</w:t>
      </w:r>
      <w:r w:rsidRPr="009F7561" w:rsidR="00315391">
        <w:rPr>
          <w:lang w:val="en-GB"/>
        </w:rPr>
        <w:t>’s</w:t>
      </w:r>
      <w:r w:rsidRPr="009F7561">
        <w:rPr>
          <w:lang w:val="en-GB"/>
        </w:rPr>
        <w:t xml:space="preserve"> rights by building gender capacity</w:t>
      </w:r>
      <w:r w:rsidRPr="009F7561">
        <w:rPr>
          <w:b/>
          <w:lang w:val="en-GB"/>
        </w:rPr>
        <w:t xml:space="preserve"> </w:t>
      </w:r>
      <w:r w:rsidRPr="009F7561">
        <w:rPr>
          <w:lang w:val="en-GB"/>
        </w:rPr>
        <w:t>and accountability in all aspects of an organization</w:t>
      </w:r>
      <w:r w:rsidRPr="009F7561" w:rsidR="00315391">
        <w:rPr>
          <w:lang w:val="en-GB"/>
        </w:rPr>
        <w:t>’s</w:t>
      </w:r>
      <w:r w:rsidRPr="009F7561">
        <w:rPr>
          <w:lang w:val="en-GB"/>
        </w:rPr>
        <w:t xml:space="preserve"> </w:t>
      </w:r>
      <w:r w:rsidRPr="00585205">
        <w:rPr>
          <w:spacing w:val="-2"/>
          <w:lang w:val="en-GB"/>
        </w:rPr>
        <w:t>policies and activities, thereby contributing to a profound</w:t>
      </w:r>
      <w:r w:rsidRPr="00585205">
        <w:rPr>
          <w:b/>
          <w:spacing w:val="-2"/>
          <w:lang w:val="en-GB"/>
        </w:rPr>
        <w:t xml:space="preserve"> </w:t>
      </w:r>
      <w:r w:rsidRPr="00585205">
        <w:rPr>
          <w:spacing w:val="-2"/>
          <w:lang w:val="en-GB"/>
        </w:rPr>
        <w:t>organizational transformation. It involves</w:t>
      </w:r>
      <w:r w:rsidRPr="009F7561">
        <w:rPr>
          <w:lang w:val="en-GB"/>
        </w:rPr>
        <w:t xml:space="preserve"> making gender perspectives – what women and men do and the</w:t>
      </w:r>
      <w:r w:rsidRPr="009F7561">
        <w:rPr>
          <w:b/>
          <w:lang w:val="en-GB"/>
        </w:rPr>
        <w:t xml:space="preserve"> </w:t>
      </w:r>
      <w:r w:rsidRPr="009F7561">
        <w:rPr>
          <w:lang w:val="en-GB"/>
        </w:rPr>
        <w:t>resources and decision-making processes they have access to – more central to all policy development,</w:t>
      </w:r>
      <w:r w:rsidRPr="009F7561">
        <w:rPr>
          <w:b/>
          <w:lang w:val="en-GB"/>
        </w:rPr>
        <w:t xml:space="preserve"> </w:t>
      </w:r>
      <w:r w:rsidRPr="009F7561">
        <w:rPr>
          <w:lang w:val="en-GB"/>
        </w:rPr>
        <w:t>research, advocacy, development, implementation and monitoring of norms and standards, and planning,</w:t>
      </w:r>
      <w:r w:rsidRPr="009F7561">
        <w:rPr>
          <w:b/>
          <w:lang w:val="en-GB"/>
        </w:rPr>
        <w:t xml:space="preserve"> </w:t>
      </w:r>
      <w:r w:rsidRPr="009F7561">
        <w:rPr>
          <w:lang w:val="en-GB"/>
        </w:rPr>
        <w:t>implementation and monitoring of projects.</w:t>
      </w:r>
      <w:r w:rsidRPr="009F7561">
        <w:rPr>
          <w:vertAlign w:val="superscript"/>
          <w:lang w:val="en-GB"/>
        </w:rPr>
        <w:footnoteReference w:id="33"/>
      </w:r>
    </w:p>
    <w:p w:rsidRPr="009F7561" w:rsidR="001D323A" w:rsidP="00D04AC2" w:rsidRDefault="00CE2830" w14:paraId="7E28F7E7" w14:textId="10BC0B24">
      <w:pPr>
        <w:spacing w:before="120" w:after="120" w:line="300" w:lineRule="atLeast"/>
        <w:jc w:val="both"/>
        <w:rPr>
          <w:lang w:val="en-GB"/>
        </w:rPr>
      </w:pPr>
      <w:r w:rsidRPr="009F7561">
        <w:rPr>
          <w:b/>
          <w:lang w:val="en-GB"/>
        </w:rPr>
        <w:t>Gender roles</w:t>
      </w:r>
      <w:r w:rsidRPr="009F7561">
        <w:rPr>
          <w:lang w:val="en-GB"/>
        </w:rPr>
        <w:t>:</w:t>
      </w:r>
      <w:r w:rsidRPr="009F7561">
        <w:rPr>
          <w:b/>
          <w:lang w:val="en-GB"/>
        </w:rPr>
        <w:t xml:space="preserve"> </w:t>
      </w:r>
      <w:r w:rsidRPr="009F7561">
        <w:rPr>
          <w:lang w:val="en-GB"/>
        </w:rPr>
        <w:t>A set of social and behavioural expectations or beliefs about how members of a culture should behave according to their biological sex; the distinct roles and responsibilities of men, women and other genders in a given culture. Gender roles vary among different societies and cultures, classes, ages and during different periods in history. Gender-specific roles and responsibilities are often conditioned by household structure, access to resources, specific impacts of the global economy</w:t>
      </w:r>
      <w:r w:rsidRPr="009F7561" w:rsidR="0025527E">
        <w:rPr>
          <w:lang w:val="en-GB"/>
        </w:rPr>
        <w:t xml:space="preserve"> and </w:t>
      </w:r>
      <w:r w:rsidRPr="009F7561">
        <w:rPr>
          <w:lang w:val="en-GB"/>
        </w:rPr>
        <w:t>other locally relevant factors such as ecological conditions.</w:t>
      </w:r>
      <w:r w:rsidRPr="009F7561">
        <w:rPr>
          <w:vertAlign w:val="superscript"/>
          <w:lang w:val="en-GB"/>
        </w:rPr>
        <w:footnoteReference w:id="34"/>
      </w:r>
    </w:p>
    <w:p w:rsidRPr="009F7561" w:rsidR="001D323A" w:rsidP="00D04AC2" w:rsidRDefault="00CE2830" w14:paraId="7E28F7EA" w14:textId="759D3B95">
      <w:pPr>
        <w:spacing w:before="120" w:after="120" w:line="300" w:lineRule="atLeast"/>
        <w:jc w:val="both"/>
        <w:rPr>
          <w:lang w:val="en-GB"/>
        </w:rPr>
      </w:pPr>
      <w:r w:rsidRPr="009F7561">
        <w:rPr>
          <w:b/>
          <w:lang w:val="en-GB"/>
        </w:rPr>
        <w:t>Gender relations</w:t>
      </w:r>
      <w:r w:rsidRPr="009F7561">
        <w:rPr>
          <w:lang w:val="en-GB"/>
        </w:rPr>
        <w:t>:</w:t>
      </w:r>
      <w:r w:rsidRPr="009F7561">
        <w:rPr>
          <w:b/>
          <w:lang w:val="en-GB"/>
        </w:rPr>
        <w:t xml:space="preserve"> </w:t>
      </w:r>
      <w:r w:rsidRPr="009F7561">
        <w:rPr>
          <w:lang w:val="en-GB"/>
        </w:rPr>
        <w:t>The ways in which a culture or society defines rights, responsibilities and the identities of men and women in relation to one another.</w:t>
      </w:r>
      <w:r w:rsidRPr="009F7561">
        <w:rPr>
          <w:vertAlign w:val="superscript"/>
          <w:lang w:val="en-GB"/>
        </w:rPr>
        <w:footnoteReference w:id="35"/>
      </w:r>
    </w:p>
    <w:p w:rsidRPr="009F7561" w:rsidR="001D323A" w:rsidP="00D04AC2" w:rsidRDefault="00CE2830" w14:paraId="7E28F7EC" w14:textId="5A745600">
      <w:pPr>
        <w:spacing w:before="120" w:after="120" w:line="300" w:lineRule="atLeast"/>
        <w:jc w:val="both"/>
        <w:rPr>
          <w:b/>
          <w:lang w:val="en-GB"/>
        </w:rPr>
      </w:pPr>
      <w:r w:rsidRPr="009F7561">
        <w:rPr>
          <w:b/>
          <w:lang w:val="en-GB"/>
        </w:rPr>
        <w:t>Harmful traditional practices</w:t>
      </w:r>
      <w:r w:rsidRPr="009F7561">
        <w:rPr>
          <w:lang w:val="en-GB"/>
        </w:rPr>
        <w:t>:</w:t>
      </w:r>
      <w:r w:rsidRPr="009F7561">
        <w:rPr>
          <w:b/>
          <w:lang w:val="en-GB"/>
        </w:rPr>
        <w:t xml:space="preserve"> </w:t>
      </w:r>
      <w:r w:rsidRPr="009F7561">
        <w:rPr>
          <w:lang w:val="en-GB"/>
        </w:rPr>
        <w:t>Cultural, social and religious customs and traditions that can be harmful to a person</w:t>
      </w:r>
      <w:r w:rsidRPr="009F7561" w:rsidR="00315391">
        <w:rPr>
          <w:lang w:val="en-GB"/>
        </w:rPr>
        <w:t>’s</w:t>
      </w:r>
      <w:r w:rsidRPr="009F7561">
        <w:rPr>
          <w:lang w:val="en-GB"/>
        </w:rPr>
        <w:t xml:space="preserve"> mental or</w:t>
      </w:r>
      <w:r w:rsidRPr="009F7561">
        <w:rPr>
          <w:b/>
          <w:lang w:val="en-GB"/>
        </w:rPr>
        <w:t xml:space="preserve"> </w:t>
      </w:r>
      <w:r w:rsidRPr="009F7561">
        <w:rPr>
          <w:lang w:val="en-GB"/>
        </w:rPr>
        <w:t>physical health. Every social grouping in the world has specific traditional cultural practices and</w:t>
      </w:r>
      <w:r w:rsidRPr="009F7561">
        <w:rPr>
          <w:b/>
          <w:lang w:val="en-GB"/>
        </w:rPr>
        <w:t xml:space="preserve"> </w:t>
      </w:r>
      <w:r w:rsidRPr="009F7561">
        <w:rPr>
          <w:lang w:val="en-GB"/>
        </w:rPr>
        <w:t>beliefs, some of which are beneficial to all members, while others are harmful to a specific group,</w:t>
      </w:r>
      <w:r w:rsidRPr="009F7561">
        <w:rPr>
          <w:b/>
          <w:lang w:val="en-GB"/>
        </w:rPr>
        <w:t xml:space="preserve"> </w:t>
      </w:r>
      <w:r w:rsidRPr="009F7561">
        <w:rPr>
          <w:lang w:val="en-GB"/>
        </w:rPr>
        <w:t>such as women and girls. These harmful traditional practices may include female genital mutilation/cutting (FGM/C);</w:t>
      </w:r>
      <w:r w:rsidRPr="009F7561">
        <w:rPr>
          <w:b/>
          <w:lang w:val="en-GB"/>
        </w:rPr>
        <w:t xml:space="preserve"> </w:t>
      </w:r>
      <w:r w:rsidRPr="009F7561">
        <w:rPr>
          <w:lang w:val="en-GB"/>
        </w:rPr>
        <w:t>forced feeding of women; child marriage; the various taboos or practices that prevent women from</w:t>
      </w:r>
      <w:r w:rsidRPr="009F7561">
        <w:rPr>
          <w:b/>
          <w:lang w:val="en-GB"/>
        </w:rPr>
        <w:t xml:space="preserve"> </w:t>
      </w:r>
      <w:r w:rsidRPr="009F7561">
        <w:rPr>
          <w:lang w:val="en-GB"/>
        </w:rPr>
        <w:t xml:space="preserve">controlling their own fertility; </w:t>
      </w:r>
      <w:r w:rsidRPr="00585205">
        <w:rPr>
          <w:spacing w:val="-2"/>
          <w:lang w:val="en-GB"/>
        </w:rPr>
        <w:t>nutritional taboos and traditional birth practices; son preference and</w:t>
      </w:r>
      <w:r w:rsidRPr="00585205">
        <w:rPr>
          <w:b/>
          <w:spacing w:val="-2"/>
          <w:lang w:val="en-GB"/>
        </w:rPr>
        <w:t xml:space="preserve"> </w:t>
      </w:r>
      <w:r w:rsidRPr="00585205">
        <w:rPr>
          <w:spacing w:val="-2"/>
          <w:lang w:val="en-GB"/>
        </w:rPr>
        <w:t>its implications for the status of the girl child; female infanticide; early pregnancy; and dowry price.</w:t>
      </w:r>
      <w:r w:rsidRPr="00585205">
        <w:rPr>
          <w:b/>
          <w:spacing w:val="-2"/>
          <w:lang w:val="en-GB"/>
        </w:rPr>
        <w:t xml:space="preserve"> </w:t>
      </w:r>
      <w:r w:rsidRPr="00585205">
        <w:rPr>
          <w:spacing w:val="-2"/>
          <w:lang w:val="en-GB"/>
        </w:rPr>
        <w:t>Other harmful traditional</w:t>
      </w:r>
      <w:r w:rsidRPr="009F7561">
        <w:rPr>
          <w:lang w:val="en-GB"/>
        </w:rPr>
        <w:t xml:space="preserve"> practices include binding, scarring, burning, branding,</w:t>
      </w:r>
      <w:r w:rsidRPr="009F7561">
        <w:rPr>
          <w:b/>
          <w:lang w:val="en-GB"/>
        </w:rPr>
        <w:t xml:space="preserve"> </w:t>
      </w:r>
      <w:r w:rsidRPr="009F7561">
        <w:rPr>
          <w:lang w:val="en-GB"/>
        </w:rPr>
        <w:t xml:space="preserve">violent initiation rites, fattening, forced marriage, killings in the name of </w:t>
      </w:r>
      <w:r w:rsidRPr="009F7561" w:rsidR="00E8438C">
        <w:rPr>
          <w:lang w:val="en-GB"/>
        </w:rPr>
        <w:t>honour</w:t>
      </w:r>
      <w:r w:rsidRPr="009F7561">
        <w:rPr>
          <w:lang w:val="en-GB"/>
        </w:rPr>
        <w:t>, dowry-related</w:t>
      </w:r>
      <w:r w:rsidRPr="009F7561">
        <w:rPr>
          <w:b/>
          <w:lang w:val="en-GB"/>
        </w:rPr>
        <w:t xml:space="preserve"> </w:t>
      </w:r>
      <w:r w:rsidRPr="009F7561">
        <w:rPr>
          <w:lang w:val="en-GB"/>
        </w:rPr>
        <w:t xml:space="preserve">violence, exorcism or </w:t>
      </w:r>
      <w:r w:rsidRPr="009F7561" w:rsidR="00AD17E4">
        <w:rPr>
          <w:lang w:val="en-GB"/>
        </w:rPr>
        <w:t>“witchcraft”</w:t>
      </w:r>
      <w:r w:rsidRPr="009F7561">
        <w:rPr>
          <w:lang w:val="en-GB"/>
        </w:rPr>
        <w:t>.</w:t>
      </w:r>
      <w:r w:rsidRPr="009F7561">
        <w:rPr>
          <w:vertAlign w:val="superscript"/>
          <w:lang w:val="en-GB"/>
        </w:rPr>
        <w:footnoteReference w:id="36"/>
      </w:r>
    </w:p>
    <w:p w:rsidRPr="009F7561" w:rsidR="001D323A" w:rsidP="00D04AC2" w:rsidRDefault="00CE2830" w14:paraId="7E28F7EE" w14:textId="6D316042">
      <w:pPr>
        <w:spacing w:before="120" w:after="120" w:line="300" w:lineRule="atLeast"/>
        <w:jc w:val="both"/>
        <w:rPr>
          <w:lang w:val="en-GB"/>
        </w:rPr>
      </w:pPr>
      <w:r w:rsidRPr="009F7561">
        <w:rPr>
          <w:b/>
          <w:lang w:val="en-GB"/>
        </w:rPr>
        <w:t>Host community</w:t>
      </w:r>
      <w:r w:rsidRPr="009F7561">
        <w:rPr>
          <w:lang w:val="en-GB"/>
        </w:rPr>
        <w:t>: A community that hosts large populations of refugees or internally displaced persons, whether in camps, integrated into households</w:t>
      </w:r>
      <w:r w:rsidRPr="009F7561" w:rsidR="00461384">
        <w:rPr>
          <w:lang w:val="en-GB"/>
        </w:rPr>
        <w:t xml:space="preserve"> or </w:t>
      </w:r>
      <w:r w:rsidRPr="009F7561">
        <w:rPr>
          <w:lang w:val="en-GB"/>
        </w:rPr>
        <w:t>independently</w:t>
      </w:r>
      <w:r w:rsidRPr="009F7561" w:rsidR="00AD17E4">
        <w:rPr>
          <w:lang w:val="en-GB"/>
        </w:rPr>
        <w:t>.</w:t>
      </w:r>
      <w:r w:rsidRPr="009F7561">
        <w:rPr>
          <w:vertAlign w:val="superscript"/>
          <w:lang w:val="en-GB"/>
        </w:rPr>
        <w:footnoteReference w:id="37"/>
      </w:r>
      <w:r w:rsidRPr="009F7561">
        <w:rPr>
          <w:lang w:val="en-GB"/>
        </w:rPr>
        <w:t xml:space="preserve"> </w:t>
      </w:r>
    </w:p>
    <w:p w:rsidRPr="009F7561" w:rsidR="001D323A" w:rsidP="00D04AC2" w:rsidRDefault="00CE2830" w14:paraId="7E28F7F0" w14:textId="1247AF90">
      <w:pPr>
        <w:spacing w:before="120" w:after="120" w:line="300" w:lineRule="atLeast"/>
        <w:jc w:val="both"/>
        <w:rPr>
          <w:lang w:val="en-GB"/>
        </w:rPr>
      </w:pPr>
      <w:r w:rsidRPr="009F7561">
        <w:rPr>
          <w:b/>
          <w:lang w:val="en-GB"/>
        </w:rPr>
        <w:t>Incident monitoring</w:t>
      </w:r>
      <w:r w:rsidRPr="009F7561">
        <w:rPr>
          <w:lang w:val="en-GB"/>
        </w:rPr>
        <w:t>: Monitoring of data derived from reported incidents of GBV. Incident data always represents only a small percentage of the number of incidents of GBV in a</w:t>
      </w:r>
      <w:r w:rsidR="00D04AC2">
        <w:rPr>
          <w:lang w:val="en-GB"/>
        </w:rPr>
        <w:t xml:space="preserve"> </w:t>
      </w:r>
      <w:r w:rsidRPr="009F7561">
        <w:rPr>
          <w:lang w:val="en-GB"/>
        </w:rPr>
        <w:t>specific population</w:t>
      </w:r>
      <w:r w:rsidR="00D04AC2">
        <w:rPr>
          <w:lang w:val="en-GB"/>
        </w:rPr>
        <w:t xml:space="preserve"> </w:t>
      </w:r>
      <w:r w:rsidRPr="009F7561">
        <w:rPr>
          <w:lang w:val="en-GB"/>
        </w:rPr>
        <w:t>at a</w:t>
      </w:r>
      <w:r w:rsidR="00D04AC2">
        <w:rPr>
          <w:lang w:val="en-GB"/>
        </w:rPr>
        <w:t xml:space="preserve"> </w:t>
      </w:r>
      <w:r w:rsidRPr="009F7561">
        <w:rPr>
          <w:lang w:val="en-GB"/>
        </w:rPr>
        <w:t>particular time point</w:t>
      </w:r>
      <w:r w:rsidR="00D04AC2">
        <w:rPr>
          <w:lang w:val="en-GB"/>
        </w:rPr>
        <w:t xml:space="preserve"> </w:t>
      </w:r>
      <w:r w:rsidRPr="009F7561">
        <w:rPr>
          <w:lang w:val="en-GB"/>
        </w:rPr>
        <w:t>or over a</w:t>
      </w:r>
      <w:r w:rsidR="00D04AC2">
        <w:rPr>
          <w:lang w:val="en-GB"/>
        </w:rPr>
        <w:t xml:space="preserve"> </w:t>
      </w:r>
      <w:r w:rsidRPr="009F7561">
        <w:rPr>
          <w:lang w:val="en-GB"/>
        </w:rPr>
        <w:t>specified period of time</w:t>
      </w:r>
      <w:r w:rsidRPr="00585205">
        <w:rPr>
          <w:b/>
          <w:highlight w:val="white"/>
          <w:lang w:val="en-GB"/>
        </w:rPr>
        <w:t xml:space="preserve"> </w:t>
      </w:r>
      <w:r w:rsidRPr="009F7561">
        <w:rPr>
          <w:lang w:val="en-GB"/>
        </w:rPr>
        <w:t>(known as prevalence).</w:t>
      </w:r>
      <w:r w:rsidRPr="009F7561" w:rsidR="003C264D">
        <w:rPr>
          <w:lang w:val="en-GB"/>
        </w:rPr>
        <w:t xml:space="preserve"> </w:t>
      </w:r>
      <w:r w:rsidRPr="009F7561">
        <w:rPr>
          <w:lang w:val="en-GB"/>
        </w:rPr>
        <w:t xml:space="preserve">Data on reported incidents of GBV </w:t>
      </w:r>
      <w:r w:rsidRPr="009F7561" w:rsidR="00DD346F">
        <w:rPr>
          <w:lang w:val="en-GB"/>
        </w:rPr>
        <w:t xml:space="preserve">are </w:t>
      </w:r>
      <w:r w:rsidRPr="009F7561">
        <w:rPr>
          <w:lang w:val="en-GB"/>
        </w:rPr>
        <w:t xml:space="preserve">not representative of the prevalence of GBV in any community, as trends are based solely on incidents reported by survivors to GBV actors and using the specific data collection tool. Hence, it is not advisable to use findings of any reported incident data as a proxy of the prevalence of GBV in any setting or to use it in isolation to monitor the quality of programmatic interventions. </w:t>
      </w:r>
      <w:r w:rsidRPr="009F7561" w:rsidR="0020740D">
        <w:rPr>
          <w:lang w:val="en-GB"/>
        </w:rPr>
        <w:t>“</w:t>
      </w:r>
      <w:r w:rsidRPr="009F7561">
        <w:rPr>
          <w:lang w:val="en-GB"/>
        </w:rPr>
        <w:t xml:space="preserve">Incident </w:t>
      </w:r>
      <w:r w:rsidRPr="009F7561" w:rsidR="0020740D">
        <w:rPr>
          <w:lang w:val="en-GB"/>
        </w:rPr>
        <w:t xml:space="preserve">data” </w:t>
      </w:r>
      <w:r w:rsidRPr="009F7561">
        <w:rPr>
          <w:lang w:val="en-GB"/>
        </w:rPr>
        <w:t xml:space="preserve">should not be confused with the term </w:t>
      </w:r>
      <w:r w:rsidRPr="009F7561" w:rsidR="00D47FCD">
        <w:rPr>
          <w:lang w:val="en-GB"/>
        </w:rPr>
        <w:t xml:space="preserve">“incidence” </w:t>
      </w:r>
      <w:r w:rsidRPr="009F7561">
        <w:rPr>
          <w:lang w:val="en-GB"/>
        </w:rPr>
        <w:t>which refers to the number of individuals who experience a specific event during a particular time period (such as a month or year).</w:t>
      </w:r>
    </w:p>
    <w:p w:rsidRPr="009F7561" w:rsidR="001D323A" w:rsidP="00D04AC2" w:rsidRDefault="00CE2830" w14:paraId="7E28F7F2" w14:textId="77777777">
      <w:pPr>
        <w:spacing w:before="120" w:after="120" w:line="300" w:lineRule="atLeast"/>
        <w:jc w:val="both"/>
        <w:rPr>
          <w:lang w:val="en-GB"/>
        </w:rPr>
      </w:pPr>
      <w:r w:rsidRPr="009F7561">
        <w:rPr>
          <w:b/>
          <w:lang w:val="en-GB"/>
        </w:rPr>
        <w:t>Individual, non-identifiable data:</w:t>
      </w:r>
      <w:r w:rsidRPr="009F7561">
        <w:rPr>
          <w:lang w:val="en-GB"/>
        </w:rPr>
        <w:t xml:space="preserve"> Data about an individual survivor that cannot be used to identify the survivor. This means that the data does not include any information such as the name or address of the survivor or any other information that may allow identification.</w:t>
      </w:r>
    </w:p>
    <w:p w:rsidRPr="009F7561" w:rsidR="001D323A" w:rsidP="00D04AC2" w:rsidRDefault="00CE2830" w14:paraId="7E28F7F4" w14:textId="7CE960C9">
      <w:pPr>
        <w:spacing w:before="120" w:after="120" w:line="300" w:lineRule="atLeast"/>
        <w:jc w:val="both"/>
        <w:rPr>
          <w:lang w:val="en-GB"/>
        </w:rPr>
      </w:pPr>
      <w:r w:rsidRPr="009F7561">
        <w:rPr>
          <w:b/>
          <w:lang w:val="en-GB"/>
        </w:rPr>
        <w:t xml:space="preserve">Informed assent: </w:t>
      </w:r>
      <w:r w:rsidRPr="00CA1A4C" w:rsidR="00CA1A4C">
        <w:rPr>
          <w:lang w:val="en-GB"/>
        </w:rPr>
        <w:t xml:space="preserve">Willingness to participate in services expressed by younger children who are by definition too young to give informed consent, but old enough to understand and agree to participate in services. </w:t>
      </w:r>
      <w:r w:rsidRPr="009F7561">
        <w:rPr>
          <w:vertAlign w:val="superscript"/>
          <w:lang w:val="en-GB"/>
        </w:rPr>
        <w:footnoteReference w:id="38"/>
      </w:r>
      <w:r w:rsidRPr="009F7561">
        <w:rPr>
          <w:lang w:val="en-GB"/>
        </w:rPr>
        <w:t xml:space="preserve"> Consent from parents/ guardians is not necessary where it is not in the best interests of the child to share information with their parents/guardians or where the parents/guardians are not reachable. The information provided and the way in which consent/assent is expressed must be</w:t>
      </w:r>
      <w:r w:rsidR="00EF6589">
        <w:rPr>
          <w:lang w:val="en-GB"/>
        </w:rPr>
        <w:t xml:space="preserve"> </w:t>
      </w:r>
      <w:r w:rsidRPr="009F7561">
        <w:rPr>
          <w:lang w:val="en-GB"/>
        </w:rPr>
        <w:t>appropriate to the age and capacity of the child and to the particular circumstances in which it is given</w:t>
      </w:r>
      <w:r w:rsidRPr="009F7561" w:rsidR="00D47FCD">
        <w:rPr>
          <w:lang w:val="en-GB"/>
        </w:rPr>
        <w:t>.</w:t>
      </w:r>
      <w:r w:rsidRPr="009F7561">
        <w:rPr>
          <w:vertAlign w:val="superscript"/>
          <w:lang w:val="en-GB"/>
        </w:rPr>
        <w:footnoteReference w:id="39"/>
      </w:r>
    </w:p>
    <w:p w:rsidRPr="009F7561" w:rsidR="001D323A" w:rsidP="00D04AC2" w:rsidRDefault="00CE2830" w14:paraId="7E28F7F6" w14:textId="0AC39E7D">
      <w:pPr>
        <w:spacing w:before="120" w:after="120" w:line="300" w:lineRule="atLeast"/>
        <w:jc w:val="both"/>
        <w:rPr>
          <w:lang w:val="en-GB"/>
        </w:rPr>
      </w:pPr>
      <w:r w:rsidRPr="009F7561">
        <w:rPr>
          <w:b/>
          <w:lang w:val="en-GB"/>
        </w:rPr>
        <w:t xml:space="preserve">Informed consent: </w:t>
      </w:r>
      <w:r w:rsidRPr="009F7561">
        <w:rPr>
          <w:lang w:val="en-GB"/>
        </w:rPr>
        <w:t>The voluntary agreement of an individual who has the legal capacity to give consent. To provide informed consent individual</w:t>
      </w:r>
      <w:r w:rsidR="00A03475">
        <w:rPr>
          <w:lang w:val="en-GB"/>
        </w:rPr>
        <w:t>s</w:t>
      </w:r>
      <w:r w:rsidRPr="009F7561">
        <w:rPr>
          <w:lang w:val="en-GB"/>
        </w:rPr>
        <w:t xml:space="preserve"> must have the capacity and maturity to know about and understand the services being offered and be legally able to give their consent. To ensure consent is “informed”, service providers must provide the following information to the survivor: </w:t>
      </w:r>
    </w:p>
    <w:p w:rsidRPr="009F7561" w:rsidR="001D323A" w:rsidP="00E96F61" w:rsidRDefault="00CE2830" w14:paraId="7E28F7F7" w14:textId="389CCFD4">
      <w:pPr>
        <w:numPr>
          <w:ilvl w:val="0"/>
          <w:numId w:val="1"/>
        </w:numPr>
        <w:pBdr>
          <w:top w:val="nil"/>
          <w:left w:val="nil"/>
          <w:bottom w:val="nil"/>
          <w:right w:val="nil"/>
          <w:between w:val="nil"/>
        </w:pBdr>
        <w:spacing w:before="120" w:after="120" w:line="240" w:lineRule="auto"/>
        <w:ind w:left="714" w:hanging="357"/>
        <w:jc w:val="both"/>
        <w:rPr>
          <w:lang w:val="en-GB"/>
        </w:rPr>
      </w:pPr>
      <w:r w:rsidRPr="00585205">
        <w:rPr>
          <w:lang w:val="en-GB"/>
        </w:rPr>
        <w:t>Provide all the possible information and options available to the person so she/he can make choices</w:t>
      </w:r>
      <w:r w:rsidR="00D04AC2">
        <w:rPr>
          <w:lang w:val="en-GB"/>
        </w:rPr>
        <w:t>.</w:t>
      </w:r>
    </w:p>
    <w:p w:rsidRPr="009F7561" w:rsidR="001D323A" w:rsidP="00E96F61" w:rsidRDefault="00CE2830" w14:paraId="7E28F7F8" w14:textId="6AD3EADE">
      <w:pPr>
        <w:numPr>
          <w:ilvl w:val="0"/>
          <w:numId w:val="1"/>
        </w:numPr>
        <w:pBdr>
          <w:top w:val="nil"/>
          <w:left w:val="nil"/>
          <w:bottom w:val="nil"/>
          <w:right w:val="nil"/>
          <w:between w:val="nil"/>
        </w:pBdr>
        <w:spacing w:before="120" w:after="120" w:line="240" w:lineRule="auto"/>
        <w:ind w:left="714" w:hanging="357"/>
        <w:jc w:val="both"/>
        <w:rPr>
          <w:lang w:val="en-GB"/>
        </w:rPr>
      </w:pPr>
      <w:r w:rsidRPr="00585205">
        <w:rPr>
          <w:lang w:val="en-GB"/>
        </w:rPr>
        <w:t>Inform the person that she/he may need to share his/her information with others who can provide additional services</w:t>
      </w:r>
      <w:r w:rsidR="00D04AC2">
        <w:rPr>
          <w:lang w:val="en-GB"/>
        </w:rPr>
        <w:t>.</w:t>
      </w:r>
    </w:p>
    <w:p w:rsidRPr="009F7561" w:rsidR="001D323A" w:rsidP="00E96F61" w:rsidRDefault="00CE2830" w14:paraId="7E28F7F9" w14:textId="508E64BC">
      <w:pPr>
        <w:numPr>
          <w:ilvl w:val="0"/>
          <w:numId w:val="1"/>
        </w:numPr>
        <w:pBdr>
          <w:top w:val="nil"/>
          <w:left w:val="nil"/>
          <w:bottom w:val="nil"/>
          <w:right w:val="nil"/>
          <w:between w:val="nil"/>
        </w:pBdr>
        <w:spacing w:before="120" w:after="120" w:line="240" w:lineRule="auto"/>
        <w:ind w:left="714" w:hanging="357"/>
        <w:jc w:val="both"/>
        <w:rPr>
          <w:lang w:val="en-GB"/>
        </w:rPr>
      </w:pPr>
      <w:r w:rsidRPr="00585205">
        <w:rPr>
          <w:lang w:val="en-GB"/>
        </w:rPr>
        <w:t>Explain to the person what will happen as you work with her/him. Explain the benefits and risks of services to the person</w:t>
      </w:r>
      <w:r w:rsidR="00D04AC2">
        <w:rPr>
          <w:lang w:val="en-GB"/>
        </w:rPr>
        <w:t>.</w:t>
      </w:r>
    </w:p>
    <w:p w:rsidRPr="009F7561" w:rsidR="001D323A" w:rsidP="00E96F61" w:rsidRDefault="00CE2830" w14:paraId="7E28F7FA" w14:textId="7A70F3D3">
      <w:pPr>
        <w:numPr>
          <w:ilvl w:val="0"/>
          <w:numId w:val="1"/>
        </w:numPr>
        <w:pBdr>
          <w:top w:val="nil"/>
          <w:left w:val="nil"/>
          <w:bottom w:val="nil"/>
          <w:right w:val="nil"/>
          <w:between w:val="nil"/>
        </w:pBdr>
        <w:spacing w:before="120" w:after="120" w:line="240" w:lineRule="auto"/>
        <w:ind w:left="714" w:hanging="357"/>
        <w:jc w:val="both"/>
        <w:rPr>
          <w:lang w:val="en-GB"/>
        </w:rPr>
      </w:pPr>
      <w:r w:rsidRPr="00585205">
        <w:rPr>
          <w:lang w:val="en-GB"/>
        </w:rPr>
        <w:t>Explain to the person that she/he has the right to decline or refuse any part of services</w:t>
      </w:r>
      <w:r w:rsidR="00D04AC2">
        <w:rPr>
          <w:lang w:val="en-GB"/>
        </w:rPr>
        <w:t>.</w:t>
      </w:r>
    </w:p>
    <w:p w:rsidRPr="009F7561" w:rsidR="001D323A" w:rsidP="00E96F61" w:rsidRDefault="00CE2830" w14:paraId="7E28F7FB" w14:textId="653F69A5">
      <w:pPr>
        <w:numPr>
          <w:ilvl w:val="0"/>
          <w:numId w:val="1"/>
        </w:numPr>
        <w:pBdr>
          <w:top w:val="nil"/>
          <w:left w:val="nil"/>
          <w:bottom w:val="nil"/>
          <w:right w:val="nil"/>
          <w:between w:val="nil"/>
        </w:pBdr>
        <w:spacing w:before="120" w:after="120" w:line="240" w:lineRule="auto"/>
        <w:ind w:left="714" w:hanging="357"/>
        <w:jc w:val="both"/>
        <w:rPr>
          <w:lang w:val="en-GB"/>
        </w:rPr>
      </w:pPr>
      <w:r w:rsidRPr="00585205">
        <w:rPr>
          <w:lang w:val="en-GB"/>
        </w:rPr>
        <w:t>Explain limits to confidentiality</w:t>
      </w:r>
      <w:r w:rsidRPr="00585205" w:rsidR="006B554A">
        <w:rPr>
          <w:lang w:val="en-GB"/>
        </w:rPr>
        <w:t>.</w:t>
      </w:r>
      <w:r w:rsidRPr="00585205">
        <w:rPr>
          <w:lang w:val="en-GB"/>
        </w:rPr>
        <w:t xml:space="preserve"> </w:t>
      </w:r>
    </w:p>
    <w:p w:rsidRPr="009F7561" w:rsidR="001D323A" w:rsidP="00D04AC2" w:rsidRDefault="00D15C40" w14:paraId="7E28F7FD" w14:textId="3E0358C0">
      <w:pPr>
        <w:spacing w:before="120" w:after="120" w:line="300" w:lineRule="atLeast"/>
        <w:jc w:val="both"/>
        <w:rPr>
          <w:lang w:val="en-GB"/>
        </w:rPr>
      </w:pPr>
      <w:r>
        <w:rPr>
          <w:b/>
          <w:lang w:val="en-GB"/>
        </w:rPr>
        <w:t>Inter-agency</w:t>
      </w:r>
      <w:r w:rsidRPr="009F7561" w:rsidR="00CE2830">
        <w:rPr>
          <w:b/>
          <w:lang w:val="en-GB"/>
        </w:rPr>
        <w:t xml:space="preserve"> GBV </w:t>
      </w:r>
      <w:r w:rsidRPr="009F7561" w:rsidR="008F6745">
        <w:rPr>
          <w:b/>
          <w:lang w:val="en-GB"/>
        </w:rPr>
        <w:t>standard operating procedures</w:t>
      </w:r>
      <w:r w:rsidRPr="009F7561" w:rsidR="008F6745">
        <w:rPr>
          <w:lang w:val="en-GB"/>
        </w:rPr>
        <w:t xml:space="preserve"> </w:t>
      </w:r>
      <w:r w:rsidRPr="009F7561" w:rsidR="00CE2830">
        <w:rPr>
          <w:lang w:val="en-GB"/>
        </w:rPr>
        <w:t>(GBV SOPs): Specific procedures and agreements among organizations in a particular context that reinforce the GBV Guiding Principles and standards for ethical, safe</w:t>
      </w:r>
      <w:r w:rsidRPr="009F7561" w:rsidR="0025527E">
        <w:rPr>
          <w:lang w:val="en-GB"/>
        </w:rPr>
        <w:t xml:space="preserve"> and </w:t>
      </w:r>
      <w:r w:rsidRPr="009F7561" w:rsidR="00CE2830">
        <w:rPr>
          <w:lang w:val="en-GB"/>
        </w:rPr>
        <w:t xml:space="preserve">coordinated multisectoral service delivery and outline the roles and responsibilities of each actor in the response to risk mitigation and prevention of GBV. </w:t>
      </w:r>
    </w:p>
    <w:p w:rsidRPr="009F7561" w:rsidR="001D323A" w:rsidP="00D04AC2" w:rsidRDefault="00CE2830" w14:paraId="7E28F7FF" w14:textId="43511808">
      <w:pPr>
        <w:spacing w:before="120" w:after="120" w:line="300" w:lineRule="atLeast"/>
        <w:jc w:val="both"/>
        <w:rPr>
          <w:lang w:val="en-GB"/>
        </w:rPr>
      </w:pPr>
      <w:r w:rsidRPr="009F7561">
        <w:rPr>
          <w:b/>
          <w:lang w:val="en-GB"/>
        </w:rPr>
        <w:t>Internally displaced people (IDP)</w:t>
      </w:r>
      <w:r w:rsidRPr="009F7561">
        <w:rPr>
          <w:lang w:val="en-GB"/>
        </w:rPr>
        <w:t>: Persons or groups of persons who have been forced or obliged to flee or to leave their homes or places of habitual residence, in particular as a result of or in order to avoid the effects of armed conflict, situations of generalized violence, violations of human rights</w:t>
      </w:r>
      <w:r w:rsidRPr="009F7561" w:rsidR="00461384">
        <w:rPr>
          <w:lang w:val="en-GB"/>
        </w:rPr>
        <w:t xml:space="preserve"> or </w:t>
      </w:r>
      <w:r w:rsidRPr="009F7561">
        <w:rPr>
          <w:lang w:val="en-GB"/>
        </w:rPr>
        <w:t>natural or human-made disasters</w:t>
      </w:r>
      <w:r w:rsidR="00101D69">
        <w:rPr>
          <w:lang w:val="en-GB"/>
        </w:rPr>
        <w:t xml:space="preserve"> and</w:t>
      </w:r>
      <w:r w:rsidRPr="009F7561">
        <w:rPr>
          <w:lang w:val="en-GB"/>
        </w:rPr>
        <w:t xml:space="preserve"> who have not crossed an internationally recognized state border.</w:t>
      </w:r>
      <w:r w:rsidRPr="009F7561">
        <w:rPr>
          <w:vertAlign w:val="superscript"/>
          <w:lang w:val="en-GB"/>
        </w:rPr>
        <w:t xml:space="preserve"> </w:t>
      </w:r>
      <w:r w:rsidRPr="009F7561">
        <w:rPr>
          <w:lang w:val="en-GB"/>
        </w:rPr>
        <w:t xml:space="preserve">“Internally </w:t>
      </w:r>
      <w:r w:rsidRPr="009F7561" w:rsidR="0054100C">
        <w:rPr>
          <w:lang w:val="en-GB"/>
        </w:rPr>
        <w:t>displaced persons</w:t>
      </w:r>
      <w:r w:rsidRPr="009F7561">
        <w:rPr>
          <w:lang w:val="en-GB"/>
        </w:rPr>
        <w:t>” is an interchangeable term</w:t>
      </w:r>
      <w:r w:rsidRPr="009F7561" w:rsidR="0054100C">
        <w:rPr>
          <w:lang w:val="en-GB"/>
        </w:rPr>
        <w:t>.</w:t>
      </w:r>
      <w:r w:rsidRPr="009F7561">
        <w:rPr>
          <w:vertAlign w:val="superscript"/>
          <w:lang w:val="en-GB"/>
        </w:rPr>
        <w:footnoteReference w:id="40"/>
      </w:r>
    </w:p>
    <w:p w:rsidRPr="009F7561" w:rsidR="001D323A" w:rsidP="00D04AC2" w:rsidRDefault="00CE2830" w14:paraId="7E28F801" w14:textId="797B8354">
      <w:pPr>
        <w:spacing w:before="120" w:after="120" w:line="300" w:lineRule="atLeast"/>
        <w:jc w:val="both"/>
        <w:rPr>
          <w:lang w:val="en-GB"/>
        </w:rPr>
      </w:pPr>
      <w:r w:rsidRPr="009F7561">
        <w:rPr>
          <w:b/>
          <w:lang w:val="en-GB"/>
        </w:rPr>
        <w:t>Intimate partner violence (IPV)</w:t>
      </w:r>
      <w:r w:rsidRPr="009F7561">
        <w:rPr>
          <w:lang w:val="en-GB"/>
        </w:rPr>
        <w:t>: Although IPV and domestic violence (DV) are sometimes used interchangeably, there are important distinctions between</w:t>
      </w:r>
      <w:r w:rsidRPr="009F7561">
        <w:rPr>
          <w:b/>
          <w:lang w:val="en-GB"/>
        </w:rPr>
        <w:t xml:space="preserve"> </w:t>
      </w:r>
      <w:r w:rsidRPr="009F7561">
        <w:rPr>
          <w:lang w:val="en-GB"/>
        </w:rPr>
        <w:t xml:space="preserve">them. </w:t>
      </w:r>
      <w:r w:rsidRPr="009F7561" w:rsidR="008C76D9">
        <w:rPr>
          <w:lang w:val="en-GB"/>
        </w:rPr>
        <w:t>“</w:t>
      </w:r>
      <w:r w:rsidRPr="009F7561">
        <w:rPr>
          <w:lang w:val="en-GB"/>
        </w:rPr>
        <w:t>Intimate partner</w:t>
      </w:r>
      <w:r w:rsidRPr="009F7561">
        <w:rPr>
          <w:b/>
          <w:lang w:val="en-GB"/>
        </w:rPr>
        <w:t xml:space="preserve"> </w:t>
      </w:r>
      <w:r w:rsidRPr="009F7561" w:rsidR="008C76D9">
        <w:rPr>
          <w:lang w:val="en-GB"/>
        </w:rPr>
        <w:t xml:space="preserve">violence” </w:t>
      </w:r>
      <w:r w:rsidRPr="009F7561">
        <w:rPr>
          <w:lang w:val="en-GB"/>
        </w:rPr>
        <w:t>applies specifically to violence occurring between intimate partners (married, cohabiting,</w:t>
      </w:r>
      <w:r w:rsidRPr="009F7561">
        <w:rPr>
          <w:b/>
          <w:lang w:val="en-GB"/>
        </w:rPr>
        <w:t xml:space="preserve"> </w:t>
      </w:r>
      <w:r w:rsidRPr="009F7561">
        <w:rPr>
          <w:lang w:val="en-GB"/>
        </w:rPr>
        <w:t>boyfriend/girlfriend or other close relationships)</w:t>
      </w:r>
      <w:r w:rsidRPr="009F7561">
        <w:rPr>
          <w:vertAlign w:val="superscript"/>
          <w:lang w:val="en-GB"/>
        </w:rPr>
        <w:footnoteReference w:id="41"/>
      </w:r>
      <w:r w:rsidRPr="009F7561" w:rsidR="0025527E">
        <w:rPr>
          <w:lang w:val="en-GB"/>
        </w:rPr>
        <w:t xml:space="preserve"> and </w:t>
      </w:r>
      <w:r w:rsidRPr="009F7561">
        <w:rPr>
          <w:lang w:val="en-GB"/>
        </w:rPr>
        <w:t>is defined by WHO as behaviour by an intimate</w:t>
      </w:r>
      <w:r w:rsidRPr="009F7561">
        <w:rPr>
          <w:b/>
          <w:lang w:val="en-GB"/>
        </w:rPr>
        <w:t xml:space="preserve"> </w:t>
      </w:r>
      <w:r w:rsidRPr="009F7561">
        <w:rPr>
          <w:lang w:val="en-GB"/>
        </w:rPr>
        <w:t>partner or ex-partner that causes physical, sexual or psychological harm, including physical</w:t>
      </w:r>
      <w:r w:rsidRPr="009F7561">
        <w:rPr>
          <w:b/>
          <w:lang w:val="en-GB"/>
        </w:rPr>
        <w:t xml:space="preserve"> </w:t>
      </w:r>
      <w:r w:rsidRPr="009F7561">
        <w:rPr>
          <w:lang w:val="en-GB"/>
        </w:rPr>
        <w:t xml:space="preserve">aggression, sexual coercion, psychological abuse and controlling behaviours. </w:t>
      </w:r>
      <w:r w:rsidR="00B33CF4">
        <w:rPr>
          <w:lang w:val="en-GB"/>
        </w:rPr>
        <w:br/>
      </w:r>
      <w:r w:rsidRPr="009F7561">
        <w:rPr>
          <w:lang w:val="en-GB"/>
        </w:rPr>
        <w:t>This type of violence</w:t>
      </w:r>
      <w:r w:rsidRPr="009F7561">
        <w:rPr>
          <w:b/>
          <w:lang w:val="en-GB"/>
        </w:rPr>
        <w:t xml:space="preserve"> </w:t>
      </w:r>
      <w:r w:rsidRPr="009F7561">
        <w:rPr>
          <w:lang w:val="en-GB"/>
        </w:rPr>
        <w:t xml:space="preserve">may also include the denial of resources, opportunities or services. </w:t>
      </w:r>
      <w:r w:rsidRPr="009F7561" w:rsidR="00110209">
        <w:rPr>
          <w:lang w:val="en-GB"/>
        </w:rPr>
        <w:t>“</w:t>
      </w:r>
      <w:r w:rsidRPr="009F7561">
        <w:rPr>
          <w:lang w:val="en-GB"/>
        </w:rPr>
        <w:t xml:space="preserve">Domestic </w:t>
      </w:r>
      <w:r w:rsidRPr="009F7561" w:rsidR="00110209">
        <w:rPr>
          <w:lang w:val="en-GB"/>
        </w:rPr>
        <w:t xml:space="preserve">violence” </w:t>
      </w:r>
      <w:r w:rsidRPr="009F7561">
        <w:rPr>
          <w:lang w:val="en-GB"/>
        </w:rPr>
        <w:t>is a term used to describe violence that takes place within the home</w:t>
      </w:r>
      <w:r w:rsidRPr="009F7561">
        <w:rPr>
          <w:b/>
          <w:lang w:val="en-GB"/>
        </w:rPr>
        <w:t xml:space="preserve"> </w:t>
      </w:r>
      <w:r w:rsidRPr="009F7561">
        <w:rPr>
          <w:lang w:val="en-GB"/>
        </w:rPr>
        <w:t>or family between intimate partners as well as between other family members.</w:t>
      </w:r>
      <w:r w:rsidRPr="009F7561" w:rsidR="00553246">
        <w:rPr>
          <w:lang w:val="en-GB"/>
        </w:rPr>
        <w:t xml:space="preserve"> See </w:t>
      </w:r>
      <w:r w:rsidRPr="009F7561" w:rsidR="00FF211B">
        <w:rPr>
          <w:lang w:val="en-GB"/>
        </w:rPr>
        <w:t>definition of domestic violence.</w:t>
      </w:r>
    </w:p>
    <w:p w:rsidRPr="009F7561" w:rsidR="001D323A" w:rsidP="00D04AC2" w:rsidRDefault="00CE2830" w14:paraId="7E28F803" w14:textId="0CB2DBF8">
      <w:pPr>
        <w:spacing w:before="120" w:after="120" w:line="300" w:lineRule="atLeast"/>
        <w:jc w:val="both"/>
        <w:rPr>
          <w:lang w:val="en-GB"/>
        </w:rPr>
      </w:pPr>
      <w:r w:rsidRPr="009F7561">
        <w:rPr>
          <w:b/>
          <w:lang w:val="en-GB"/>
        </w:rPr>
        <w:t xml:space="preserve">Local </w:t>
      </w:r>
      <w:r w:rsidRPr="009F7561" w:rsidR="00BE76EF">
        <w:rPr>
          <w:b/>
          <w:lang w:val="en-GB"/>
        </w:rPr>
        <w:t>integration</w:t>
      </w:r>
      <w:r w:rsidRPr="009F7561">
        <w:rPr>
          <w:b/>
          <w:lang w:val="en-GB"/>
        </w:rPr>
        <w:t xml:space="preserve">: </w:t>
      </w:r>
      <w:r w:rsidRPr="009F7561">
        <w:rPr>
          <w:lang w:val="en-GB"/>
        </w:rPr>
        <w:t>A durable solution for refugees that involves their permanent settlement in a host country. Local integration is a complex and gradual process, comprising three distinct but interrelated dimensions: legal, economic</w:t>
      </w:r>
      <w:r w:rsidRPr="009F7561" w:rsidR="0025527E">
        <w:rPr>
          <w:lang w:val="en-GB"/>
        </w:rPr>
        <w:t xml:space="preserve"> and </w:t>
      </w:r>
      <w:r w:rsidRPr="009F7561">
        <w:rPr>
          <w:lang w:val="en-GB"/>
        </w:rPr>
        <w:t>socio-cultural. The process is often concluded with the naturalization of the refugee.</w:t>
      </w:r>
    </w:p>
    <w:p w:rsidRPr="009F7561" w:rsidR="001D323A" w:rsidP="00D04AC2" w:rsidRDefault="00CE2830" w14:paraId="7E28F805" w14:textId="4F07EDBB">
      <w:pPr>
        <w:spacing w:before="120" w:after="120" w:line="300" w:lineRule="atLeast"/>
        <w:jc w:val="both"/>
        <w:rPr>
          <w:lang w:val="en-GB"/>
        </w:rPr>
      </w:pPr>
      <w:r w:rsidRPr="009F7561">
        <w:rPr>
          <w:b/>
          <w:lang w:val="en-GB"/>
        </w:rPr>
        <w:t>Mandatory reporting</w:t>
      </w:r>
      <w:r w:rsidRPr="009F7561">
        <w:rPr>
          <w:lang w:val="en-GB"/>
        </w:rPr>
        <w:t>:</w:t>
      </w:r>
      <w:r w:rsidRPr="009F7561">
        <w:rPr>
          <w:b/>
          <w:lang w:val="en-GB"/>
        </w:rPr>
        <w:t xml:space="preserve"> </w:t>
      </w:r>
      <w:r w:rsidRPr="009F7561">
        <w:rPr>
          <w:lang w:val="en-GB"/>
        </w:rPr>
        <w:t>This refers to state laws and policies that mandate certain agencies and/or persons in helping professions (teachers, social workers, health staff, etc.) to report actual or suspected forms of interpersonal violence (</w:t>
      </w:r>
      <w:r w:rsidRPr="009F7561" w:rsidR="00AC129C">
        <w:rPr>
          <w:lang w:val="en-GB"/>
        </w:rPr>
        <w:t>e.g.</w:t>
      </w:r>
      <w:r w:rsidRPr="009F7561">
        <w:rPr>
          <w:lang w:val="en-GB"/>
        </w:rPr>
        <w:t xml:space="preserve"> physical, sexual, neglect, emotional and psychological abuse, unlawful sexual intercourse)</w:t>
      </w:r>
      <w:r w:rsidRPr="009F7561" w:rsidR="00480F74">
        <w:rPr>
          <w:lang w:val="en-GB"/>
        </w:rPr>
        <w:t>.</w:t>
      </w:r>
      <w:r w:rsidRPr="009F7561">
        <w:rPr>
          <w:vertAlign w:val="superscript"/>
          <w:lang w:val="en-GB"/>
        </w:rPr>
        <w:footnoteReference w:id="42"/>
      </w:r>
      <w:r w:rsidRPr="009F7561">
        <w:rPr>
          <w:b/>
          <w:lang w:val="en-GB"/>
        </w:rPr>
        <w:t xml:space="preserve"> </w:t>
      </w:r>
      <w:r w:rsidRPr="009F7561">
        <w:rPr>
          <w:lang w:val="en-GB"/>
        </w:rPr>
        <w:t>Mandatory reporting may also be applied in cases where</w:t>
      </w:r>
      <w:r w:rsidRPr="009F7561">
        <w:rPr>
          <w:b/>
          <w:lang w:val="en-GB"/>
        </w:rPr>
        <w:t xml:space="preserve"> </w:t>
      </w:r>
      <w:r w:rsidRPr="009F7561">
        <w:rPr>
          <w:lang w:val="en-GB"/>
        </w:rPr>
        <w:t>a person is a threat to themselves or another person. Mandatory reporting is a responsibility for humanitarian</w:t>
      </w:r>
      <w:r w:rsidRPr="009F7561">
        <w:rPr>
          <w:b/>
          <w:lang w:val="en-GB"/>
        </w:rPr>
        <w:t xml:space="preserve"> </w:t>
      </w:r>
      <w:r w:rsidRPr="009F7561">
        <w:rPr>
          <w:lang w:val="en-GB"/>
        </w:rPr>
        <w:t>actors who hear about and/or receive a report of sexual exploitation or abuse committed by a humanitarian actor</w:t>
      </w:r>
      <w:r w:rsidRPr="009F7561">
        <w:rPr>
          <w:b/>
          <w:lang w:val="en-GB"/>
        </w:rPr>
        <w:t xml:space="preserve"> </w:t>
      </w:r>
      <w:r w:rsidRPr="009F7561">
        <w:rPr>
          <w:lang w:val="en-GB"/>
        </w:rPr>
        <w:t>against a member of the affected population.</w:t>
      </w:r>
    </w:p>
    <w:p w:rsidRPr="009F7561" w:rsidR="001D323A" w:rsidP="00D04AC2" w:rsidRDefault="00CE2830" w14:paraId="7E28F807" w14:textId="10C513C9">
      <w:pPr>
        <w:spacing w:before="120" w:after="120" w:line="300" w:lineRule="atLeast"/>
        <w:jc w:val="both"/>
        <w:rPr>
          <w:lang w:val="en-GB"/>
        </w:rPr>
      </w:pPr>
      <w:r w:rsidRPr="009F7561">
        <w:rPr>
          <w:b/>
          <w:lang w:val="en-GB"/>
        </w:rPr>
        <w:t xml:space="preserve">Menstrual </w:t>
      </w:r>
      <w:r w:rsidRPr="009F7561" w:rsidR="00657816">
        <w:rPr>
          <w:b/>
          <w:lang w:val="en-GB"/>
        </w:rPr>
        <w:t xml:space="preserve">health and hygiene </w:t>
      </w:r>
      <w:r w:rsidRPr="009F7561">
        <w:rPr>
          <w:b/>
          <w:lang w:val="en-GB"/>
        </w:rPr>
        <w:t>(MHH)</w:t>
      </w:r>
      <w:r w:rsidRPr="009F7561">
        <w:rPr>
          <w:lang w:val="en-GB"/>
        </w:rPr>
        <w:t xml:space="preserve">: Menstrual health and hygiene (MHH) encompasses both </w:t>
      </w:r>
      <w:r w:rsidRPr="009F7561" w:rsidR="00657816">
        <w:rPr>
          <w:lang w:val="en-GB"/>
        </w:rPr>
        <w:t xml:space="preserve">menstrual hygiene management </w:t>
      </w:r>
      <w:r w:rsidRPr="009F7561">
        <w:rPr>
          <w:lang w:val="en-GB"/>
        </w:rPr>
        <w:t>(MHM) and the broader systemic factors that link menstruation with health, well-being, gender equality, education, equity, empowerment</w:t>
      </w:r>
      <w:r w:rsidRPr="009F7561" w:rsidR="0025527E">
        <w:rPr>
          <w:lang w:val="en-GB"/>
        </w:rPr>
        <w:t xml:space="preserve"> and </w:t>
      </w:r>
      <w:r w:rsidRPr="009F7561">
        <w:rPr>
          <w:lang w:val="en-GB"/>
        </w:rPr>
        <w:t>rights</w:t>
      </w:r>
      <w:r w:rsidRPr="009F7561" w:rsidR="00657816">
        <w:rPr>
          <w:lang w:val="en-GB"/>
        </w:rPr>
        <w:t>.</w:t>
      </w:r>
      <w:r w:rsidRPr="009F7561">
        <w:rPr>
          <w:vertAlign w:val="superscript"/>
          <w:lang w:val="en-GB"/>
        </w:rPr>
        <w:footnoteReference w:id="43"/>
      </w:r>
      <w:r w:rsidRPr="009F7561">
        <w:rPr>
          <w:lang w:val="en-GB"/>
        </w:rPr>
        <w:t xml:space="preserve"> These systematic factors have been summar</w:t>
      </w:r>
      <w:r w:rsidRPr="009F7561" w:rsidR="002D1850">
        <w:rPr>
          <w:lang w:val="en-GB"/>
        </w:rPr>
        <w:t>ize</w:t>
      </w:r>
      <w:r w:rsidRPr="009F7561">
        <w:rPr>
          <w:lang w:val="en-GB"/>
        </w:rPr>
        <w:t xml:space="preserve">d by </w:t>
      </w:r>
      <w:r w:rsidRPr="009F7561" w:rsidR="00F14925">
        <w:rPr>
          <w:lang w:val="en-GB"/>
        </w:rPr>
        <w:t xml:space="preserve">UNICEF </w:t>
      </w:r>
      <w:r w:rsidRPr="009F7561">
        <w:rPr>
          <w:lang w:val="en-GB"/>
        </w:rPr>
        <w:t>as accurate and timely knowledge, available, safe</w:t>
      </w:r>
      <w:r w:rsidRPr="009F7561" w:rsidR="0025527E">
        <w:rPr>
          <w:lang w:val="en-GB"/>
        </w:rPr>
        <w:t xml:space="preserve"> and </w:t>
      </w:r>
      <w:r w:rsidRPr="009F7561">
        <w:rPr>
          <w:lang w:val="en-GB"/>
        </w:rPr>
        <w:t>affordable materials, informed and comfortable professionals, referral and access to health services, sanitation and washing facilities, positive social norms, safe and hygienic disposal and advocacy and policy.</w:t>
      </w:r>
    </w:p>
    <w:p w:rsidRPr="009F7561" w:rsidR="001D323A" w:rsidP="00D04AC2" w:rsidRDefault="00CE2830" w14:paraId="7E28F809" w14:textId="7394B2F9">
      <w:pPr>
        <w:spacing w:before="120" w:after="120" w:line="300" w:lineRule="atLeast"/>
        <w:jc w:val="both"/>
        <w:rPr>
          <w:lang w:val="en-GB"/>
        </w:rPr>
      </w:pPr>
      <w:r w:rsidRPr="009F7561">
        <w:rPr>
          <w:b/>
          <w:lang w:val="en-GB"/>
        </w:rPr>
        <w:t xml:space="preserve">Menstrual </w:t>
      </w:r>
      <w:r w:rsidRPr="009F7561" w:rsidR="00B446F3">
        <w:rPr>
          <w:b/>
          <w:lang w:val="en-GB"/>
        </w:rPr>
        <w:t>materials</w:t>
      </w:r>
      <w:r w:rsidRPr="009F7561" w:rsidR="003116ED">
        <w:rPr>
          <w:b/>
          <w:lang w:val="en-GB"/>
        </w:rPr>
        <w:t>:</w:t>
      </w:r>
      <w:r w:rsidRPr="009F7561" w:rsidR="00B446F3">
        <w:rPr>
          <w:lang w:val="en-GB"/>
        </w:rPr>
        <w:t xml:space="preserve"> </w:t>
      </w:r>
      <w:r w:rsidRPr="009F7561" w:rsidR="003116ED">
        <w:rPr>
          <w:lang w:val="en-GB"/>
        </w:rPr>
        <w:t>P</w:t>
      </w:r>
      <w:r w:rsidRPr="009F7561">
        <w:rPr>
          <w:lang w:val="en-GB"/>
        </w:rPr>
        <w:t xml:space="preserve">urpose-made products (e.g. pads, tampons or cups) or other materials (e.g. cloth or self-made solutions) used to collect or absorb menstrual fluid. </w:t>
      </w:r>
    </w:p>
    <w:p w:rsidRPr="009F7561" w:rsidR="001D323A" w:rsidP="00D04AC2" w:rsidRDefault="00CE2830" w14:paraId="7E28F80B" w14:textId="2AA2FA10">
      <w:pPr>
        <w:spacing w:before="120" w:after="120" w:line="300" w:lineRule="atLeast"/>
        <w:jc w:val="both"/>
        <w:rPr>
          <w:lang w:val="en-GB"/>
        </w:rPr>
      </w:pPr>
      <w:r w:rsidRPr="009F7561">
        <w:rPr>
          <w:b/>
          <w:lang w:val="en-GB"/>
        </w:rPr>
        <w:t xml:space="preserve">Menstrual </w:t>
      </w:r>
      <w:r w:rsidRPr="009F7561" w:rsidR="0023727D">
        <w:rPr>
          <w:b/>
          <w:lang w:val="en-GB"/>
        </w:rPr>
        <w:t>supplies</w:t>
      </w:r>
      <w:r w:rsidRPr="009F7561" w:rsidR="003116ED">
        <w:rPr>
          <w:b/>
          <w:lang w:val="en-GB"/>
        </w:rPr>
        <w:t>:</w:t>
      </w:r>
      <w:r w:rsidRPr="009F7561" w:rsidR="0023727D">
        <w:rPr>
          <w:lang w:val="en-GB"/>
        </w:rPr>
        <w:t xml:space="preserve"> </w:t>
      </w:r>
      <w:r w:rsidRPr="009F7561" w:rsidR="003116ED">
        <w:rPr>
          <w:lang w:val="en-GB"/>
        </w:rPr>
        <w:t>A</w:t>
      </w:r>
      <w:r w:rsidRPr="009F7561">
        <w:rPr>
          <w:lang w:val="en-GB"/>
        </w:rPr>
        <w:t>dditional products required to manage menstruation, including but not limited to underwear, bathing soap for personal hygiene, washing detergent for cleaning clothing or reusable menstrual products.</w:t>
      </w:r>
    </w:p>
    <w:p w:rsidRPr="009F7561" w:rsidR="001D323A" w:rsidP="00D04AC2" w:rsidRDefault="00CE2830" w14:paraId="7E28F80D" w14:textId="04DF6B23">
      <w:pPr>
        <w:spacing w:before="120" w:after="120" w:line="300" w:lineRule="atLeast"/>
        <w:jc w:val="both"/>
        <w:rPr>
          <w:b/>
          <w:lang w:val="en-GB"/>
        </w:rPr>
      </w:pPr>
      <w:r w:rsidRPr="009F7561">
        <w:rPr>
          <w:b/>
          <w:lang w:val="en-GB"/>
        </w:rPr>
        <w:t xml:space="preserve">Mental </w:t>
      </w:r>
      <w:r w:rsidRPr="009F7561" w:rsidR="0016706F">
        <w:rPr>
          <w:b/>
          <w:lang w:val="en-GB"/>
        </w:rPr>
        <w:t xml:space="preserve">health and psychosocial support </w:t>
      </w:r>
      <w:r w:rsidRPr="009F7561">
        <w:rPr>
          <w:b/>
          <w:lang w:val="en-GB"/>
        </w:rPr>
        <w:t>(MHPSS)</w:t>
      </w:r>
      <w:r w:rsidRPr="009F7561" w:rsidR="003116ED">
        <w:rPr>
          <w:b/>
          <w:lang w:val="en-GB"/>
        </w:rPr>
        <w:t>:</w:t>
      </w:r>
      <w:r w:rsidRPr="009F7561">
        <w:rPr>
          <w:b/>
          <w:lang w:val="en-GB"/>
        </w:rPr>
        <w:t xml:space="preserve"> </w:t>
      </w:r>
      <w:r w:rsidRPr="009F7561" w:rsidR="003116ED">
        <w:rPr>
          <w:lang w:val="en-GB"/>
        </w:rPr>
        <w:t>A</w:t>
      </w:r>
      <w:r w:rsidRPr="009F7561">
        <w:rPr>
          <w:lang w:val="en-GB"/>
        </w:rPr>
        <w:t xml:space="preserve"> composite term used in these guidelines to describe any type of local or outside support that aims to protect or promote psychosocial well-being and/or prevent or treat mental disorder.</w:t>
      </w:r>
      <w:r w:rsidRPr="009F7561">
        <w:rPr>
          <w:vertAlign w:val="superscript"/>
          <w:lang w:val="en-GB"/>
        </w:rPr>
        <w:footnoteReference w:id="44"/>
      </w:r>
      <w:r w:rsidRPr="009F7561">
        <w:rPr>
          <w:lang w:val="en-GB"/>
        </w:rPr>
        <w:t xml:space="preserve"> An</w:t>
      </w:r>
      <w:r w:rsidRPr="009F7561">
        <w:rPr>
          <w:b/>
          <w:lang w:val="en-GB"/>
        </w:rPr>
        <w:t xml:space="preserve"> </w:t>
      </w:r>
      <w:r w:rsidRPr="009F7561">
        <w:rPr>
          <w:lang w:val="en-GB"/>
        </w:rPr>
        <w:t>MHPSS approach is a way to engage with and analyse a situation</w:t>
      </w:r>
      <w:r w:rsidR="00101D69">
        <w:rPr>
          <w:lang w:val="en-GB"/>
        </w:rPr>
        <w:t xml:space="preserve"> and</w:t>
      </w:r>
      <w:r w:rsidRPr="009F7561">
        <w:rPr>
          <w:lang w:val="en-GB"/>
        </w:rPr>
        <w:t xml:space="preserve"> provide a response, taking into account</w:t>
      </w:r>
      <w:r w:rsidRPr="009F7561">
        <w:rPr>
          <w:b/>
          <w:lang w:val="en-GB"/>
        </w:rPr>
        <w:t xml:space="preserve"> </w:t>
      </w:r>
      <w:r w:rsidRPr="009F7561">
        <w:rPr>
          <w:lang w:val="en-GB"/>
        </w:rPr>
        <w:t>both psychological and social elements. This may include support interventions in the health sector, education,</w:t>
      </w:r>
      <w:r w:rsidRPr="009F7561">
        <w:rPr>
          <w:b/>
          <w:lang w:val="en-GB"/>
        </w:rPr>
        <w:t xml:space="preserve"> </w:t>
      </w:r>
      <w:r w:rsidRPr="009F7561">
        <w:rPr>
          <w:lang w:val="en-GB"/>
        </w:rPr>
        <w:t>community services, protection and other sectors.</w:t>
      </w:r>
    </w:p>
    <w:p w:rsidRPr="009F7561" w:rsidR="001D323A" w:rsidP="00D04AC2" w:rsidRDefault="00CE2830" w14:paraId="7E28F80F" w14:textId="62C59E71">
      <w:pPr>
        <w:spacing w:before="120" w:after="120" w:line="300" w:lineRule="atLeast"/>
        <w:jc w:val="both"/>
        <w:rPr>
          <w:lang w:val="en-GB"/>
        </w:rPr>
      </w:pPr>
      <w:r w:rsidRPr="00BE7AC3">
        <w:rPr>
          <w:b/>
          <w:lang w:val="en-GB"/>
        </w:rPr>
        <w:t>Migrants</w:t>
      </w:r>
      <w:r w:rsidRPr="00BE7AC3">
        <w:rPr>
          <w:lang w:val="en-GB"/>
        </w:rPr>
        <w:t>:</w:t>
      </w:r>
      <w:r w:rsidRPr="00BE7AC3">
        <w:rPr>
          <w:b/>
          <w:lang w:val="en-GB"/>
        </w:rPr>
        <w:t xml:space="preserve"> </w:t>
      </w:r>
      <w:r w:rsidRPr="009F7561" w:rsidR="00AE7F75">
        <w:rPr>
          <w:lang w:val="en-GB"/>
        </w:rPr>
        <w:t>There is no universally accepted definition of the term migrant</w:t>
      </w:r>
      <w:r w:rsidRPr="009F7561" w:rsidR="0025527E">
        <w:rPr>
          <w:lang w:val="en-GB"/>
        </w:rPr>
        <w:t xml:space="preserve"> and </w:t>
      </w:r>
      <w:r w:rsidRPr="009F7561" w:rsidR="00AE7F75">
        <w:rPr>
          <w:lang w:val="en-GB"/>
        </w:rPr>
        <w:t>the term is not defined by international law. Traditionally, the word migrant (or, more accurately, international migrant) has been used to refer to people who choose to move across international borders, not because of a direct threat of persecution, serious harm</w:t>
      </w:r>
      <w:r w:rsidRPr="009F7561" w:rsidR="00461384">
        <w:rPr>
          <w:lang w:val="en-GB"/>
        </w:rPr>
        <w:t xml:space="preserve"> or </w:t>
      </w:r>
      <w:r w:rsidRPr="009F7561" w:rsidR="00AE7F75">
        <w:rPr>
          <w:lang w:val="en-GB"/>
        </w:rPr>
        <w:t>death, but exclusively for other reasons, such as to improve their conditions by pursuing work or education opportunities</w:t>
      </w:r>
      <w:r w:rsidRPr="009F7561" w:rsidR="00461384">
        <w:rPr>
          <w:lang w:val="en-GB"/>
        </w:rPr>
        <w:t xml:space="preserve"> or </w:t>
      </w:r>
      <w:r w:rsidRPr="009F7561" w:rsidR="00AE7F75">
        <w:rPr>
          <w:lang w:val="en-GB"/>
        </w:rPr>
        <w:t>to reunite with family. Migrants in this sense of the word</w:t>
      </w:r>
      <w:r w:rsidRPr="009F7561" w:rsidR="00315391">
        <w:rPr>
          <w:lang w:val="en-GB"/>
        </w:rPr>
        <w:t xml:space="preserve"> – </w:t>
      </w:r>
      <w:r w:rsidRPr="009F7561" w:rsidR="00AE7F75">
        <w:rPr>
          <w:lang w:val="en-GB"/>
        </w:rPr>
        <w:t>unlike refugees</w:t>
      </w:r>
      <w:r w:rsidRPr="009F7561" w:rsidR="00315391">
        <w:rPr>
          <w:lang w:val="en-GB"/>
        </w:rPr>
        <w:t xml:space="preserve"> – </w:t>
      </w:r>
      <w:r w:rsidRPr="009F7561" w:rsidR="00AE7F75">
        <w:rPr>
          <w:lang w:val="en-GB"/>
        </w:rPr>
        <w:t>continue in principle to enjoy the protection of their own government, even when they are abroad. If they return, they will continue to receive that protection. Nevertheless, the word migrant is used by some actors as an umbrella term to refer to any person who moves within a country or across a border, temporarily or permanently</w:t>
      </w:r>
      <w:r w:rsidRPr="009F7561" w:rsidR="0025527E">
        <w:rPr>
          <w:lang w:val="en-GB"/>
        </w:rPr>
        <w:t xml:space="preserve"> and </w:t>
      </w:r>
      <w:r w:rsidRPr="009F7561" w:rsidR="00AE7F75">
        <w:rPr>
          <w:lang w:val="en-GB"/>
        </w:rPr>
        <w:t>for a variety of reasons. In this sense, the term covers legally defined categories such as migrant workers and smuggled migrants, as well as others whose status or means of movement is not specifically defined under international law, such as international students. UNHCR recommends that</w:t>
      </w:r>
      <w:r w:rsidRPr="009F7561" w:rsidR="003C264D">
        <w:rPr>
          <w:lang w:val="en-GB"/>
        </w:rPr>
        <w:t xml:space="preserve"> </w:t>
      </w:r>
      <w:r w:rsidRPr="009F7561" w:rsidR="00315391">
        <w:rPr>
          <w:lang w:val="en-GB"/>
        </w:rPr>
        <w:t xml:space="preserve">– </w:t>
      </w:r>
      <w:r w:rsidRPr="009F7561" w:rsidR="00AE7F75">
        <w:rPr>
          <w:lang w:val="en-GB"/>
        </w:rPr>
        <w:t>except in very specific contexts (notably statistical: see below)</w:t>
      </w:r>
      <w:r w:rsidRPr="009F7561" w:rsidR="00315391">
        <w:rPr>
          <w:lang w:val="en-GB"/>
        </w:rPr>
        <w:t xml:space="preserve"> –</w:t>
      </w:r>
      <w:r w:rsidRPr="009F7561" w:rsidR="003C264D">
        <w:rPr>
          <w:lang w:val="en-GB"/>
        </w:rPr>
        <w:t xml:space="preserve"> </w:t>
      </w:r>
      <w:r w:rsidRPr="009F7561" w:rsidR="00AE7F75">
        <w:rPr>
          <w:lang w:val="en-GB"/>
        </w:rPr>
        <w:t>the word migrant should not be used as a catchall term to refer to refugees or to people who are likely to be in need of international protection, such as asylum-seekers. To do so risks undermining access to the specific legal protections that States are obliged to provide to refugees</w:t>
      </w:r>
      <w:r w:rsidRPr="009F7561" w:rsidR="00315391">
        <w:rPr>
          <w:lang w:val="en-GB"/>
        </w:rPr>
        <w:t>.</w:t>
      </w:r>
      <w:r w:rsidRPr="009F7561" w:rsidR="00AE7F75">
        <w:rPr>
          <w:rStyle w:val="FootnoteReference"/>
          <w:lang w:val="en-GB"/>
        </w:rPr>
        <w:footnoteReference w:id="45"/>
      </w:r>
    </w:p>
    <w:p w:rsidRPr="009F7561" w:rsidR="001D323A" w:rsidP="00D04AC2" w:rsidRDefault="00CE2830" w14:paraId="7E28F811" w14:textId="77777777">
      <w:pPr>
        <w:spacing w:before="120" w:after="120" w:line="300" w:lineRule="atLeast"/>
        <w:jc w:val="both"/>
        <w:rPr>
          <w:b/>
          <w:lang w:val="en-GB"/>
        </w:rPr>
      </w:pPr>
      <w:r w:rsidRPr="009F7561">
        <w:rPr>
          <w:b/>
          <w:lang w:val="en-GB"/>
        </w:rPr>
        <w:t>Mixed setting</w:t>
      </w:r>
      <w:r w:rsidRPr="009F7561">
        <w:rPr>
          <w:lang w:val="en-GB"/>
        </w:rPr>
        <w:t>: A physical setting or location that includes different groups of affected populations (e.g. a mixed setting of migrants and refugees).</w:t>
      </w:r>
    </w:p>
    <w:p w:rsidRPr="009F7561" w:rsidR="001D323A" w:rsidP="00D04AC2" w:rsidRDefault="00CE2830" w14:paraId="7E28F813" w14:textId="179AF5C8" w14:noSpellErr="1">
      <w:pPr>
        <w:spacing w:before="120" w:after="120" w:line="300" w:lineRule="atLeast"/>
        <w:jc w:val="both"/>
        <w:rPr>
          <w:lang w:val="en-GB"/>
        </w:rPr>
      </w:pPr>
      <w:r w:rsidRPr="4CE61699" w:rsidR="00CE2830">
        <w:rPr>
          <w:b w:val="1"/>
          <w:bCs w:val="1"/>
          <w:lang w:val="en-GB"/>
        </w:rPr>
        <w:t>Nexus</w:t>
      </w:r>
      <w:r w:rsidRPr="009F7561" w:rsidR="00CE2830">
        <w:rPr>
          <w:lang w:val="en-GB"/>
        </w:rPr>
        <w:t xml:space="preserve">: A </w:t>
      </w:r>
      <w:r w:rsidRPr="009F7561" w:rsidR="00315391">
        <w:rPr>
          <w:lang w:val="en-GB"/>
        </w:rPr>
        <w:t>“</w:t>
      </w:r>
      <w:r w:rsidRPr="009F7561" w:rsidR="00CE2830">
        <w:rPr>
          <w:lang w:val="en-GB"/>
        </w:rPr>
        <w:t>nexus approach</w:t>
      </w:r>
      <w:r w:rsidRPr="009F7561" w:rsidR="00315391">
        <w:rPr>
          <w:lang w:val="en-GB"/>
        </w:rPr>
        <w:t>”</w:t>
      </w:r>
      <w:r w:rsidRPr="009F7561" w:rsidR="00CE2830">
        <w:rPr>
          <w:lang w:val="en-GB"/>
        </w:rPr>
        <w:t xml:space="preserve">,</w:t>
      </w:r>
      <w:r w:rsidRPr="009F7561" w:rsidR="00CE2830">
        <w:rPr>
          <w:lang w:val="en-GB"/>
        </w:rPr>
        <w:t xml:space="preserve"> </w:t>
      </w:r>
      <w:r w:rsidRPr="009F7561" w:rsidR="00315391">
        <w:rPr>
          <w:lang w:val="en-GB"/>
        </w:rPr>
        <w:t>“</w:t>
      </w:r>
      <w:r w:rsidRPr="009F7561" w:rsidR="00CE2830">
        <w:rPr>
          <w:lang w:val="en-GB"/>
        </w:rPr>
        <w:t>nexus programming</w:t>
      </w:r>
      <w:r w:rsidRPr="009F7561" w:rsidR="00315391">
        <w:rPr>
          <w:lang w:val="en-GB"/>
        </w:rPr>
        <w:t>”</w:t>
      </w:r>
      <w:r w:rsidRPr="009F7561" w:rsidR="00CE2830">
        <w:rPr>
          <w:lang w:val="en-GB"/>
        </w:rPr>
        <w:t xml:space="preserve"> or </w:t>
      </w:r>
      <w:r w:rsidRPr="009F7561" w:rsidR="00315391">
        <w:rPr>
          <w:lang w:val="en-GB"/>
        </w:rPr>
        <w:t>“</w:t>
      </w:r>
      <w:r w:rsidRPr="009F7561" w:rsidR="00CE2830">
        <w:rPr>
          <w:lang w:val="en-GB"/>
        </w:rPr>
        <w:t>the nexus</w:t>
      </w:r>
      <w:r w:rsidRPr="009F7561" w:rsidR="00315391">
        <w:rPr>
          <w:lang w:val="en-GB"/>
        </w:rPr>
        <w:t>”</w:t>
      </w:r>
      <w:r w:rsidRPr="009F7561" w:rsidR="00CE2830">
        <w:rPr>
          <w:lang w:val="en-GB"/>
        </w:rPr>
        <w:t xml:space="preserve"> is shorthand for the concept of a </w:t>
      </w:r>
      <w:r w:rsidRPr="009F7561" w:rsidR="00315391">
        <w:rPr>
          <w:lang w:val="en-GB"/>
        </w:rPr>
        <w:t>“</w:t>
      </w:r>
      <w:r w:rsidRPr="009F7561" w:rsidR="00CE2830">
        <w:rPr>
          <w:lang w:val="en-GB"/>
        </w:rPr>
        <w:t>humanitarian-development nexus</w:t>
      </w:r>
      <w:r w:rsidRPr="009F7561" w:rsidR="00315391">
        <w:rPr>
          <w:lang w:val="en-GB"/>
        </w:rPr>
        <w:t>”</w:t>
      </w:r>
      <w:r w:rsidRPr="009F7561" w:rsidR="00461384">
        <w:rPr>
          <w:lang w:val="en-GB"/>
        </w:rPr>
        <w:t xml:space="preserve"> or </w:t>
      </w:r>
      <w:r w:rsidRPr="009F7561" w:rsidR="00CE2830">
        <w:rPr>
          <w:lang w:val="en-GB"/>
        </w:rPr>
        <w:t xml:space="preserve">a </w:t>
      </w:r>
      <w:r w:rsidRPr="009F7561" w:rsidR="00315391">
        <w:rPr>
          <w:lang w:val="en-GB"/>
        </w:rPr>
        <w:t>“</w:t>
      </w:r>
      <w:r w:rsidRPr="009F7561" w:rsidR="00CE2830">
        <w:rPr>
          <w:lang w:val="en-GB"/>
        </w:rPr>
        <w:t>humanitarian-development-peace nexus</w:t>
      </w:r>
      <w:r w:rsidRPr="009F7561" w:rsidR="00315391">
        <w:rPr>
          <w:lang w:val="en-GB"/>
        </w:rPr>
        <w:t>”</w:t>
      </w:r>
      <w:r w:rsidRPr="009F7561" w:rsidR="00CE2830">
        <w:rPr>
          <w:lang w:val="en-GB"/>
        </w:rPr>
        <w:t>. It focuses on the work needed to coherently address people</w:t>
      </w:r>
      <w:r w:rsidRPr="009F7561" w:rsidR="00315391">
        <w:rPr>
          <w:lang w:val="en-GB"/>
        </w:rPr>
        <w:t>’s</w:t>
      </w:r>
      <w:r w:rsidRPr="009F7561" w:rsidR="00CE2830">
        <w:rPr>
          <w:lang w:val="en-GB"/>
        </w:rPr>
        <w:t xml:space="preserve"> vulnerability before, during and after crises. It is an approach or framework that </w:t>
      </w:r>
      <w:r w:rsidRPr="009F7561" w:rsidR="00CE2830">
        <w:rPr>
          <w:lang w:val="en-GB"/>
        </w:rPr>
        <w:t xml:space="preserve">takes into account</w:t>
      </w:r>
      <w:r w:rsidRPr="009F7561" w:rsidR="00CE2830">
        <w:rPr>
          <w:lang w:val="en-GB"/>
        </w:rPr>
        <w:t xml:space="preserve"> both the immediate and long-term needs of affected populations</w:t>
      </w:r>
      <w:r w:rsidRPr="009F7561" w:rsidR="0025527E">
        <w:rPr>
          <w:lang w:val="en-GB"/>
        </w:rPr>
        <w:t xml:space="preserve"> and </w:t>
      </w:r>
      <w:r w:rsidRPr="009F7561" w:rsidR="00CE2830">
        <w:rPr>
          <w:lang w:val="en-GB"/>
        </w:rPr>
        <w:t>enhances opportunities for peace. Other understandings of the nexus go further, to include a full range of diplomatic and security measures.</w:t>
      </w:r>
      <w:r w:rsidRPr="009F7561">
        <w:rPr>
          <w:vertAlign w:val="superscript"/>
          <w:lang w:val="en-GB"/>
        </w:rPr>
        <w:footnoteReference w:id="46"/>
      </w:r>
    </w:p>
    <w:p w:rsidRPr="009F7561" w:rsidR="001D323A" w:rsidP="00D04AC2" w:rsidRDefault="00CE2830" w14:paraId="7E28F815" w14:textId="2ED3BC1E">
      <w:pPr>
        <w:spacing w:before="120" w:after="120" w:line="300" w:lineRule="atLeast"/>
        <w:jc w:val="both"/>
        <w:rPr>
          <w:lang w:val="en-GB"/>
        </w:rPr>
      </w:pPr>
      <w:r w:rsidRPr="009F7561">
        <w:rPr>
          <w:b/>
          <w:lang w:val="en-GB"/>
        </w:rPr>
        <w:t>Perpetrator</w:t>
      </w:r>
      <w:r w:rsidRPr="009F7561">
        <w:rPr>
          <w:lang w:val="en-GB"/>
        </w:rPr>
        <w:t>:</w:t>
      </w:r>
      <w:r w:rsidRPr="009F7561">
        <w:rPr>
          <w:b/>
          <w:lang w:val="en-GB"/>
        </w:rPr>
        <w:t xml:space="preserve"> </w:t>
      </w:r>
      <w:r w:rsidRPr="009F7561">
        <w:rPr>
          <w:lang w:val="en-GB"/>
        </w:rPr>
        <w:t>Person, group or institution that directly inflicts or otherwise supports violence or other abuse inflicted on another against his/her will</w:t>
      </w:r>
      <w:r w:rsidRPr="009F7561" w:rsidR="00677B53">
        <w:rPr>
          <w:lang w:val="en-GB"/>
        </w:rPr>
        <w:t>.</w:t>
      </w:r>
      <w:r w:rsidRPr="009F7561">
        <w:rPr>
          <w:vertAlign w:val="superscript"/>
          <w:lang w:val="en-GB"/>
        </w:rPr>
        <w:footnoteReference w:id="47"/>
      </w:r>
    </w:p>
    <w:p w:rsidRPr="009F7561" w:rsidR="001D323A" w:rsidP="00D04AC2" w:rsidRDefault="00CE2830" w14:paraId="7E28F817" w14:textId="5E3A50B3">
      <w:pPr>
        <w:spacing w:before="120" w:after="120" w:line="300" w:lineRule="atLeast"/>
        <w:jc w:val="both"/>
        <w:rPr>
          <w:lang w:val="en-GB"/>
        </w:rPr>
      </w:pPr>
      <w:r w:rsidRPr="009F7561">
        <w:rPr>
          <w:b/>
          <w:lang w:val="en-GB"/>
        </w:rPr>
        <w:t>Physical assault</w:t>
      </w:r>
      <w:r w:rsidRPr="009F7561">
        <w:rPr>
          <w:lang w:val="en-GB"/>
        </w:rPr>
        <w:t>:</w:t>
      </w:r>
      <w:r w:rsidRPr="009F7561">
        <w:rPr>
          <w:b/>
          <w:lang w:val="en-GB"/>
        </w:rPr>
        <w:t xml:space="preserve"> </w:t>
      </w:r>
      <w:r w:rsidRPr="009F7561">
        <w:rPr>
          <w:lang w:val="en-GB"/>
        </w:rPr>
        <w:t>An act of physical violence that is not sexual in nature</w:t>
      </w:r>
      <w:r w:rsidRPr="009F7561" w:rsidR="00696AEB">
        <w:rPr>
          <w:lang w:val="en-GB"/>
        </w:rPr>
        <w:t>.</w:t>
      </w:r>
      <w:r w:rsidRPr="009F7561">
        <w:rPr>
          <w:vertAlign w:val="superscript"/>
          <w:lang w:val="en-GB"/>
        </w:rPr>
        <w:footnoteReference w:id="48"/>
      </w:r>
      <w:r w:rsidRPr="009F7561">
        <w:rPr>
          <w:lang w:val="en-GB"/>
        </w:rPr>
        <w:t xml:space="preserve"> Examples </w:t>
      </w:r>
      <w:r w:rsidRPr="009F7561" w:rsidR="00960B1F">
        <w:rPr>
          <w:lang w:val="en-GB"/>
        </w:rPr>
        <w:t>include</w:t>
      </w:r>
      <w:r w:rsidRPr="009F7561">
        <w:rPr>
          <w:lang w:val="en-GB"/>
        </w:rPr>
        <w:t xml:space="preserve"> hitting, slapping, choking, cutting, shoving, burning, shooting or use of any weapons, acid attacks or any other act that results in pain, discomfort or injury.</w:t>
      </w:r>
    </w:p>
    <w:p w:rsidRPr="009F7561" w:rsidR="001D323A" w:rsidP="00D04AC2" w:rsidRDefault="00CE2830" w14:paraId="7E28F819" w14:textId="12005B54">
      <w:pPr>
        <w:spacing w:before="120" w:after="120" w:line="300" w:lineRule="atLeast"/>
        <w:jc w:val="both"/>
        <w:rPr>
          <w:b/>
          <w:lang w:val="en-GB"/>
        </w:rPr>
      </w:pPr>
      <w:r w:rsidRPr="009F7561">
        <w:rPr>
          <w:b/>
          <w:lang w:val="en-GB"/>
        </w:rPr>
        <w:t>Prevention</w:t>
      </w:r>
      <w:r w:rsidRPr="009F7561">
        <w:rPr>
          <w:lang w:val="en-GB"/>
        </w:rPr>
        <w:t>:</w:t>
      </w:r>
      <w:r w:rsidRPr="009F7561">
        <w:rPr>
          <w:b/>
          <w:lang w:val="en-GB"/>
        </w:rPr>
        <w:t xml:space="preserve"> </w:t>
      </w:r>
      <w:r w:rsidRPr="007462BA" w:rsidR="00D04AC2">
        <w:rPr>
          <w:bCs/>
          <w:lang w:val="en-GB"/>
        </w:rPr>
        <w:t>G</w:t>
      </w:r>
      <w:r w:rsidRPr="009F7561">
        <w:rPr>
          <w:lang w:val="en-GB"/>
        </w:rPr>
        <w:t xml:space="preserve">enerally refers to taking action to stop GBV from first occurring (e.g. scaling up activities that promote gender equality; working with communities, particularly men and boys, </w:t>
      </w:r>
      <w:r w:rsidR="00B33CF4">
        <w:rPr>
          <w:lang w:val="en-GB"/>
        </w:rPr>
        <w:br/>
      </w:r>
      <w:r w:rsidRPr="009F7561">
        <w:rPr>
          <w:lang w:val="en-GB"/>
        </w:rPr>
        <w:t>to address practices that contribute to GBV</w:t>
      </w:r>
      <w:r w:rsidR="00A03475">
        <w:rPr>
          <w:lang w:val="en-GB"/>
        </w:rPr>
        <w:t>,</w:t>
      </w:r>
      <w:r w:rsidRPr="009F7561" w:rsidR="00A03475">
        <w:rPr>
          <w:lang w:val="en-GB"/>
        </w:rPr>
        <w:t xml:space="preserve"> </w:t>
      </w:r>
      <w:r w:rsidRPr="009F7561">
        <w:rPr>
          <w:lang w:val="en-GB"/>
        </w:rPr>
        <w:t>etc.)</w:t>
      </w:r>
      <w:r w:rsidRPr="009F7561" w:rsidR="00F56091">
        <w:rPr>
          <w:lang w:val="en-GB"/>
        </w:rPr>
        <w:t>.</w:t>
      </w:r>
      <w:r w:rsidRPr="009F7561">
        <w:rPr>
          <w:vertAlign w:val="superscript"/>
          <w:lang w:val="en-GB"/>
        </w:rPr>
        <w:footnoteReference w:id="49"/>
      </w:r>
    </w:p>
    <w:p w:rsidRPr="009F7561" w:rsidR="001D323A" w:rsidP="00D04AC2" w:rsidRDefault="00CE2830" w14:paraId="7E28F81B" w14:textId="3838D714">
      <w:pPr>
        <w:spacing w:before="120" w:after="120" w:line="300" w:lineRule="atLeast"/>
        <w:jc w:val="both"/>
        <w:rPr>
          <w:lang w:val="en-GB"/>
        </w:rPr>
      </w:pPr>
      <w:r w:rsidRPr="009F7561">
        <w:rPr>
          <w:b/>
          <w:lang w:val="en-GB"/>
        </w:rPr>
        <w:t>Protection from sexual exploitation and abuse (PSEA)</w:t>
      </w:r>
      <w:r w:rsidRPr="009F7561">
        <w:rPr>
          <w:lang w:val="en-GB"/>
        </w:rPr>
        <w:t>:</w:t>
      </w:r>
      <w:r w:rsidRPr="009F7561" w:rsidR="00682F91">
        <w:rPr>
          <w:lang w:val="en-GB"/>
        </w:rPr>
        <w:t xml:space="preserve"> </w:t>
      </w:r>
      <w:r w:rsidRPr="009F7561">
        <w:rPr>
          <w:lang w:val="en-GB"/>
        </w:rPr>
        <w:t>As highlighted in the Secretary-General</w:t>
      </w:r>
      <w:r w:rsidRPr="009F7561" w:rsidR="00315391">
        <w:rPr>
          <w:lang w:val="en-GB"/>
        </w:rPr>
        <w:t>’s</w:t>
      </w:r>
      <w:r w:rsidRPr="009F7561">
        <w:rPr>
          <w:lang w:val="en-GB"/>
        </w:rPr>
        <w:t xml:space="preserve"> </w:t>
      </w:r>
      <w:r w:rsidRPr="009F7561" w:rsidR="00315391">
        <w:rPr>
          <w:lang w:val="en-GB"/>
        </w:rPr>
        <w:t>“</w:t>
      </w:r>
      <w:r w:rsidRPr="009F7561">
        <w:rPr>
          <w:lang w:val="en-GB"/>
        </w:rPr>
        <w:t xml:space="preserve">Bulletin on </w:t>
      </w:r>
      <w:r w:rsidRPr="009F7561" w:rsidR="00F603B2">
        <w:rPr>
          <w:lang w:val="en-GB"/>
        </w:rPr>
        <w:t>special measures for protection from sexual exploitation and sexual abuse</w:t>
      </w:r>
      <w:r w:rsidRPr="009F7561" w:rsidR="00315391">
        <w:rPr>
          <w:lang w:val="en-GB"/>
        </w:rPr>
        <w:t>”</w:t>
      </w:r>
      <w:r w:rsidRPr="009F7561">
        <w:rPr>
          <w:lang w:val="en-GB"/>
        </w:rPr>
        <w:t xml:space="preserve"> (ST/SGB/2003/13), PSEA relates specifically to the responsibilities of international humanitarian, development and peacekeeping actors to prevent incidents of sexual exploitation and abuse committed by United Nations, NGO</w:t>
      </w:r>
      <w:r w:rsidRPr="009F7561" w:rsidR="0025527E">
        <w:rPr>
          <w:lang w:val="en-GB"/>
        </w:rPr>
        <w:t xml:space="preserve"> and </w:t>
      </w:r>
      <w:r w:rsidRPr="009F7561">
        <w:rPr>
          <w:lang w:val="en-GB"/>
        </w:rPr>
        <w:t>inter-government</w:t>
      </w:r>
      <w:r w:rsidRPr="009F7561" w:rsidR="008A1575">
        <w:rPr>
          <w:lang w:val="en-GB"/>
        </w:rPr>
        <w:t>al</w:t>
      </w:r>
      <w:r w:rsidRPr="009F7561">
        <w:rPr>
          <w:lang w:val="en-GB"/>
        </w:rPr>
        <w:t xml:space="preserve"> (IGO) personnel against the affected population, to set up confidential reporting mechanisms</w:t>
      </w:r>
      <w:r w:rsidRPr="009F7561" w:rsidR="008A1575">
        <w:rPr>
          <w:lang w:val="en-GB"/>
        </w:rPr>
        <w:t xml:space="preserve"> and </w:t>
      </w:r>
      <w:r w:rsidRPr="009F7561">
        <w:rPr>
          <w:lang w:val="en-GB"/>
        </w:rPr>
        <w:t>to take safe and ethical action as quickly as possible when incidents do occur.</w:t>
      </w:r>
      <w:r w:rsidRPr="009F7561">
        <w:rPr>
          <w:vertAlign w:val="superscript"/>
          <w:lang w:val="en-GB"/>
        </w:rPr>
        <w:footnoteReference w:id="50"/>
      </w:r>
    </w:p>
    <w:p w:rsidRPr="009F7561" w:rsidR="001D323A" w:rsidP="00D04AC2" w:rsidRDefault="00CE2830" w14:paraId="7E28F81D" w14:textId="6CB3562C">
      <w:pPr>
        <w:spacing w:before="120" w:after="120" w:line="300" w:lineRule="atLeast"/>
        <w:jc w:val="both"/>
        <w:rPr>
          <w:lang w:val="en-GB"/>
        </w:rPr>
      </w:pPr>
      <w:r w:rsidRPr="009F7561">
        <w:rPr>
          <w:b/>
          <w:lang w:val="en-GB"/>
        </w:rPr>
        <w:t>Psychosocial</w:t>
      </w:r>
      <w:r w:rsidRPr="009F7561">
        <w:rPr>
          <w:lang w:val="en-GB"/>
        </w:rPr>
        <w:t xml:space="preserve">: A term used to emphasize the interaction between the psychological aspects of human beings and their environment or social surroundings. Psychological aspects are related to our functioning, such as our thoughts, emotions and </w:t>
      </w:r>
      <w:r w:rsidRPr="009F7561" w:rsidR="00E8438C">
        <w:rPr>
          <w:lang w:val="en-GB"/>
        </w:rPr>
        <w:t>behaviour</w:t>
      </w:r>
      <w:r w:rsidRPr="009F7561">
        <w:rPr>
          <w:lang w:val="en-GB"/>
        </w:rPr>
        <w:t>. Social surroundings concern a person</w:t>
      </w:r>
      <w:r w:rsidRPr="009F7561" w:rsidR="00315391">
        <w:rPr>
          <w:lang w:val="en-GB"/>
        </w:rPr>
        <w:t>’s</w:t>
      </w:r>
      <w:r w:rsidRPr="009F7561">
        <w:rPr>
          <w:lang w:val="en-GB"/>
        </w:rPr>
        <w:t xml:space="preserve"> relationships, family and community networks, cultural traditions and economic status, including life tasks such as school or work</w:t>
      </w:r>
      <w:r w:rsidRPr="009F7561" w:rsidR="00A930E7">
        <w:rPr>
          <w:lang w:val="en-GB"/>
        </w:rPr>
        <w:t>.</w:t>
      </w:r>
      <w:r w:rsidRPr="009F7561">
        <w:rPr>
          <w:vertAlign w:val="superscript"/>
          <w:lang w:val="en-GB"/>
        </w:rPr>
        <w:footnoteReference w:id="51"/>
      </w:r>
    </w:p>
    <w:p w:rsidRPr="009F7561" w:rsidR="001D323A" w:rsidP="00D04AC2" w:rsidRDefault="00CE2830" w14:paraId="7E28F81F" w14:textId="36FDB61E">
      <w:pPr>
        <w:spacing w:before="120" w:after="120" w:line="300" w:lineRule="atLeast"/>
        <w:jc w:val="both"/>
        <w:rPr>
          <w:lang w:val="en-GB"/>
        </w:rPr>
      </w:pPr>
      <w:r w:rsidRPr="009F7561">
        <w:rPr>
          <w:b/>
          <w:lang w:val="en-GB"/>
        </w:rPr>
        <w:t>Rape</w:t>
      </w:r>
      <w:r w:rsidRPr="009F7561" w:rsidR="0024487C">
        <w:rPr>
          <w:bCs/>
          <w:lang w:val="en-GB"/>
        </w:rPr>
        <w:t>:</w:t>
      </w:r>
      <w:r w:rsidRPr="009F7561">
        <w:rPr>
          <w:bCs/>
          <w:vertAlign w:val="superscript"/>
          <w:lang w:val="en-GB"/>
        </w:rPr>
        <w:footnoteReference w:id="52"/>
      </w:r>
      <w:r w:rsidRPr="009F7561">
        <w:rPr>
          <w:lang w:val="en-GB"/>
        </w:rPr>
        <w:t xml:space="preserve"> Physically forced or otherwise coerced penetration, even if slight, of the vagina, anus or mouth with a penis or other body part. It also includes penetration of the vagina or anus with an object. Rape includes marital rape and anal rape/sodomy. The attempt to do so is known as attempted rape.</w:t>
      </w:r>
      <w:r w:rsidRPr="009F7561">
        <w:rPr>
          <w:vertAlign w:val="superscript"/>
          <w:lang w:val="en-GB"/>
        </w:rPr>
        <w:footnoteReference w:id="53"/>
      </w:r>
      <w:r w:rsidRPr="009F7561">
        <w:rPr>
          <w:lang w:val="en-GB"/>
        </w:rPr>
        <w:t xml:space="preserve"> Rape of a person by two or more perpetrators is known as gang rape.</w:t>
      </w:r>
      <w:r w:rsidRPr="009F7561">
        <w:rPr>
          <w:vertAlign w:val="superscript"/>
          <w:lang w:val="en-GB"/>
        </w:rPr>
        <w:footnoteReference w:id="54"/>
      </w:r>
    </w:p>
    <w:p w:rsidRPr="009F7561" w:rsidR="001D323A" w:rsidP="00D04AC2" w:rsidRDefault="00CE2830" w14:paraId="7E28F821" w14:textId="6963D9FE">
      <w:pPr>
        <w:spacing w:before="120" w:after="120" w:line="300" w:lineRule="atLeast"/>
        <w:jc w:val="both"/>
        <w:rPr>
          <w:lang w:val="en-GB"/>
        </w:rPr>
      </w:pPr>
      <w:r w:rsidRPr="009F7561">
        <w:rPr>
          <w:b/>
          <w:lang w:val="en-GB"/>
        </w:rPr>
        <w:t>Refugee</w:t>
      </w:r>
      <w:r w:rsidRPr="009F7561">
        <w:rPr>
          <w:lang w:val="en-GB"/>
        </w:rPr>
        <w:t>:</w:t>
      </w:r>
      <w:r w:rsidRPr="009F7561">
        <w:rPr>
          <w:b/>
          <w:lang w:val="en-GB"/>
        </w:rPr>
        <w:t xml:space="preserve"> </w:t>
      </w:r>
      <w:r w:rsidRPr="009F7561">
        <w:rPr>
          <w:lang w:val="en-GB"/>
        </w:rPr>
        <w:t>Any person who</w:t>
      </w:r>
      <w:r w:rsidRPr="009F7561" w:rsidR="008A1575">
        <w:rPr>
          <w:lang w:val="en-GB"/>
        </w:rPr>
        <w:t>,</w:t>
      </w:r>
      <w:r w:rsidRPr="009F7561">
        <w:rPr>
          <w:lang w:val="en-GB"/>
        </w:rPr>
        <w:t xml:space="preserve"> owing to a well-founded fear of being persecuted for reasons of race, religion, nationality, membership of a particular social group or political opinion or because </w:t>
      </w:r>
      <w:r w:rsidR="00A03475">
        <w:rPr>
          <w:lang w:val="en-GB"/>
        </w:rPr>
        <w:t xml:space="preserve">of </w:t>
      </w:r>
      <w:r w:rsidRPr="009F7561">
        <w:rPr>
          <w:lang w:val="en-GB"/>
        </w:rPr>
        <w:t>conflict, generalized violence or other circumstances that have seriously disturbed public order, is outside the country of her or his nationality</w:t>
      </w:r>
      <w:r w:rsidR="00101D69">
        <w:rPr>
          <w:lang w:val="en-GB"/>
        </w:rPr>
        <w:t xml:space="preserve"> and</w:t>
      </w:r>
      <w:r w:rsidRPr="009F7561">
        <w:rPr>
          <w:lang w:val="en-GB"/>
        </w:rPr>
        <w:t xml:space="preserve"> is unable to or, owing to such fear, is unwilling to avail herself or himself of the protection of that country. This person, as a result, require</w:t>
      </w:r>
      <w:r w:rsidR="00A03475">
        <w:rPr>
          <w:lang w:val="en-GB"/>
        </w:rPr>
        <w:t>s</w:t>
      </w:r>
      <w:r w:rsidRPr="009F7561">
        <w:rPr>
          <w:lang w:val="en-GB"/>
        </w:rPr>
        <w:t xml:space="preserve"> international protection</w:t>
      </w:r>
      <w:r w:rsidRPr="009F7561" w:rsidR="006639E9">
        <w:rPr>
          <w:lang w:val="en-GB"/>
        </w:rPr>
        <w:t>.</w:t>
      </w:r>
      <w:r w:rsidRPr="009F7561">
        <w:rPr>
          <w:vertAlign w:val="superscript"/>
          <w:lang w:val="en-GB"/>
        </w:rPr>
        <w:footnoteReference w:id="55"/>
      </w:r>
    </w:p>
    <w:p w:rsidRPr="009F7561" w:rsidR="001D323A" w:rsidP="00D04AC2" w:rsidRDefault="00CE2830" w14:paraId="7E28F823" w14:textId="7E5B6FBD">
      <w:pPr>
        <w:spacing w:before="120" w:after="120" w:line="300" w:lineRule="atLeast"/>
        <w:jc w:val="both"/>
        <w:rPr>
          <w:b/>
          <w:lang w:val="en-GB"/>
        </w:rPr>
      </w:pPr>
      <w:r w:rsidRPr="009F7561">
        <w:rPr>
          <w:b/>
          <w:lang w:val="en-GB"/>
        </w:rPr>
        <w:t xml:space="preserve">Resettlement: </w:t>
      </w:r>
      <w:r w:rsidRPr="009F7561">
        <w:rPr>
          <w:lang w:val="en-GB"/>
        </w:rPr>
        <w:t xml:space="preserve">The selection and transfer of refugees from a State in which they have sought treaty protection to a third State that has agreed to admit them – as refugees – with permanent </w:t>
      </w:r>
      <w:r w:rsidRPr="009F7561">
        <w:rPr>
          <w:lang w:val="en-GB"/>
        </w:rPr>
        <w:t>residence status. The status provided ensures protection against refoulement and provides resettled refugee</w:t>
      </w:r>
      <w:r w:rsidR="00A03475">
        <w:rPr>
          <w:lang w:val="en-GB"/>
        </w:rPr>
        <w:t>s</w:t>
      </w:r>
      <w:r w:rsidRPr="009F7561">
        <w:rPr>
          <w:lang w:val="en-GB"/>
        </w:rPr>
        <w:t xml:space="preserve"> and </w:t>
      </w:r>
      <w:r w:rsidR="00A03475">
        <w:rPr>
          <w:lang w:val="en-GB"/>
        </w:rPr>
        <w:t xml:space="preserve">their </w:t>
      </w:r>
      <w:r w:rsidRPr="009F7561" w:rsidR="00F245F4">
        <w:rPr>
          <w:lang w:val="en-GB"/>
        </w:rPr>
        <w:t>dependents</w:t>
      </w:r>
      <w:r w:rsidRPr="009F7561">
        <w:rPr>
          <w:lang w:val="en-GB"/>
        </w:rPr>
        <w:t xml:space="preserve"> with access to rights similar to those enjoyed by nationals. Resettlement also carries with it the opportunity to eventually become a naturalized citizen of the resettlement country. As such, resettlement is a mechanism for refugee protection, a durable solution</w:t>
      </w:r>
      <w:r w:rsidRPr="009F7561" w:rsidR="008A1575">
        <w:rPr>
          <w:lang w:val="en-GB"/>
        </w:rPr>
        <w:t xml:space="preserve"> and </w:t>
      </w:r>
      <w:r w:rsidRPr="009F7561">
        <w:rPr>
          <w:lang w:val="en-GB"/>
        </w:rPr>
        <w:t>an example of international burden and responsibility sharing</w:t>
      </w:r>
      <w:r w:rsidRPr="009F7561" w:rsidR="00544951">
        <w:rPr>
          <w:lang w:val="en-GB"/>
        </w:rPr>
        <w:t>.</w:t>
      </w:r>
      <w:r w:rsidRPr="009F7561" w:rsidR="00851129">
        <w:rPr>
          <w:rStyle w:val="FootnoteReference"/>
          <w:lang w:val="en-GB"/>
        </w:rPr>
        <w:footnoteReference w:id="56"/>
      </w:r>
    </w:p>
    <w:p w:rsidRPr="009F7561" w:rsidR="001D323A" w:rsidP="00D04AC2" w:rsidRDefault="00CE2830" w14:paraId="7E28F825" w14:textId="421800BB">
      <w:pPr>
        <w:spacing w:before="120" w:after="120" w:line="300" w:lineRule="atLeast"/>
        <w:jc w:val="both"/>
        <w:rPr>
          <w:lang w:val="en-GB"/>
        </w:rPr>
      </w:pPr>
      <w:r w:rsidRPr="009F7561">
        <w:rPr>
          <w:b/>
          <w:lang w:val="en-GB"/>
        </w:rPr>
        <w:t>Response</w:t>
      </w:r>
      <w:r w:rsidRPr="009F7561">
        <w:rPr>
          <w:lang w:val="en-GB"/>
        </w:rPr>
        <w:t>:</w:t>
      </w:r>
      <w:r w:rsidRPr="009F7561">
        <w:rPr>
          <w:b/>
          <w:lang w:val="en-GB"/>
        </w:rPr>
        <w:t xml:space="preserve"> </w:t>
      </w:r>
      <w:r w:rsidRPr="009F7561">
        <w:rPr>
          <w:lang w:val="en-GB"/>
        </w:rPr>
        <w:t>Response refers to immediate interventions</w:t>
      </w:r>
      <w:r w:rsidRPr="009F7561">
        <w:rPr>
          <w:b/>
          <w:lang w:val="en-GB"/>
        </w:rPr>
        <w:t xml:space="preserve"> </w:t>
      </w:r>
      <w:r w:rsidRPr="009F7561">
        <w:rPr>
          <w:lang w:val="en-GB"/>
        </w:rPr>
        <w:t>that address survivors</w:t>
      </w:r>
      <w:r w:rsidRPr="009F7561" w:rsidR="00A577A9">
        <w:rPr>
          <w:lang w:val="en-GB"/>
        </w:rPr>
        <w:t>’</w:t>
      </w:r>
      <w:r w:rsidRPr="009F7561">
        <w:rPr>
          <w:lang w:val="en-GB"/>
        </w:rPr>
        <w:t xml:space="preserve"> physical safety, health</w:t>
      </w:r>
      <w:r w:rsidRPr="009F7561">
        <w:rPr>
          <w:b/>
          <w:lang w:val="en-GB"/>
        </w:rPr>
        <w:t xml:space="preserve"> </w:t>
      </w:r>
      <w:r w:rsidRPr="009F7561">
        <w:rPr>
          <w:lang w:val="en-GB"/>
        </w:rPr>
        <w:t>concerns, psychosocial needs</w:t>
      </w:r>
      <w:r w:rsidRPr="009F7561" w:rsidR="008A1575">
        <w:rPr>
          <w:lang w:val="en-GB"/>
        </w:rPr>
        <w:t xml:space="preserve"> and </w:t>
      </w:r>
      <w:r w:rsidRPr="009F7561">
        <w:rPr>
          <w:lang w:val="en-GB"/>
        </w:rPr>
        <w:t>access</w:t>
      </w:r>
      <w:r w:rsidRPr="009F7561">
        <w:rPr>
          <w:b/>
          <w:lang w:val="en-GB"/>
        </w:rPr>
        <w:t xml:space="preserve"> </w:t>
      </w:r>
      <w:r w:rsidRPr="009F7561">
        <w:rPr>
          <w:lang w:val="en-GB"/>
        </w:rPr>
        <w:t>to justice, in line with the survivor-centred</w:t>
      </w:r>
      <w:r w:rsidRPr="009F7561">
        <w:rPr>
          <w:b/>
          <w:lang w:val="en-GB"/>
        </w:rPr>
        <w:t xml:space="preserve"> </w:t>
      </w:r>
      <w:r w:rsidRPr="009F7561">
        <w:rPr>
          <w:lang w:val="en-GB"/>
        </w:rPr>
        <w:t>approach and the GBV Guiding Principles</w:t>
      </w:r>
      <w:r w:rsidRPr="009F7561" w:rsidR="00A577A9">
        <w:rPr>
          <w:lang w:val="en-GB"/>
        </w:rPr>
        <w:t>.</w:t>
      </w:r>
      <w:r w:rsidRPr="009F7561">
        <w:rPr>
          <w:vertAlign w:val="superscript"/>
          <w:lang w:val="en-GB"/>
        </w:rPr>
        <w:footnoteReference w:id="57"/>
      </w:r>
      <w:r w:rsidRPr="009F7561">
        <w:rPr>
          <w:lang w:val="en-GB"/>
        </w:rPr>
        <w:t xml:space="preserve"> The provision of multisectoral</w:t>
      </w:r>
      <w:r w:rsidRPr="009F7561">
        <w:rPr>
          <w:b/>
          <w:lang w:val="en-GB"/>
        </w:rPr>
        <w:t xml:space="preserve"> </w:t>
      </w:r>
      <w:r w:rsidRPr="009F7561">
        <w:rPr>
          <w:lang w:val="en-GB"/>
        </w:rPr>
        <w:t>services and assistance to all GBV survivors contributes to ensuring people</w:t>
      </w:r>
      <w:r w:rsidRPr="009F7561" w:rsidR="00315391">
        <w:rPr>
          <w:lang w:val="en-GB"/>
        </w:rPr>
        <w:t>’s</w:t>
      </w:r>
      <w:r w:rsidRPr="009F7561">
        <w:rPr>
          <w:lang w:val="en-GB"/>
        </w:rPr>
        <w:t xml:space="preserve"> safety,</w:t>
      </w:r>
      <w:r w:rsidRPr="009F7561">
        <w:rPr>
          <w:b/>
          <w:lang w:val="en-GB"/>
        </w:rPr>
        <w:t xml:space="preserve"> </w:t>
      </w:r>
      <w:r w:rsidRPr="009F7561">
        <w:rPr>
          <w:lang w:val="en-GB"/>
        </w:rPr>
        <w:t>improving physical, mental, sexual and</w:t>
      </w:r>
      <w:r w:rsidRPr="009F7561">
        <w:rPr>
          <w:b/>
          <w:lang w:val="en-GB"/>
        </w:rPr>
        <w:t xml:space="preserve"> </w:t>
      </w:r>
      <w:r w:rsidRPr="009F7561">
        <w:rPr>
          <w:lang w:val="en-GB"/>
        </w:rPr>
        <w:t>reproductive health</w:t>
      </w:r>
      <w:r w:rsidR="00101D69">
        <w:rPr>
          <w:lang w:val="en-GB"/>
        </w:rPr>
        <w:t xml:space="preserve"> and</w:t>
      </w:r>
      <w:r w:rsidRPr="009F7561">
        <w:rPr>
          <w:lang w:val="en-GB"/>
        </w:rPr>
        <w:t xml:space="preserve"> facilitating access</w:t>
      </w:r>
      <w:r w:rsidRPr="009F7561">
        <w:rPr>
          <w:b/>
          <w:lang w:val="en-GB"/>
        </w:rPr>
        <w:t xml:space="preserve"> </w:t>
      </w:r>
      <w:r w:rsidRPr="009F7561">
        <w:rPr>
          <w:lang w:val="en-GB"/>
        </w:rPr>
        <w:t>to justice. All GBV survivors, including</w:t>
      </w:r>
      <w:r w:rsidRPr="009F7561">
        <w:rPr>
          <w:b/>
          <w:lang w:val="en-GB"/>
        </w:rPr>
        <w:t xml:space="preserve"> </w:t>
      </w:r>
      <w:r w:rsidRPr="009F7561">
        <w:rPr>
          <w:lang w:val="en-GB"/>
        </w:rPr>
        <w:t xml:space="preserve">survivors of </w:t>
      </w:r>
      <w:r w:rsidRPr="009F7561" w:rsidR="00A577A9">
        <w:rPr>
          <w:lang w:val="en-GB"/>
        </w:rPr>
        <w:t>sexual exploitation and abuse (</w:t>
      </w:r>
      <w:r w:rsidRPr="009F7561">
        <w:rPr>
          <w:lang w:val="en-GB"/>
        </w:rPr>
        <w:t>SEA</w:t>
      </w:r>
      <w:r w:rsidRPr="009F7561" w:rsidR="00A577A9">
        <w:rPr>
          <w:lang w:val="en-GB"/>
        </w:rPr>
        <w:t>)</w:t>
      </w:r>
      <w:r w:rsidRPr="009F7561">
        <w:rPr>
          <w:lang w:val="en-GB"/>
        </w:rPr>
        <w:t xml:space="preserve"> perpetrated by humanitarian</w:t>
      </w:r>
      <w:r w:rsidRPr="009F7561">
        <w:rPr>
          <w:b/>
          <w:lang w:val="en-GB"/>
        </w:rPr>
        <w:t xml:space="preserve"> </w:t>
      </w:r>
      <w:r w:rsidRPr="009F7561">
        <w:rPr>
          <w:lang w:val="en-GB"/>
        </w:rPr>
        <w:t>workers, have the right to immediate life-saving</w:t>
      </w:r>
      <w:r w:rsidRPr="009F7561">
        <w:rPr>
          <w:b/>
          <w:lang w:val="en-GB"/>
        </w:rPr>
        <w:t xml:space="preserve"> </w:t>
      </w:r>
      <w:r w:rsidRPr="009F7561">
        <w:rPr>
          <w:lang w:val="en-GB"/>
        </w:rPr>
        <w:t>protection and GBV services. Survivors of SEA</w:t>
      </w:r>
      <w:r w:rsidRPr="009F7561">
        <w:rPr>
          <w:b/>
          <w:lang w:val="en-GB"/>
        </w:rPr>
        <w:t xml:space="preserve"> </w:t>
      </w:r>
      <w:r w:rsidRPr="009F7561">
        <w:rPr>
          <w:lang w:val="en-GB"/>
        </w:rPr>
        <w:t>should be treated equally</w:t>
      </w:r>
      <w:r w:rsidRPr="009F7561" w:rsidR="00DC139B">
        <w:rPr>
          <w:lang w:val="en-GB"/>
        </w:rPr>
        <w:t xml:space="preserve"> </w:t>
      </w:r>
      <w:r w:rsidRPr="009F7561">
        <w:rPr>
          <w:lang w:val="en-GB"/>
        </w:rPr>
        <w:t>as survivors of other</w:t>
      </w:r>
      <w:r w:rsidRPr="009F7561">
        <w:rPr>
          <w:b/>
          <w:lang w:val="en-GB"/>
        </w:rPr>
        <w:t xml:space="preserve"> </w:t>
      </w:r>
      <w:r w:rsidRPr="009F7561">
        <w:rPr>
          <w:lang w:val="en-GB"/>
        </w:rPr>
        <w:t>forms of GBV. Working with perpetrators of</w:t>
      </w:r>
      <w:r w:rsidRPr="009F7561">
        <w:rPr>
          <w:b/>
          <w:lang w:val="en-GB"/>
        </w:rPr>
        <w:t xml:space="preserve"> </w:t>
      </w:r>
      <w:r w:rsidRPr="009F7561">
        <w:rPr>
          <w:lang w:val="en-GB"/>
        </w:rPr>
        <w:t>GBV is not the responsibility of GBV response</w:t>
      </w:r>
      <w:r w:rsidRPr="009F7561">
        <w:rPr>
          <w:b/>
          <w:lang w:val="en-GB"/>
        </w:rPr>
        <w:t xml:space="preserve"> </w:t>
      </w:r>
      <w:r w:rsidRPr="009F7561">
        <w:rPr>
          <w:lang w:val="en-GB"/>
        </w:rPr>
        <w:t>programming.</w:t>
      </w:r>
    </w:p>
    <w:p w:rsidRPr="009F7561" w:rsidR="001D323A" w:rsidP="00D04AC2" w:rsidRDefault="00CE2830" w14:paraId="7E28F827" w14:textId="17F17975">
      <w:pPr>
        <w:spacing w:before="120" w:after="120" w:line="300" w:lineRule="atLeast"/>
        <w:jc w:val="both"/>
        <w:rPr>
          <w:lang w:val="en-GB"/>
        </w:rPr>
      </w:pPr>
      <w:r w:rsidRPr="009F7561">
        <w:rPr>
          <w:b/>
          <w:lang w:val="en-GB"/>
        </w:rPr>
        <w:t>Returnee</w:t>
      </w:r>
      <w:r w:rsidRPr="009F7561">
        <w:rPr>
          <w:lang w:val="en-GB"/>
        </w:rPr>
        <w:t>:</w:t>
      </w:r>
      <w:r w:rsidRPr="009F7561">
        <w:rPr>
          <w:b/>
          <w:lang w:val="en-GB"/>
        </w:rPr>
        <w:t xml:space="preserve"> </w:t>
      </w:r>
      <w:r w:rsidRPr="009F7561">
        <w:rPr>
          <w:lang w:val="en-GB"/>
        </w:rPr>
        <w:t xml:space="preserve">A former refugee or IDP who has returned to their country of origin but </w:t>
      </w:r>
      <w:r w:rsidRPr="009F7561" w:rsidR="00A577A9">
        <w:rPr>
          <w:lang w:val="en-GB"/>
        </w:rPr>
        <w:t xml:space="preserve">has </w:t>
      </w:r>
      <w:r w:rsidRPr="009F7561">
        <w:rPr>
          <w:lang w:val="en-GB"/>
        </w:rPr>
        <w:t>not yet been fully (re)integrated</w:t>
      </w:r>
      <w:r w:rsidRPr="009F7561" w:rsidR="00A577A9">
        <w:rPr>
          <w:lang w:val="en-GB"/>
        </w:rPr>
        <w:t>.</w:t>
      </w:r>
      <w:r w:rsidRPr="009F7561">
        <w:rPr>
          <w:vertAlign w:val="superscript"/>
          <w:lang w:val="en-GB"/>
        </w:rPr>
        <w:footnoteReference w:id="58"/>
      </w:r>
    </w:p>
    <w:p w:rsidRPr="009F7561" w:rsidR="001D323A" w:rsidP="00D04AC2" w:rsidRDefault="00CE2830" w14:paraId="7E28F829" w14:textId="25CD2957">
      <w:pPr>
        <w:spacing w:before="120" w:after="120" w:line="300" w:lineRule="atLeast"/>
        <w:jc w:val="both"/>
        <w:rPr>
          <w:lang w:val="en-GB"/>
        </w:rPr>
      </w:pPr>
      <w:r w:rsidRPr="009F7561">
        <w:rPr>
          <w:b/>
          <w:lang w:val="en-GB"/>
        </w:rPr>
        <w:t>Risk mitigation</w:t>
      </w:r>
      <w:r w:rsidRPr="009F7561">
        <w:rPr>
          <w:lang w:val="en-GB"/>
        </w:rPr>
        <w:t>: Refers to a process and specific interventions to mitigate risks in all phases of humanitarian programming. It includes actions that are taken in each humanitarian sector and area of work to reduce risks and exposure to GBV and improve safety as part of an agency-wide mainstreaming approach. Cross-sectoral coordination is essential to ensure a comprehensive approach</w:t>
      </w:r>
      <w:r w:rsidRPr="009F7561" w:rsidR="00A577A9">
        <w:rPr>
          <w:lang w:val="en-GB"/>
        </w:rPr>
        <w:t>.</w:t>
      </w:r>
      <w:r w:rsidRPr="009F7561">
        <w:rPr>
          <w:vertAlign w:val="superscript"/>
          <w:lang w:val="en-GB"/>
        </w:rPr>
        <w:footnoteReference w:id="59"/>
      </w:r>
    </w:p>
    <w:p w:rsidRPr="009F7561" w:rsidR="001D323A" w:rsidP="00D04AC2" w:rsidRDefault="00CE2830" w14:paraId="7E28F82B" w14:textId="64925FE9">
      <w:pPr>
        <w:spacing w:before="120" w:after="120" w:line="300" w:lineRule="atLeast"/>
        <w:jc w:val="both"/>
        <w:rPr>
          <w:lang w:val="en-GB"/>
        </w:rPr>
      </w:pPr>
      <w:r w:rsidRPr="009F7561">
        <w:rPr>
          <w:b/>
          <w:lang w:val="en-GB"/>
        </w:rPr>
        <w:t>Safeguarding</w:t>
      </w:r>
      <w:r w:rsidRPr="009F7561">
        <w:rPr>
          <w:lang w:val="en-GB"/>
        </w:rPr>
        <w:t>: A set of policies, procedures and practices employed to actively prevent harm, abuse and distress.</w:t>
      </w:r>
      <w:r w:rsidRPr="009F7561">
        <w:rPr>
          <w:vertAlign w:val="superscript"/>
          <w:lang w:val="en-GB"/>
        </w:rPr>
        <w:footnoteReference w:id="60"/>
      </w:r>
      <w:r w:rsidRPr="009F7561">
        <w:rPr>
          <w:lang w:val="en-GB"/>
        </w:rPr>
        <w:t xml:space="preserve"> Broadly, it means preventing harm to people – and the environment</w:t>
      </w:r>
      <w:r w:rsidRPr="009F7561" w:rsidR="003C264D">
        <w:rPr>
          <w:lang w:val="en-GB"/>
        </w:rPr>
        <w:t xml:space="preserve"> </w:t>
      </w:r>
      <w:r w:rsidRPr="009F7561">
        <w:rPr>
          <w:lang w:val="en-GB"/>
        </w:rPr>
        <w:t>– in the delivery of development and humanitarian assistance, including taking all reasonable steps to prevent sexual exploitation, abuse and harassment from occurring; to protect people, especially vulnerable adults and children, from that harm; and to respond appropriately when harm does occur.</w:t>
      </w:r>
      <w:r w:rsidRPr="009F7561">
        <w:rPr>
          <w:vertAlign w:val="superscript"/>
          <w:lang w:val="en-GB"/>
        </w:rPr>
        <w:footnoteReference w:id="61"/>
      </w:r>
    </w:p>
    <w:p w:rsidRPr="009F7561" w:rsidR="001D323A" w:rsidP="00D04AC2" w:rsidRDefault="00CE2830" w14:paraId="7E28F82D" w14:textId="4AB7AC0C">
      <w:pPr>
        <w:spacing w:before="120" w:after="120" w:line="300" w:lineRule="atLeast"/>
        <w:jc w:val="both"/>
        <w:rPr>
          <w:lang w:val="en-GB"/>
        </w:rPr>
      </w:pPr>
      <w:r w:rsidRPr="009F7561">
        <w:rPr>
          <w:b/>
          <w:lang w:val="en-GB"/>
        </w:rPr>
        <w:t>Sexual abuse</w:t>
      </w:r>
      <w:r w:rsidRPr="009F7561">
        <w:rPr>
          <w:lang w:val="en-GB"/>
        </w:rPr>
        <w:t>:</w:t>
      </w:r>
      <w:r w:rsidRPr="009F7561">
        <w:rPr>
          <w:b/>
          <w:lang w:val="en-GB"/>
        </w:rPr>
        <w:t xml:space="preserve"> </w:t>
      </w:r>
      <w:r w:rsidRPr="009F7561">
        <w:rPr>
          <w:lang w:val="en-GB"/>
        </w:rPr>
        <w:t>The actual or threatened physical intrusion of a sexual nature, whether by force or under unequal or coercive conditions</w:t>
      </w:r>
      <w:r w:rsidRPr="009F7561" w:rsidR="00F8437C">
        <w:rPr>
          <w:lang w:val="en-GB"/>
        </w:rPr>
        <w:t>.</w:t>
      </w:r>
      <w:r w:rsidRPr="009F7561">
        <w:rPr>
          <w:vertAlign w:val="superscript"/>
          <w:lang w:val="en-GB"/>
        </w:rPr>
        <w:footnoteReference w:id="62"/>
      </w:r>
    </w:p>
    <w:p w:rsidRPr="009F7561" w:rsidR="001D323A" w:rsidP="00D04AC2" w:rsidRDefault="00CE2830" w14:paraId="7E28F82F" w14:textId="33EC53D2">
      <w:pPr>
        <w:spacing w:before="120" w:after="120" w:line="300" w:lineRule="atLeast"/>
        <w:jc w:val="both"/>
        <w:rPr>
          <w:lang w:val="en-GB"/>
        </w:rPr>
      </w:pPr>
      <w:r w:rsidRPr="009F7561">
        <w:rPr>
          <w:b/>
          <w:lang w:val="en-GB"/>
        </w:rPr>
        <w:t>Sexual assault</w:t>
      </w:r>
      <w:r w:rsidRPr="009F7561">
        <w:rPr>
          <w:lang w:val="en-GB"/>
        </w:rPr>
        <w:t>:</w:t>
      </w:r>
      <w:r w:rsidRPr="009F7561">
        <w:rPr>
          <w:b/>
          <w:lang w:val="en-GB"/>
        </w:rPr>
        <w:t xml:space="preserve"> </w:t>
      </w:r>
      <w:r w:rsidRPr="009F7561">
        <w:rPr>
          <w:lang w:val="en-GB"/>
        </w:rPr>
        <w:t xml:space="preserve">Any form of non-consensual sexual contact that does not result in or include penetration. Examples </w:t>
      </w:r>
      <w:r w:rsidRPr="009F7561" w:rsidR="00960B1F">
        <w:rPr>
          <w:lang w:val="en-GB"/>
        </w:rPr>
        <w:t>include</w:t>
      </w:r>
      <w:r w:rsidRPr="009F7561">
        <w:rPr>
          <w:lang w:val="en-GB"/>
        </w:rPr>
        <w:t xml:space="preserve"> attempted rape, as well as unwanted kissing, fondling</w:t>
      </w:r>
      <w:r w:rsidRPr="009F7561" w:rsidR="00461384">
        <w:rPr>
          <w:lang w:val="en-GB"/>
        </w:rPr>
        <w:t xml:space="preserve"> or </w:t>
      </w:r>
      <w:r w:rsidRPr="009F7561">
        <w:rPr>
          <w:lang w:val="en-GB"/>
        </w:rPr>
        <w:t>touching of genitalia and buttocks.</w:t>
      </w:r>
    </w:p>
    <w:p w:rsidRPr="009F7561" w:rsidR="001D323A" w:rsidP="00D04AC2" w:rsidRDefault="00CE2830" w14:paraId="7E28F831" w14:textId="0C5878FC">
      <w:pPr>
        <w:spacing w:before="120" w:after="120" w:line="300" w:lineRule="atLeast"/>
        <w:jc w:val="both"/>
        <w:rPr>
          <w:lang w:val="en-GB"/>
        </w:rPr>
      </w:pPr>
      <w:r w:rsidRPr="009F7561">
        <w:rPr>
          <w:b/>
          <w:lang w:val="en-GB"/>
        </w:rPr>
        <w:t>Sexual exploitation</w:t>
      </w:r>
      <w:r w:rsidRPr="009F7561">
        <w:rPr>
          <w:lang w:val="en-GB"/>
        </w:rPr>
        <w:t>:</w:t>
      </w:r>
      <w:r w:rsidRPr="009F7561">
        <w:rPr>
          <w:b/>
          <w:lang w:val="en-GB"/>
        </w:rPr>
        <w:t xml:space="preserve"> </w:t>
      </w:r>
      <w:r w:rsidRPr="009F7561">
        <w:rPr>
          <w:lang w:val="en-GB"/>
        </w:rPr>
        <w:t>Any actual or attempted abuse of a position of vulnerability, differential power or trust for sexual purposes, including, but not limited to, profiting monetarily, socially or politically from the sexual exploitation of another</w:t>
      </w:r>
      <w:r w:rsidRPr="009F7561" w:rsidR="00F8437C">
        <w:rPr>
          <w:lang w:val="en-GB"/>
        </w:rPr>
        <w:t>.</w:t>
      </w:r>
      <w:r w:rsidRPr="009F7561">
        <w:rPr>
          <w:vertAlign w:val="superscript"/>
          <w:lang w:val="en-GB"/>
        </w:rPr>
        <w:footnoteReference w:id="63"/>
      </w:r>
      <w:r w:rsidRPr="009F7561">
        <w:rPr>
          <w:lang w:val="en-GB"/>
        </w:rPr>
        <w:t xml:space="preserve"> </w:t>
      </w:r>
    </w:p>
    <w:p w:rsidRPr="009F7561" w:rsidR="001D323A" w:rsidP="00D04AC2" w:rsidRDefault="00CE2830" w14:paraId="7E28F833" w14:textId="043DA94E">
      <w:pPr>
        <w:spacing w:before="120" w:after="120" w:line="300" w:lineRule="atLeast"/>
        <w:jc w:val="both"/>
        <w:rPr>
          <w:b/>
          <w:lang w:val="en-GB"/>
        </w:rPr>
      </w:pPr>
      <w:r w:rsidRPr="009F7561">
        <w:rPr>
          <w:b/>
          <w:lang w:val="en-GB"/>
        </w:rPr>
        <w:t>Sexual exploitation and abuse (SEA)</w:t>
      </w:r>
      <w:r w:rsidRPr="009F7561">
        <w:rPr>
          <w:lang w:val="en-GB"/>
        </w:rPr>
        <w:t>:</w:t>
      </w:r>
      <w:r w:rsidRPr="009F7561">
        <w:rPr>
          <w:b/>
          <w:lang w:val="en-GB"/>
        </w:rPr>
        <w:t xml:space="preserve"> </w:t>
      </w:r>
      <w:r w:rsidRPr="009F7561">
        <w:rPr>
          <w:lang w:val="en-GB"/>
        </w:rPr>
        <w:t>A common acronym in the humanitarian world referring to acts of sexual exploitation and sexual</w:t>
      </w:r>
      <w:r w:rsidRPr="009F7561">
        <w:rPr>
          <w:b/>
          <w:lang w:val="en-GB"/>
        </w:rPr>
        <w:t xml:space="preserve"> </w:t>
      </w:r>
      <w:r w:rsidRPr="009F7561">
        <w:rPr>
          <w:lang w:val="en-GB"/>
        </w:rPr>
        <w:t>abuse committed by United Nations, NGO</w:t>
      </w:r>
      <w:r w:rsidRPr="009F7561" w:rsidR="008A1575">
        <w:rPr>
          <w:lang w:val="en-GB"/>
        </w:rPr>
        <w:t xml:space="preserve"> and </w:t>
      </w:r>
      <w:r w:rsidRPr="009F7561">
        <w:rPr>
          <w:lang w:val="en-GB"/>
        </w:rPr>
        <w:t>inter-government (IGO) personnel against the</w:t>
      </w:r>
      <w:r w:rsidRPr="009F7561">
        <w:rPr>
          <w:b/>
          <w:lang w:val="en-GB"/>
        </w:rPr>
        <w:t xml:space="preserve"> </w:t>
      </w:r>
      <w:r w:rsidRPr="009F7561">
        <w:rPr>
          <w:lang w:val="en-GB"/>
        </w:rPr>
        <w:t>affected population.</w:t>
      </w:r>
      <w:r w:rsidRPr="009F7561">
        <w:rPr>
          <w:vertAlign w:val="superscript"/>
          <w:lang w:val="en-GB"/>
        </w:rPr>
        <w:footnoteReference w:id="64"/>
      </w:r>
    </w:p>
    <w:p w:rsidRPr="009F7561" w:rsidR="001D323A" w:rsidP="00D04AC2" w:rsidRDefault="00CE2830" w14:paraId="7E28F835" w14:textId="012DF928">
      <w:pPr>
        <w:spacing w:before="120" w:after="120" w:line="300" w:lineRule="atLeast"/>
        <w:jc w:val="both"/>
        <w:rPr>
          <w:lang w:val="en-GB"/>
        </w:rPr>
      </w:pPr>
      <w:r w:rsidRPr="009F7561">
        <w:rPr>
          <w:b/>
          <w:lang w:val="en-GB"/>
        </w:rPr>
        <w:t xml:space="preserve">Sexual harassment: </w:t>
      </w:r>
      <w:r w:rsidRPr="009F7561">
        <w:rPr>
          <w:lang w:val="en-GB"/>
        </w:rPr>
        <w:t>Unwelcome sexual advances, requests for sexual favours</w:t>
      </w:r>
      <w:r w:rsidRPr="009F7561" w:rsidR="008A1575">
        <w:rPr>
          <w:lang w:val="en-GB"/>
        </w:rPr>
        <w:t xml:space="preserve"> and </w:t>
      </w:r>
      <w:r w:rsidRPr="009F7561">
        <w:rPr>
          <w:lang w:val="en-GB"/>
        </w:rPr>
        <w:t>other verbal or physical conduct of a sexual nature</w:t>
      </w:r>
      <w:r w:rsidRPr="009F7561" w:rsidR="002629AD">
        <w:rPr>
          <w:lang w:val="en-GB"/>
        </w:rPr>
        <w:t>.</w:t>
      </w:r>
      <w:r w:rsidRPr="009F7561">
        <w:rPr>
          <w:vertAlign w:val="superscript"/>
          <w:lang w:val="en-GB"/>
        </w:rPr>
        <w:footnoteReference w:id="65"/>
      </w:r>
    </w:p>
    <w:p w:rsidRPr="009F7561" w:rsidR="001D323A" w:rsidP="4CE61699" w:rsidRDefault="00CE2830" w14:paraId="7E28F837" w14:textId="5BBC1506" w14:noSpellErr="1">
      <w:pPr>
        <w:spacing w:before="120" w:after="120" w:line="300" w:lineRule="atLeast"/>
        <w:jc w:val="both"/>
        <w:rPr>
          <w:lang w:val="en-US"/>
        </w:rPr>
      </w:pPr>
      <w:r w:rsidRPr="4CE61699" w:rsidR="00CE2830">
        <w:rPr>
          <w:b w:val="1"/>
          <w:bCs w:val="1"/>
          <w:lang w:val="en-US"/>
        </w:rPr>
        <w:t>Sexual orientation, gender identity, gender expression and sex characteristics (SOGIESC)</w:t>
      </w:r>
      <w:r w:rsidRPr="4CE61699" w:rsidR="00CE2830">
        <w:rPr>
          <w:lang w:val="en-US"/>
        </w:rPr>
        <w:t>: Umbrella term for all people whose sexual orientations, gender identities, gender expressions and/or sex characteristics place them outside culturally mainstream categories. Sometimes used interchangeably with “</w:t>
      </w:r>
      <w:r w:rsidRPr="4CE61699" w:rsidR="00D153BE">
        <w:rPr>
          <w:lang w:val="en-US"/>
        </w:rPr>
        <w:t>LGBTIQ+</w:t>
      </w:r>
      <w:r w:rsidRPr="4CE61699" w:rsidR="00CE2830">
        <w:rPr>
          <w:lang w:val="en-US"/>
        </w:rPr>
        <w:t>”.</w:t>
      </w:r>
      <w:r w:rsidRPr="4CE61699">
        <w:rPr>
          <w:vertAlign w:val="superscript"/>
          <w:lang w:val="en-US"/>
        </w:rPr>
        <w:footnoteReference w:id="66"/>
      </w:r>
    </w:p>
    <w:p w:rsidRPr="009F7561" w:rsidR="001D323A" w:rsidP="00D04AC2" w:rsidRDefault="00CE2830" w14:paraId="7E28F839" w14:textId="7C8D3F8D">
      <w:pPr>
        <w:spacing w:before="120" w:after="120" w:line="300" w:lineRule="atLeast"/>
        <w:jc w:val="both"/>
        <w:rPr>
          <w:lang w:val="en-GB"/>
        </w:rPr>
      </w:pPr>
      <w:r w:rsidRPr="009F7561">
        <w:rPr>
          <w:b/>
          <w:lang w:val="en-GB"/>
        </w:rPr>
        <w:t>Sexual violence</w:t>
      </w:r>
      <w:r w:rsidRPr="009F7561">
        <w:rPr>
          <w:lang w:val="en-GB"/>
        </w:rPr>
        <w:t>:</w:t>
      </w:r>
      <w:r w:rsidRPr="009F7561">
        <w:rPr>
          <w:b/>
          <w:lang w:val="en-GB"/>
        </w:rPr>
        <w:t xml:space="preserve"> </w:t>
      </w:r>
      <w:r w:rsidRPr="009F7561">
        <w:rPr>
          <w:lang w:val="en-GB"/>
        </w:rPr>
        <w:t>For the purposes of these guidelines, sexual violence includes, at least, rape/attempted rape, sexual abuse and sexual exploitation. Sexual violence is “any sexual act, attempt to obtain a sexual act, unwanted sexual comments or advances</w:t>
      </w:r>
      <w:r w:rsidRPr="009F7561" w:rsidR="00461384">
        <w:rPr>
          <w:lang w:val="en-GB"/>
        </w:rPr>
        <w:t xml:space="preserve"> or </w:t>
      </w:r>
      <w:r w:rsidRPr="009F7561">
        <w:rPr>
          <w:lang w:val="en-GB"/>
        </w:rPr>
        <w:t>acts to traffic a person</w:t>
      </w:r>
      <w:r w:rsidRPr="009F7561" w:rsidR="00315391">
        <w:rPr>
          <w:lang w:val="en-GB"/>
        </w:rPr>
        <w:t>’s</w:t>
      </w:r>
      <w:r w:rsidRPr="009F7561">
        <w:rPr>
          <w:lang w:val="en-GB"/>
        </w:rPr>
        <w:t xml:space="preserve"> sexuality, using coercion, threats of harm or physical force, by any person regardless </w:t>
      </w:r>
      <w:r w:rsidRPr="009F7561" w:rsidR="00455F31">
        <w:rPr>
          <w:lang w:val="en-GB"/>
        </w:rPr>
        <w:t>o</w:t>
      </w:r>
      <w:r w:rsidR="00455F31">
        <w:rPr>
          <w:lang w:val="en-GB"/>
        </w:rPr>
        <w:t>f the</w:t>
      </w:r>
      <w:r w:rsidRPr="009F7561" w:rsidR="00455F31">
        <w:rPr>
          <w:lang w:val="en-GB"/>
        </w:rPr>
        <w:t xml:space="preserve"> </w:t>
      </w:r>
      <w:r w:rsidRPr="009F7561">
        <w:rPr>
          <w:lang w:val="en-GB"/>
        </w:rPr>
        <w:t>relationship to the victim, in any setting, including but not limited to home and work”</w:t>
      </w:r>
      <w:r w:rsidRPr="009F7561" w:rsidR="0098099D">
        <w:rPr>
          <w:lang w:val="en-GB"/>
        </w:rPr>
        <w:t>.</w:t>
      </w:r>
      <w:r w:rsidRPr="009F7561">
        <w:rPr>
          <w:lang w:val="en-GB"/>
        </w:rPr>
        <w:t xml:space="preserve"> Sexual violence takes many forms, including rape, sexual slavery and/or trafficking, forced pregnancy, sexual harassment, sexual exploitation and/or abuse</w:t>
      </w:r>
      <w:r w:rsidRPr="009F7561" w:rsidR="008A1575">
        <w:rPr>
          <w:lang w:val="en-GB"/>
        </w:rPr>
        <w:t xml:space="preserve"> and </w:t>
      </w:r>
      <w:r w:rsidRPr="009F7561">
        <w:rPr>
          <w:lang w:val="en-GB"/>
        </w:rPr>
        <w:t>forced abortion</w:t>
      </w:r>
      <w:r w:rsidRPr="009F7561" w:rsidR="00E1010E">
        <w:rPr>
          <w:lang w:val="en-GB"/>
        </w:rPr>
        <w:t>.</w:t>
      </w:r>
      <w:r w:rsidRPr="009F7561">
        <w:rPr>
          <w:vertAlign w:val="superscript"/>
          <w:lang w:val="en-GB"/>
        </w:rPr>
        <w:footnoteReference w:id="67"/>
      </w:r>
    </w:p>
    <w:p w:rsidRPr="009F7561" w:rsidR="001D323A" w:rsidP="00D04AC2" w:rsidRDefault="00CE2830" w14:paraId="7E28F83B" w14:textId="322027BA">
      <w:pPr>
        <w:spacing w:before="120" w:after="120" w:line="300" w:lineRule="atLeast"/>
        <w:jc w:val="both"/>
        <w:rPr>
          <w:lang w:val="en-GB"/>
        </w:rPr>
      </w:pPr>
      <w:r w:rsidRPr="009F7561">
        <w:rPr>
          <w:b/>
          <w:lang w:val="en-GB"/>
        </w:rPr>
        <w:t xml:space="preserve">Standard </w:t>
      </w:r>
      <w:r w:rsidRPr="009F7561" w:rsidR="00081D28">
        <w:rPr>
          <w:b/>
          <w:lang w:val="en-GB"/>
        </w:rPr>
        <w:t xml:space="preserve">operating procedures </w:t>
      </w:r>
      <w:r w:rsidRPr="009F7561">
        <w:rPr>
          <w:b/>
          <w:lang w:val="en-GB"/>
        </w:rPr>
        <w:t>(</w:t>
      </w:r>
      <w:r w:rsidRPr="009F7561" w:rsidR="0056267F">
        <w:rPr>
          <w:b/>
          <w:lang w:val="en-GB"/>
        </w:rPr>
        <w:t>SOPs</w:t>
      </w:r>
      <w:r w:rsidRPr="009F7561">
        <w:rPr>
          <w:b/>
          <w:lang w:val="en-GB"/>
        </w:rPr>
        <w:t xml:space="preserve">) </w:t>
      </w:r>
      <w:r w:rsidRPr="009F7561" w:rsidR="000A1255">
        <w:rPr>
          <w:b/>
          <w:lang w:val="en-GB"/>
        </w:rPr>
        <w:t>reference group</w:t>
      </w:r>
      <w:r w:rsidRPr="009F7561">
        <w:rPr>
          <w:lang w:val="en-GB"/>
        </w:rPr>
        <w:t>: This small group represents key actors and organ</w:t>
      </w:r>
      <w:r w:rsidRPr="009F7561" w:rsidR="002D1850">
        <w:rPr>
          <w:lang w:val="en-GB"/>
        </w:rPr>
        <w:t>iza</w:t>
      </w:r>
      <w:r w:rsidRPr="009F7561">
        <w:rPr>
          <w:lang w:val="en-GB"/>
        </w:rPr>
        <w:t xml:space="preserve">tions participating in the GBV </w:t>
      </w:r>
      <w:r w:rsidRPr="009F7561" w:rsidR="0056267F">
        <w:rPr>
          <w:lang w:val="en-GB"/>
        </w:rPr>
        <w:t>SOPs</w:t>
      </w:r>
      <w:r w:rsidRPr="009F7561">
        <w:rPr>
          <w:lang w:val="en-GB"/>
        </w:rPr>
        <w:t xml:space="preserve"> development process. This core group will facilitate the GBV </w:t>
      </w:r>
      <w:r w:rsidRPr="009F7561" w:rsidR="0056267F">
        <w:rPr>
          <w:lang w:val="en-GB"/>
        </w:rPr>
        <w:t>SOPs</w:t>
      </w:r>
      <w:r w:rsidRPr="009F7561">
        <w:rPr>
          <w:lang w:val="en-GB"/>
        </w:rPr>
        <w:t xml:space="preserve"> development process and keep it moving forward.</w:t>
      </w:r>
    </w:p>
    <w:p w:rsidRPr="009F7561" w:rsidR="001D323A" w:rsidP="00D04AC2" w:rsidRDefault="00CE2830" w14:paraId="7E28F83D" w14:textId="4036BB51">
      <w:pPr>
        <w:spacing w:before="120" w:after="120" w:line="300" w:lineRule="atLeast"/>
        <w:jc w:val="both"/>
        <w:rPr>
          <w:lang w:val="en-GB"/>
        </w:rPr>
      </w:pPr>
      <w:r w:rsidRPr="009F7561">
        <w:rPr>
          <w:b/>
          <w:lang w:val="en-GB"/>
        </w:rPr>
        <w:t>Stateless Person</w:t>
      </w:r>
      <w:r w:rsidRPr="009F7561">
        <w:rPr>
          <w:lang w:val="en-GB"/>
        </w:rPr>
        <w:t>: Someone who is “not considered as a national by any State under the operation of its law”</w:t>
      </w:r>
      <w:r w:rsidRPr="009F7561">
        <w:rPr>
          <w:vertAlign w:val="superscript"/>
          <w:lang w:val="en-GB"/>
        </w:rPr>
        <w:footnoteReference w:id="68"/>
      </w:r>
      <w:r w:rsidRPr="009F7561">
        <w:rPr>
          <w:lang w:val="en-GB"/>
        </w:rPr>
        <w:t xml:space="preserve"> and is thus someone without any nationality or citizenship anywhere.</w:t>
      </w:r>
      <w:r w:rsidRPr="009F7561">
        <w:rPr>
          <w:vertAlign w:val="superscript"/>
          <w:lang w:val="en-GB"/>
        </w:rPr>
        <w:footnoteReference w:id="69"/>
      </w:r>
    </w:p>
    <w:p w:rsidRPr="009F7561" w:rsidR="001D323A" w:rsidP="00D04AC2" w:rsidRDefault="00CE2830" w14:paraId="7E28F83F" w14:textId="6976D09D">
      <w:pPr>
        <w:spacing w:before="120" w:after="120" w:line="300" w:lineRule="atLeast"/>
        <w:jc w:val="both"/>
        <w:rPr>
          <w:lang w:val="en-GB"/>
        </w:rPr>
      </w:pPr>
      <w:r w:rsidRPr="009F7561">
        <w:rPr>
          <w:b/>
          <w:lang w:val="en-GB"/>
        </w:rPr>
        <w:t>Survivor</w:t>
      </w:r>
      <w:r w:rsidRPr="009F7561">
        <w:rPr>
          <w:lang w:val="en-GB"/>
        </w:rPr>
        <w:t xml:space="preserve"> (see also </w:t>
      </w:r>
      <w:r w:rsidRPr="009F7561" w:rsidR="00315391">
        <w:rPr>
          <w:lang w:val="en-GB"/>
        </w:rPr>
        <w:t>“</w:t>
      </w:r>
      <w:r w:rsidRPr="009F7561">
        <w:rPr>
          <w:lang w:val="en-GB"/>
        </w:rPr>
        <w:t>Victim</w:t>
      </w:r>
      <w:r w:rsidRPr="009F7561" w:rsidR="00315391">
        <w:rPr>
          <w:lang w:val="en-GB"/>
        </w:rPr>
        <w:t>”</w:t>
      </w:r>
      <w:r w:rsidRPr="009F7561">
        <w:rPr>
          <w:lang w:val="en-GB"/>
        </w:rPr>
        <w:t xml:space="preserve">): A person who has experienced gender-based violence. The terms </w:t>
      </w:r>
      <w:r w:rsidRPr="009F7561" w:rsidR="00315391">
        <w:rPr>
          <w:lang w:val="en-GB"/>
        </w:rPr>
        <w:t>“</w:t>
      </w:r>
      <w:r w:rsidRPr="009F7561">
        <w:rPr>
          <w:lang w:val="en-GB"/>
        </w:rPr>
        <w:t>victim</w:t>
      </w:r>
      <w:r w:rsidRPr="009F7561" w:rsidR="00315391">
        <w:rPr>
          <w:lang w:val="en-GB"/>
        </w:rPr>
        <w:t>”</w:t>
      </w:r>
      <w:r w:rsidRPr="009F7561">
        <w:rPr>
          <w:lang w:val="en-GB"/>
        </w:rPr>
        <w:t xml:space="preserve"> and </w:t>
      </w:r>
      <w:r w:rsidRPr="009F7561" w:rsidR="00315391">
        <w:rPr>
          <w:lang w:val="en-GB"/>
        </w:rPr>
        <w:t>“</w:t>
      </w:r>
      <w:r w:rsidRPr="009F7561">
        <w:rPr>
          <w:lang w:val="en-GB"/>
        </w:rPr>
        <w:t>survivor</w:t>
      </w:r>
      <w:r w:rsidRPr="009F7561" w:rsidR="00315391">
        <w:rPr>
          <w:lang w:val="en-GB"/>
        </w:rPr>
        <w:t>”</w:t>
      </w:r>
      <w:r w:rsidRPr="009F7561">
        <w:rPr>
          <w:lang w:val="en-GB"/>
        </w:rPr>
        <w:t xml:space="preserve"> can be used interchangeably. </w:t>
      </w:r>
      <w:r w:rsidRPr="009F7561" w:rsidR="00315391">
        <w:rPr>
          <w:lang w:val="en-GB"/>
        </w:rPr>
        <w:t>“</w:t>
      </w:r>
      <w:r w:rsidRPr="009F7561">
        <w:rPr>
          <w:lang w:val="en-GB"/>
        </w:rPr>
        <w:t>Victim</w:t>
      </w:r>
      <w:r w:rsidRPr="009F7561" w:rsidR="00315391">
        <w:rPr>
          <w:lang w:val="en-GB"/>
        </w:rPr>
        <w:t>”</w:t>
      </w:r>
      <w:r w:rsidRPr="009F7561">
        <w:rPr>
          <w:lang w:val="en-GB"/>
        </w:rPr>
        <w:t xml:space="preserve"> is a term often used in the legal and medical sectors. </w:t>
      </w:r>
      <w:r w:rsidRPr="009F7561" w:rsidR="00315391">
        <w:rPr>
          <w:lang w:val="en-GB"/>
        </w:rPr>
        <w:t>“</w:t>
      </w:r>
      <w:r w:rsidRPr="009F7561">
        <w:rPr>
          <w:lang w:val="en-GB"/>
        </w:rPr>
        <w:t>Survivor</w:t>
      </w:r>
      <w:r w:rsidRPr="009F7561" w:rsidR="00315391">
        <w:rPr>
          <w:lang w:val="en-GB"/>
        </w:rPr>
        <w:t>”</w:t>
      </w:r>
      <w:r w:rsidRPr="009F7561">
        <w:rPr>
          <w:lang w:val="en-GB"/>
        </w:rPr>
        <w:t xml:space="preserve"> is the term generally preferred in the psychological and social support sectors because it implies resiliency</w:t>
      </w:r>
      <w:r w:rsidRPr="009F7561" w:rsidR="00357322">
        <w:rPr>
          <w:lang w:val="en-GB"/>
        </w:rPr>
        <w:t>.</w:t>
      </w:r>
      <w:r w:rsidRPr="009F7561">
        <w:rPr>
          <w:vertAlign w:val="superscript"/>
          <w:lang w:val="en-GB"/>
        </w:rPr>
        <w:footnoteReference w:id="70"/>
      </w:r>
    </w:p>
    <w:p w:rsidRPr="009F7561" w:rsidR="001D323A" w:rsidP="00D04AC2" w:rsidRDefault="00CE2830" w14:paraId="7E28F841" w14:textId="0E2E06C2">
      <w:pPr>
        <w:spacing w:before="120" w:after="120" w:line="300" w:lineRule="atLeast"/>
        <w:jc w:val="both"/>
        <w:rPr>
          <w:lang w:val="en-GB"/>
        </w:rPr>
      </w:pPr>
      <w:r w:rsidRPr="009F7561">
        <w:rPr>
          <w:b/>
          <w:lang w:val="en-GB"/>
        </w:rPr>
        <w:t xml:space="preserve">Trafficking in persons </w:t>
      </w:r>
      <w:r w:rsidRPr="009F7561" w:rsidR="00B75C6A">
        <w:t xml:space="preserve">is </w:t>
      </w:r>
      <w:r w:rsidRPr="009F7561">
        <w:rPr>
          <w:lang w:val="en-GB"/>
        </w:rPr>
        <w:t xml:space="preserve">“the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w:t>
      </w:r>
      <w:r w:rsidRPr="009F7561">
        <w:rPr>
          <w:lang w:val="en-GB"/>
        </w:rPr>
        <w:t>the purpose of exploitation. Exploitation shall include, at a minimum, the exploitation of the prostitution of others or other forms of sexual exploitation, forced labour or services, slavery or practices similar to slavery, servitude or the removal of organs.”</w:t>
      </w:r>
      <w:r w:rsidRPr="009F7561">
        <w:rPr>
          <w:vertAlign w:val="superscript"/>
          <w:lang w:val="en-GB"/>
        </w:rPr>
        <w:footnoteReference w:id="71"/>
      </w:r>
    </w:p>
    <w:p w:rsidRPr="009F7561" w:rsidR="001D323A" w:rsidP="00D04AC2" w:rsidRDefault="00CE2830" w14:paraId="7E28F843" w14:textId="74B1A418">
      <w:pPr>
        <w:spacing w:before="120" w:after="120" w:line="300" w:lineRule="atLeast"/>
        <w:jc w:val="both"/>
        <w:rPr>
          <w:lang w:val="en-GB"/>
        </w:rPr>
      </w:pPr>
      <w:r w:rsidRPr="009F7561">
        <w:rPr>
          <w:b/>
          <w:lang w:val="en-GB"/>
        </w:rPr>
        <w:t xml:space="preserve">Victim </w:t>
      </w:r>
      <w:r w:rsidRPr="009F7561">
        <w:rPr>
          <w:lang w:val="en-GB"/>
        </w:rPr>
        <w:t xml:space="preserve">(see also </w:t>
      </w:r>
      <w:r w:rsidRPr="009F7561" w:rsidR="00315391">
        <w:rPr>
          <w:lang w:val="en-GB"/>
        </w:rPr>
        <w:t>“</w:t>
      </w:r>
      <w:r w:rsidRPr="009F7561">
        <w:rPr>
          <w:lang w:val="en-GB"/>
        </w:rPr>
        <w:t>Survivor</w:t>
      </w:r>
      <w:r w:rsidRPr="009F7561" w:rsidR="00315391">
        <w:rPr>
          <w:lang w:val="en-GB"/>
        </w:rPr>
        <w:t>”</w:t>
      </w:r>
      <w:r w:rsidRPr="009F7561">
        <w:rPr>
          <w:lang w:val="en-GB"/>
        </w:rPr>
        <w:t>):</w:t>
      </w:r>
      <w:r w:rsidRPr="009F7561">
        <w:rPr>
          <w:b/>
          <w:lang w:val="en-GB"/>
        </w:rPr>
        <w:t xml:space="preserve"> </w:t>
      </w:r>
      <w:r w:rsidRPr="009F7561">
        <w:rPr>
          <w:lang w:val="en-GB"/>
        </w:rPr>
        <w:t>A person who has experienced gender-based violence. The term recognizes that a violation against</w:t>
      </w:r>
      <w:r w:rsidRPr="009F7561">
        <w:rPr>
          <w:b/>
          <w:lang w:val="en-GB"/>
        </w:rPr>
        <w:t xml:space="preserve"> </w:t>
      </w:r>
      <w:r w:rsidRPr="009F7561">
        <w:rPr>
          <w:lang w:val="en-GB"/>
        </w:rPr>
        <w:t>one</w:t>
      </w:r>
      <w:r w:rsidRPr="009F7561" w:rsidR="00315391">
        <w:rPr>
          <w:lang w:val="en-GB"/>
        </w:rPr>
        <w:t>’s</w:t>
      </w:r>
      <w:r w:rsidRPr="009F7561">
        <w:rPr>
          <w:lang w:val="en-GB"/>
        </w:rPr>
        <w:t xml:space="preserve"> human rights has occurred. The terms </w:t>
      </w:r>
      <w:r w:rsidRPr="009F7561" w:rsidR="00315391">
        <w:rPr>
          <w:lang w:val="en-GB"/>
        </w:rPr>
        <w:t>“</w:t>
      </w:r>
      <w:r w:rsidRPr="009F7561">
        <w:rPr>
          <w:lang w:val="en-GB"/>
        </w:rPr>
        <w:t>victim</w:t>
      </w:r>
      <w:r w:rsidRPr="009F7561" w:rsidR="00315391">
        <w:rPr>
          <w:lang w:val="en-GB"/>
        </w:rPr>
        <w:t>”</w:t>
      </w:r>
      <w:r w:rsidRPr="009F7561">
        <w:rPr>
          <w:lang w:val="en-GB"/>
        </w:rPr>
        <w:t xml:space="preserve"> and </w:t>
      </w:r>
      <w:r w:rsidRPr="009F7561" w:rsidR="00315391">
        <w:rPr>
          <w:lang w:val="en-GB"/>
        </w:rPr>
        <w:t>“</w:t>
      </w:r>
      <w:r w:rsidRPr="009F7561">
        <w:rPr>
          <w:lang w:val="en-GB"/>
        </w:rPr>
        <w:t>survivor</w:t>
      </w:r>
      <w:r w:rsidRPr="009F7561" w:rsidR="00315391">
        <w:rPr>
          <w:lang w:val="en-GB"/>
        </w:rPr>
        <w:t>”</w:t>
      </w:r>
      <w:r w:rsidRPr="009F7561">
        <w:rPr>
          <w:lang w:val="en-GB"/>
        </w:rPr>
        <w:t xml:space="preserve"> can be used interchangeably. </w:t>
      </w:r>
      <w:r w:rsidRPr="009F7561" w:rsidR="00315391">
        <w:rPr>
          <w:lang w:val="en-GB"/>
        </w:rPr>
        <w:t>“</w:t>
      </w:r>
      <w:r w:rsidRPr="009F7561">
        <w:rPr>
          <w:lang w:val="en-GB"/>
        </w:rPr>
        <w:t>Victim</w:t>
      </w:r>
      <w:r w:rsidRPr="009F7561" w:rsidR="00315391">
        <w:rPr>
          <w:lang w:val="en-GB"/>
        </w:rPr>
        <w:t>”</w:t>
      </w:r>
      <w:r w:rsidRPr="009F7561">
        <w:rPr>
          <w:lang w:val="en-GB"/>
        </w:rPr>
        <w:t xml:space="preserve"> is a term</w:t>
      </w:r>
      <w:r w:rsidRPr="009F7561">
        <w:rPr>
          <w:b/>
          <w:lang w:val="en-GB"/>
        </w:rPr>
        <w:t xml:space="preserve"> </w:t>
      </w:r>
      <w:r w:rsidRPr="009F7561">
        <w:rPr>
          <w:lang w:val="en-GB"/>
        </w:rPr>
        <w:t xml:space="preserve">often used in the legal and medical sectors and in the context of trafficking in persons as the term “victim of trafficking” is linked to a legal definition. </w:t>
      </w:r>
      <w:r w:rsidRPr="009F7561" w:rsidR="00315391">
        <w:rPr>
          <w:lang w:val="en-GB"/>
        </w:rPr>
        <w:t>“</w:t>
      </w:r>
      <w:r w:rsidRPr="009F7561">
        <w:rPr>
          <w:lang w:val="en-GB"/>
        </w:rPr>
        <w:t>Survivor</w:t>
      </w:r>
      <w:r w:rsidRPr="009F7561" w:rsidR="00315391">
        <w:rPr>
          <w:lang w:val="en-GB"/>
        </w:rPr>
        <w:t>”</w:t>
      </w:r>
      <w:r w:rsidRPr="009F7561">
        <w:rPr>
          <w:lang w:val="en-GB"/>
        </w:rPr>
        <w:t xml:space="preserve"> is the term generally preferred in the psychological and</w:t>
      </w:r>
      <w:r w:rsidRPr="009F7561">
        <w:rPr>
          <w:b/>
          <w:lang w:val="en-GB"/>
        </w:rPr>
        <w:t xml:space="preserve"> </w:t>
      </w:r>
      <w:r w:rsidRPr="009F7561">
        <w:rPr>
          <w:lang w:val="en-GB"/>
        </w:rPr>
        <w:t>social support sectors because it implies resiliency</w:t>
      </w:r>
      <w:r w:rsidRPr="009F7561" w:rsidR="00B75C6A">
        <w:rPr>
          <w:lang w:val="en-GB"/>
        </w:rPr>
        <w:t>.</w:t>
      </w:r>
      <w:r w:rsidRPr="009F7561">
        <w:rPr>
          <w:vertAlign w:val="superscript"/>
          <w:lang w:val="en-GB"/>
        </w:rPr>
        <w:footnoteReference w:id="72"/>
      </w:r>
    </w:p>
    <w:p w:rsidRPr="009F7561" w:rsidR="001D323A" w:rsidP="00D04AC2" w:rsidRDefault="00CE2830" w14:paraId="7E28F845" w14:textId="4C64D472">
      <w:pPr>
        <w:spacing w:before="120" w:after="120" w:line="300" w:lineRule="atLeast"/>
        <w:jc w:val="both"/>
        <w:rPr>
          <w:b/>
          <w:lang w:val="en-GB"/>
        </w:rPr>
      </w:pPr>
      <w:r w:rsidRPr="009F7561">
        <w:rPr>
          <w:b/>
          <w:lang w:val="en-GB"/>
        </w:rPr>
        <w:t>Violence against women and girls (VAWG)</w:t>
      </w:r>
      <w:r w:rsidRPr="009F7561">
        <w:rPr>
          <w:lang w:val="en-GB"/>
        </w:rPr>
        <w:t>:</w:t>
      </w:r>
      <w:r w:rsidRPr="009F7561">
        <w:rPr>
          <w:b/>
          <w:lang w:val="en-GB"/>
        </w:rPr>
        <w:t xml:space="preserve"> </w:t>
      </w:r>
      <w:r w:rsidRPr="009F7561" w:rsidR="00BA18EB">
        <w:t>Article 1 of</w:t>
      </w:r>
      <w:r w:rsidRPr="009F7561" w:rsidR="00BA18EB">
        <w:rPr>
          <w:b/>
          <w:lang w:val="en-GB"/>
        </w:rPr>
        <w:t xml:space="preserve"> </w:t>
      </w:r>
      <w:r w:rsidRPr="009F7561" w:rsidR="00BA18EB">
        <w:rPr>
          <w:lang w:val="en-GB"/>
        </w:rPr>
        <w:t>t</w:t>
      </w:r>
      <w:r w:rsidRPr="009F7561">
        <w:rPr>
          <w:lang w:val="en-GB"/>
        </w:rPr>
        <w:t>he United Nations Declaration on the Elimination of Violence Against Women (1993) defines</w:t>
      </w:r>
      <w:r w:rsidRPr="009F7561">
        <w:rPr>
          <w:b/>
          <w:lang w:val="en-GB"/>
        </w:rPr>
        <w:t xml:space="preserve"> </w:t>
      </w:r>
      <w:r w:rsidRPr="009F7561">
        <w:rPr>
          <w:lang w:val="en-GB"/>
        </w:rPr>
        <w:t>violence against women as “any act of gender-based violence that results in, or is likely to result</w:t>
      </w:r>
      <w:r w:rsidRPr="009F7561">
        <w:rPr>
          <w:b/>
          <w:lang w:val="en-GB"/>
        </w:rPr>
        <w:t xml:space="preserve"> </w:t>
      </w:r>
      <w:r w:rsidRPr="009F7561">
        <w:rPr>
          <w:lang w:val="en-GB"/>
        </w:rPr>
        <w:t>in, physical, sexual or psychological harm or suffering to women, including threats of such acts,</w:t>
      </w:r>
      <w:r w:rsidRPr="009F7561">
        <w:rPr>
          <w:b/>
          <w:lang w:val="en-GB"/>
        </w:rPr>
        <w:t xml:space="preserve"> </w:t>
      </w:r>
      <w:r w:rsidRPr="009F7561">
        <w:rPr>
          <w:lang w:val="en-GB"/>
        </w:rPr>
        <w:t>coercion or arbitrary deprivation of liberty, whether occurring in public or in private life</w:t>
      </w:r>
      <w:r w:rsidRPr="009F7561" w:rsidR="00165CA7">
        <w:rPr>
          <w:lang w:val="en-GB"/>
        </w:rPr>
        <w:t>”</w:t>
      </w:r>
      <w:r w:rsidRPr="009F7561">
        <w:rPr>
          <w:lang w:val="en-GB"/>
        </w:rPr>
        <w:t>.</w:t>
      </w:r>
    </w:p>
    <w:p w:rsidRPr="009F7561" w:rsidR="001D323A" w:rsidP="00D04AC2" w:rsidRDefault="00165CA7" w14:paraId="7E28F847" w14:textId="51CBFD88">
      <w:pPr>
        <w:spacing w:before="120" w:after="120" w:line="300" w:lineRule="atLeast"/>
        <w:jc w:val="both"/>
        <w:rPr>
          <w:lang w:val="en-GB"/>
        </w:rPr>
      </w:pPr>
      <w:r w:rsidRPr="009F7561">
        <w:rPr>
          <w:lang w:val="en-GB"/>
        </w:rPr>
        <w:t>Article 2 continues: “</w:t>
      </w:r>
      <w:r w:rsidRPr="009F7561" w:rsidR="00CE2830">
        <w:rPr>
          <w:lang w:val="en-GB"/>
        </w:rPr>
        <w:t>Violence against women shall be understood to encompass, but not be limited to, the following:</w:t>
      </w:r>
      <w:r w:rsidRPr="009F7561" w:rsidR="00CE2830">
        <w:rPr>
          <w:b/>
          <w:lang w:val="en-GB"/>
        </w:rPr>
        <w:t xml:space="preserve"> </w:t>
      </w:r>
      <w:r w:rsidRPr="009F7561" w:rsidR="00CE2830">
        <w:rPr>
          <w:lang w:val="en-GB"/>
        </w:rPr>
        <w:t>(a) Physical, sexual and psychological violence occurring in the family, including battering, sexual</w:t>
      </w:r>
      <w:r w:rsidRPr="009F7561" w:rsidR="00CE2830">
        <w:rPr>
          <w:b/>
          <w:lang w:val="en-GB"/>
        </w:rPr>
        <w:t xml:space="preserve"> </w:t>
      </w:r>
      <w:r w:rsidRPr="009F7561" w:rsidR="00CE2830">
        <w:rPr>
          <w:lang w:val="en-GB"/>
        </w:rPr>
        <w:t>abuse of female children in the household, dowry-related violence, marital rape, female genital</w:t>
      </w:r>
      <w:r w:rsidRPr="009F7561" w:rsidR="00CE2830">
        <w:rPr>
          <w:b/>
          <w:lang w:val="en-GB"/>
        </w:rPr>
        <w:t xml:space="preserve"> </w:t>
      </w:r>
      <w:r w:rsidRPr="009F7561" w:rsidR="00CE2830">
        <w:rPr>
          <w:lang w:val="en-GB"/>
        </w:rPr>
        <w:t>mutilation and other traditional practices harmful to women, non-spousal violence and violence</w:t>
      </w:r>
      <w:r w:rsidRPr="009F7561" w:rsidR="00CE2830">
        <w:rPr>
          <w:b/>
          <w:lang w:val="en-GB"/>
        </w:rPr>
        <w:t xml:space="preserve"> </w:t>
      </w:r>
      <w:r w:rsidRPr="009F7561" w:rsidR="00CE2830">
        <w:rPr>
          <w:lang w:val="en-GB"/>
        </w:rPr>
        <w:t>related to exploitation;</w:t>
      </w:r>
      <w:r w:rsidRPr="009F7561" w:rsidR="00CE2830">
        <w:rPr>
          <w:b/>
          <w:lang w:val="en-GB"/>
        </w:rPr>
        <w:t xml:space="preserve"> </w:t>
      </w:r>
      <w:r w:rsidRPr="009F7561" w:rsidR="00CE2830">
        <w:rPr>
          <w:lang w:val="en-GB"/>
        </w:rPr>
        <w:t>(b) Physical, sexual and psychological violence occurring within the general community, including rape, sexual abuse, sexual harassment and intimidation at work, in educational institutions and</w:t>
      </w:r>
      <w:r w:rsidRPr="009F7561" w:rsidR="00CE2830">
        <w:rPr>
          <w:b/>
          <w:lang w:val="en-GB"/>
        </w:rPr>
        <w:t xml:space="preserve"> </w:t>
      </w:r>
      <w:r w:rsidRPr="009F7561" w:rsidR="00CE2830">
        <w:rPr>
          <w:lang w:val="en-GB"/>
        </w:rPr>
        <w:t>elsewhere, trafficking in women and forced prostitution;</w:t>
      </w:r>
      <w:r w:rsidRPr="009F7561" w:rsidR="00CE2830">
        <w:rPr>
          <w:b/>
          <w:lang w:val="en-GB"/>
        </w:rPr>
        <w:t xml:space="preserve"> </w:t>
      </w:r>
      <w:r w:rsidRPr="009F7561" w:rsidR="00CE2830">
        <w:rPr>
          <w:lang w:val="en-GB"/>
        </w:rPr>
        <w:t>(c) Physical, sexual and psychological violence perpetrated or condoned by the State, wherever it</w:t>
      </w:r>
      <w:r w:rsidRPr="009F7561" w:rsidR="00CE2830">
        <w:rPr>
          <w:b/>
          <w:lang w:val="en-GB"/>
        </w:rPr>
        <w:t xml:space="preserve"> </w:t>
      </w:r>
      <w:r w:rsidRPr="009F7561" w:rsidR="00CE2830">
        <w:rPr>
          <w:lang w:val="en-GB"/>
        </w:rPr>
        <w:t>occurs.</w:t>
      </w:r>
      <w:r w:rsidR="00717C6B">
        <w:rPr>
          <w:lang w:val="en-GB"/>
        </w:rPr>
        <w:t>”</w:t>
      </w:r>
      <w:r w:rsidRPr="009F7561" w:rsidR="00CE2830">
        <w:rPr>
          <w:vertAlign w:val="superscript"/>
          <w:lang w:val="en-GB"/>
        </w:rPr>
        <w:footnoteReference w:id="73"/>
      </w:r>
      <w:r w:rsidRPr="009F7561" w:rsidR="00CE2830">
        <w:rPr>
          <w:lang w:val="en-GB"/>
        </w:rPr>
        <w:t xml:space="preserve"> </w:t>
      </w:r>
    </w:p>
    <w:p w:rsidRPr="009F7561" w:rsidR="001D323A" w:rsidP="00D04AC2" w:rsidRDefault="00CE2830" w14:paraId="7E28F849" w14:textId="534F10F7">
      <w:pPr>
        <w:spacing w:before="120" w:after="120" w:line="300" w:lineRule="atLeast"/>
        <w:jc w:val="both"/>
        <w:rPr>
          <w:b/>
          <w:lang w:val="en-GB"/>
        </w:rPr>
      </w:pPr>
      <w:r w:rsidRPr="009F7561">
        <w:rPr>
          <w:lang w:val="en-GB"/>
        </w:rPr>
        <w:t xml:space="preserve">The </w:t>
      </w:r>
      <w:r w:rsidRPr="009F7561">
        <w:t>Secretary-General</w:t>
      </w:r>
      <w:r w:rsidRPr="009F7561" w:rsidR="00315391">
        <w:t>’s</w:t>
      </w:r>
      <w:r w:rsidRPr="009F7561">
        <w:t xml:space="preserve"> </w:t>
      </w:r>
      <w:r w:rsidRPr="009F7561" w:rsidR="003025F0">
        <w:t>i</w:t>
      </w:r>
      <w:r w:rsidRPr="009F7561">
        <w:t>n-</w:t>
      </w:r>
      <w:r w:rsidRPr="009F7561" w:rsidR="00D940C1">
        <w:t xml:space="preserve">depth study on all forms of violence against women </w:t>
      </w:r>
      <w:r w:rsidRPr="009F7561">
        <w:t xml:space="preserve">(2006) </w:t>
      </w:r>
      <w:r w:rsidRPr="009F7561">
        <w:rPr>
          <w:lang w:val="en-GB"/>
        </w:rPr>
        <w:t>highlights</w:t>
      </w:r>
      <w:r w:rsidRPr="009F7561">
        <w:rPr>
          <w:b/>
          <w:lang w:val="en-GB"/>
        </w:rPr>
        <w:t xml:space="preserve"> </w:t>
      </w:r>
      <w:r w:rsidRPr="009F7561">
        <w:rPr>
          <w:lang w:val="en-GB"/>
        </w:rPr>
        <w:t xml:space="preserve">that the term </w:t>
      </w:r>
      <w:r w:rsidRPr="009F7561" w:rsidR="00315391">
        <w:rPr>
          <w:lang w:val="en-GB"/>
        </w:rPr>
        <w:t>“</w:t>
      </w:r>
      <w:r w:rsidRPr="009F7561">
        <w:rPr>
          <w:lang w:val="en-GB"/>
        </w:rPr>
        <w:t>women</w:t>
      </w:r>
      <w:r w:rsidRPr="009F7561" w:rsidR="00315391">
        <w:rPr>
          <w:lang w:val="en-GB"/>
        </w:rPr>
        <w:t>”</w:t>
      </w:r>
      <w:r w:rsidRPr="009F7561">
        <w:rPr>
          <w:lang w:val="en-GB"/>
        </w:rPr>
        <w:t xml:space="preserve"> is used broadly to cover females of all ages, including girls under the age of</w:t>
      </w:r>
      <w:r w:rsidRPr="009F7561">
        <w:rPr>
          <w:b/>
          <w:lang w:val="en-GB"/>
        </w:rPr>
        <w:t xml:space="preserve"> </w:t>
      </w:r>
      <w:r w:rsidRPr="009F7561">
        <w:rPr>
          <w:lang w:val="en-GB"/>
        </w:rPr>
        <w:t>18.</w:t>
      </w:r>
      <w:r w:rsidRPr="009F7561">
        <w:rPr>
          <w:vertAlign w:val="superscript"/>
          <w:lang w:val="en-GB"/>
        </w:rPr>
        <w:footnoteReference w:id="74"/>
      </w:r>
    </w:p>
    <w:p w:rsidR="002B4AED" w:rsidP="00D04AC2" w:rsidRDefault="00CE2830" w14:paraId="37F57EB7" w14:textId="77777777">
      <w:pPr>
        <w:spacing w:before="120" w:after="120" w:line="300" w:lineRule="atLeast"/>
        <w:jc w:val="both"/>
        <w:rPr>
          <w:lang w:val="en-GB"/>
        </w:rPr>
      </w:pPr>
      <w:r w:rsidRPr="009F7561">
        <w:rPr>
          <w:b/>
          <w:lang w:val="en-GB"/>
        </w:rPr>
        <w:t>Voluntary repatriation:</w:t>
      </w:r>
      <w:r w:rsidRPr="009F7561">
        <w:rPr>
          <w:lang w:val="en-GB"/>
        </w:rPr>
        <w:t xml:space="preserve"> The free and informed return of refugees to their country of origin in safety and dignity. Voluntary repatriation may be organized (i.e. when it takes place under the </w:t>
      </w:r>
      <w:r w:rsidRPr="00585205">
        <w:rPr>
          <w:spacing w:val="-2"/>
          <w:lang w:val="en-GB"/>
        </w:rPr>
        <w:t xml:space="preserve">auspices of the States </w:t>
      </w:r>
      <w:r w:rsidRPr="00585205" w:rsidR="003D187D">
        <w:rPr>
          <w:spacing w:val="-2"/>
          <w:lang w:val="en-GB"/>
        </w:rPr>
        <w:t xml:space="preserve">concerned </w:t>
      </w:r>
      <w:r w:rsidRPr="00585205">
        <w:rPr>
          <w:spacing w:val="-2"/>
          <w:lang w:val="en-GB"/>
        </w:rPr>
        <w:t>and/or UNHCR) or spontaneous (i.e. when refugees repatriate</w:t>
      </w:r>
      <w:r w:rsidRPr="009F7561">
        <w:rPr>
          <w:lang w:val="en-GB"/>
        </w:rPr>
        <w:t xml:space="preserve"> by their own means with little or no direct involvement from government authorities or UNHCR).</w:t>
      </w:r>
    </w:p>
    <w:p w:rsidRPr="009F7561" w:rsidR="001D323A" w:rsidP="00D04AC2" w:rsidRDefault="00CE2830" w14:paraId="7E28F84B" w14:textId="4A65A19A">
      <w:pPr>
        <w:spacing w:before="120" w:after="120" w:line="300" w:lineRule="atLeast"/>
        <w:jc w:val="both"/>
        <w:rPr>
          <w:lang w:val="en-GB"/>
        </w:rPr>
      </w:pPr>
      <w:r w:rsidRPr="009F7561">
        <w:rPr>
          <w:lang w:val="en-GB"/>
        </w:rPr>
        <w:br w:type="page"/>
      </w:r>
    </w:p>
    <w:p w:rsidRPr="00C2563C" w:rsidR="001D323A" w:rsidP="00FC01AC" w:rsidRDefault="00CE2830" w14:paraId="7E28F84C" w14:textId="16A0DC9F">
      <w:pPr>
        <w:pStyle w:val="Heading1"/>
      </w:pPr>
      <w:bookmarkStart w:name="_Toc134906249" w:id="3"/>
      <w:bookmarkStart w:name="Section2" w:id="4"/>
      <w:bookmarkStart w:name="_Toc142469123" w:id="5"/>
      <w:r w:rsidRPr="00C2563C">
        <w:t>SECTION 1:</w:t>
      </w:r>
      <w:r w:rsidRPr="00C2563C" w:rsidR="003D7318">
        <w:t xml:space="preserve"> </w:t>
      </w:r>
      <w:r w:rsidRPr="00C2563C">
        <w:t>INTRODUCTION</w:t>
      </w:r>
      <w:bookmarkEnd w:id="3"/>
      <w:bookmarkEnd w:id="5"/>
    </w:p>
    <w:p w:rsidRPr="009F7561" w:rsidR="001D323A" w:rsidP="00BB231F" w:rsidRDefault="00CE2830" w14:paraId="7E28F84E" w14:textId="77777777">
      <w:pPr>
        <w:spacing w:before="120" w:after="120" w:line="300" w:lineRule="atLeast"/>
        <w:jc w:val="both"/>
        <w:rPr>
          <w:lang w:val="en-GB"/>
        </w:rPr>
      </w:pPr>
      <w:r w:rsidRPr="009F7561">
        <w:rPr>
          <w:lang w:val="en-GB"/>
        </w:rPr>
        <w:t xml:space="preserve">These GBV Standard Operating Procedures (GBV SOPs) have been developed to facilitate collaborative action to address GBV in </w:t>
      </w:r>
      <w:r w:rsidRPr="0013693D">
        <w:rPr>
          <w:i/>
          <w:iCs/>
          <w:color w:val="0070C0"/>
          <w:lang w:val="en-GB"/>
        </w:rPr>
        <w:t>[insert setting here].</w:t>
      </w:r>
    </w:p>
    <w:p w:rsidRPr="009F7561" w:rsidR="001D323A" w:rsidP="00BB231F" w:rsidRDefault="00CE2830" w14:paraId="7E28F850" w14:textId="77777777">
      <w:pPr>
        <w:spacing w:before="120" w:after="120" w:line="300" w:lineRule="atLeast"/>
        <w:jc w:val="both"/>
        <w:rPr>
          <w:lang w:val="en-GB"/>
        </w:rPr>
      </w:pPr>
      <w:r w:rsidRPr="009F7561">
        <w:rPr>
          <w:lang w:val="en-GB"/>
        </w:rPr>
        <w:t xml:space="preserve">These GBV SOPs will be updated </w:t>
      </w:r>
      <w:r w:rsidRPr="0013693D">
        <w:rPr>
          <w:i/>
          <w:iCs/>
          <w:color w:val="0070C0"/>
          <w:lang w:val="en-GB"/>
        </w:rPr>
        <w:t xml:space="preserve">[annually] </w:t>
      </w:r>
      <w:r w:rsidRPr="009F7561">
        <w:rPr>
          <w:lang w:val="en-GB"/>
        </w:rPr>
        <w:t>to reflect changes in the context and needs. If preliminary GBV SOPs have been developed, it is important to expand the GBV SOPs to be comprehensive.</w:t>
      </w:r>
    </w:p>
    <w:p w:rsidRPr="00B42F54" w:rsidR="001D323A" w:rsidP="003166F7" w:rsidRDefault="00CE2830" w14:paraId="7E28F853" w14:textId="68E4323E">
      <w:pPr>
        <w:pStyle w:val="Heading2"/>
      </w:pPr>
      <w:bookmarkStart w:name="_Toc134906250" w:id="6"/>
      <w:bookmarkStart w:name="_Toc142469124" w:id="7"/>
      <w:r w:rsidRPr="00B42F54">
        <w:t>Purpose</w:t>
      </w:r>
      <w:bookmarkEnd w:id="6"/>
      <w:bookmarkEnd w:id="7"/>
    </w:p>
    <w:p w:rsidRPr="009F7561" w:rsidR="001D323A" w:rsidP="00BB231F" w:rsidRDefault="00CE2830" w14:paraId="7E28F855" w14:textId="7F783CCD">
      <w:pPr>
        <w:spacing w:before="120" w:after="120" w:line="300" w:lineRule="atLeast"/>
        <w:jc w:val="both"/>
        <w:rPr>
          <w:lang w:val="en-GB"/>
        </w:rPr>
      </w:pPr>
      <w:r w:rsidRPr="009F7561">
        <w:rPr>
          <w:lang w:val="en-GB"/>
        </w:rPr>
        <w:t>These GBV SOPs, developed by representatives of the organ</w:t>
      </w:r>
      <w:r w:rsidRPr="009F7561" w:rsidR="002D1850">
        <w:rPr>
          <w:lang w:val="en-GB"/>
        </w:rPr>
        <w:t>iza</w:t>
      </w:r>
      <w:r w:rsidRPr="009F7561">
        <w:rPr>
          <w:lang w:val="en-GB"/>
        </w:rPr>
        <w:t xml:space="preserve">tions listed on the cover, describe </w:t>
      </w:r>
      <w:r w:rsidRPr="009F7561" w:rsidR="0025065F">
        <w:rPr>
          <w:lang w:val="en-GB"/>
        </w:rPr>
        <w:t xml:space="preserve">the </w:t>
      </w:r>
      <w:r w:rsidRPr="009F7561">
        <w:rPr>
          <w:lang w:val="en-GB"/>
        </w:rPr>
        <w:t>procedures, roles</w:t>
      </w:r>
      <w:r w:rsidRPr="009F7561" w:rsidR="008A1575">
        <w:rPr>
          <w:lang w:val="en-GB"/>
        </w:rPr>
        <w:t xml:space="preserve"> and </w:t>
      </w:r>
      <w:r w:rsidRPr="009F7561">
        <w:rPr>
          <w:lang w:val="en-GB"/>
        </w:rPr>
        <w:t xml:space="preserve">responsibilities for each actor involved in the response to and mitigation and prevention of GBV. They are designed for actors to be able to hold each other accountable for addressing the needs of GBV survivors, to be used together with established guidelines and other good practice materials related to the response to and mitigation and prevention of GBV. </w:t>
      </w:r>
    </w:p>
    <w:p w:rsidRPr="005B4C51" w:rsidR="001D323A" w:rsidP="003166F7" w:rsidRDefault="00CE2830" w14:paraId="7E28F858" w14:textId="4D89E73E">
      <w:pPr>
        <w:pStyle w:val="Heading2"/>
      </w:pPr>
      <w:bookmarkStart w:name="_Toc134906251" w:id="8"/>
      <w:bookmarkStart w:name="_Toc142469125" w:id="9"/>
      <w:r w:rsidRPr="005B4C51">
        <w:t>Context</w:t>
      </w:r>
      <w:bookmarkEnd w:id="8"/>
      <w:bookmarkEnd w:id="9"/>
    </w:p>
    <w:p w:rsidRPr="00C206C2" w:rsidR="001D323A" w:rsidP="00BB231F" w:rsidRDefault="00C206C2" w14:paraId="7E28F85A" w14:textId="5D000C10">
      <w:pPr>
        <w:spacing w:before="120" w:after="120" w:line="300" w:lineRule="atLeast"/>
        <w:jc w:val="both"/>
        <w:rPr>
          <w:i/>
          <w:iCs/>
          <w:color w:val="0070C0"/>
          <w:lang w:val="en-GB"/>
        </w:rPr>
      </w:pPr>
      <w:r w:rsidRPr="00C206C2">
        <w:rPr>
          <w:i/>
          <w:iCs/>
          <w:color w:val="0070C0"/>
          <w:lang w:val="en-GB"/>
        </w:rPr>
        <w:t>[</w:t>
      </w:r>
      <w:r w:rsidRPr="00C206C2" w:rsidR="00CE2830">
        <w:rPr>
          <w:i/>
          <w:iCs/>
          <w:color w:val="0070C0"/>
          <w:lang w:val="en-GB"/>
        </w:rPr>
        <w:t>Insert general contextual information on the setting and GBV in the setting. If available, draw on a secondary data review</w:t>
      </w:r>
      <w:r w:rsidRPr="00C206C2" w:rsidR="00CE2830">
        <w:rPr>
          <w:i/>
          <w:iCs/>
          <w:color w:val="0070C0"/>
          <w:vertAlign w:val="superscript"/>
          <w:lang w:val="en-GB"/>
        </w:rPr>
        <w:footnoteReference w:id="75"/>
      </w:r>
      <w:r w:rsidRPr="00C206C2" w:rsidR="00CE2830">
        <w:rPr>
          <w:i/>
          <w:iCs/>
          <w:color w:val="0070C0"/>
          <w:lang w:val="en-GB"/>
        </w:rPr>
        <w:t xml:space="preserve"> conducted for the setting or similar contextual analysis, including a brief summary of:</w:t>
      </w:r>
    </w:p>
    <w:p w:rsidRPr="00C206C2" w:rsidR="001D323A" w:rsidP="00E96F61" w:rsidRDefault="00CE2830" w14:paraId="7E28F85B" w14:textId="019123D3">
      <w:pPr>
        <w:numPr>
          <w:ilvl w:val="0"/>
          <w:numId w:val="29"/>
        </w:numPr>
        <w:pBdr>
          <w:top w:val="nil"/>
          <w:left w:val="nil"/>
          <w:bottom w:val="nil"/>
          <w:right w:val="nil"/>
          <w:between w:val="nil"/>
        </w:pBdr>
        <w:spacing w:before="120" w:after="120" w:line="300" w:lineRule="atLeast"/>
        <w:jc w:val="both"/>
        <w:rPr>
          <w:i/>
          <w:iCs/>
          <w:color w:val="0070C0"/>
          <w:lang w:val="en-GB"/>
        </w:rPr>
      </w:pPr>
      <w:r w:rsidRPr="00C206C2">
        <w:rPr>
          <w:i/>
          <w:iCs/>
          <w:color w:val="0070C0"/>
          <w:lang w:val="en-GB"/>
        </w:rPr>
        <w:t>the drivers of the current crisis (e.g. natural disaster, displacement</w:t>
      </w:r>
      <w:r w:rsidRPr="00C206C2" w:rsidR="00374FF9">
        <w:rPr>
          <w:i/>
          <w:iCs/>
          <w:color w:val="0070C0"/>
          <w:lang w:val="en-GB"/>
        </w:rPr>
        <w:t>)</w:t>
      </w:r>
      <w:r w:rsidRPr="00C206C2" w:rsidR="00BB231F">
        <w:rPr>
          <w:i/>
          <w:iCs/>
          <w:color w:val="0070C0"/>
          <w:lang w:val="en-GB"/>
        </w:rPr>
        <w:t>.</w:t>
      </w:r>
    </w:p>
    <w:p w:rsidRPr="00C206C2" w:rsidR="001D323A" w:rsidP="00E96F61" w:rsidRDefault="00CE2830" w14:paraId="7E28F85C" w14:textId="0E1D1D6A">
      <w:pPr>
        <w:numPr>
          <w:ilvl w:val="0"/>
          <w:numId w:val="29"/>
        </w:numPr>
        <w:spacing w:before="120" w:after="120" w:line="300" w:lineRule="atLeast"/>
        <w:jc w:val="both"/>
        <w:rPr>
          <w:i/>
          <w:iCs/>
          <w:color w:val="0070C0"/>
          <w:lang w:val="en-GB"/>
        </w:rPr>
      </w:pPr>
      <w:r w:rsidRPr="00C206C2">
        <w:rPr>
          <w:i/>
          <w:iCs/>
          <w:color w:val="0070C0"/>
          <w:lang w:val="en-GB"/>
        </w:rPr>
        <w:t>an overview of the in-crisis situation (people in need, GBV protection needs, including information on legal practices that criminalize survivors of GBV, if applicable)</w:t>
      </w:r>
      <w:r w:rsidRPr="00C206C2" w:rsidR="00BB231F">
        <w:rPr>
          <w:i/>
          <w:iCs/>
          <w:color w:val="0070C0"/>
          <w:lang w:val="en-GB"/>
        </w:rPr>
        <w:t>.</w:t>
      </w:r>
    </w:p>
    <w:p w:rsidRPr="00C206C2" w:rsidR="001D323A" w:rsidP="00E96F61" w:rsidRDefault="00CE2830" w14:paraId="7E28F85D" w14:textId="68A13F19">
      <w:pPr>
        <w:numPr>
          <w:ilvl w:val="0"/>
          <w:numId w:val="29"/>
        </w:numPr>
        <w:spacing w:before="120" w:after="120" w:line="300" w:lineRule="atLeast"/>
        <w:jc w:val="both"/>
        <w:rPr>
          <w:i/>
          <w:iCs/>
          <w:color w:val="0070C0"/>
          <w:lang w:val="en-GB"/>
        </w:rPr>
      </w:pPr>
      <w:r w:rsidRPr="00C206C2">
        <w:rPr>
          <w:i/>
          <w:iCs/>
          <w:color w:val="0070C0"/>
          <w:lang w:val="en-GB"/>
        </w:rPr>
        <w:t>key priorities and most critical areas for intervention</w:t>
      </w:r>
      <w:r w:rsidRPr="00C206C2" w:rsidR="00BB231F">
        <w:rPr>
          <w:i/>
          <w:iCs/>
          <w:color w:val="0070C0"/>
          <w:lang w:val="en-GB"/>
        </w:rPr>
        <w:t>.</w:t>
      </w:r>
    </w:p>
    <w:p w:rsidRPr="00C206C2" w:rsidR="001D323A" w:rsidP="00E96F61" w:rsidRDefault="00CE2830" w14:paraId="7E28F85E" w14:textId="01E9C15E">
      <w:pPr>
        <w:numPr>
          <w:ilvl w:val="0"/>
          <w:numId w:val="29"/>
        </w:numPr>
        <w:pBdr>
          <w:top w:val="nil"/>
          <w:left w:val="nil"/>
          <w:bottom w:val="nil"/>
          <w:right w:val="nil"/>
          <w:between w:val="nil"/>
        </w:pBdr>
        <w:spacing w:before="120" w:after="120" w:line="300" w:lineRule="atLeast"/>
        <w:jc w:val="both"/>
        <w:rPr>
          <w:i/>
          <w:iCs/>
          <w:color w:val="0070C0"/>
          <w:lang w:val="en-GB"/>
        </w:rPr>
      </w:pPr>
      <w:r w:rsidRPr="00C206C2">
        <w:rPr>
          <w:i/>
          <w:iCs/>
          <w:color w:val="0070C0"/>
          <w:lang w:val="en-GB"/>
        </w:rPr>
        <w:t>key geographic areas (</w:t>
      </w:r>
      <w:r w:rsidRPr="00C206C2" w:rsidR="00AC129C">
        <w:rPr>
          <w:i/>
          <w:iCs/>
          <w:color w:val="0070C0"/>
          <w:lang w:val="en-GB"/>
        </w:rPr>
        <w:t>e.g.</w:t>
      </w:r>
      <w:r w:rsidRPr="00C206C2" w:rsidR="004932FD">
        <w:rPr>
          <w:i/>
          <w:iCs/>
          <w:color w:val="0070C0"/>
          <w:lang w:val="en-GB"/>
        </w:rPr>
        <w:t xml:space="preserve"> </w:t>
      </w:r>
      <w:r w:rsidRPr="00C206C2">
        <w:rPr>
          <w:i/>
          <w:iCs/>
          <w:color w:val="0070C0"/>
          <w:lang w:val="en-GB"/>
        </w:rPr>
        <w:t>any areas where the situation is worse than others e.g. north of the camp vs. south, governorate X vs. Y, etc</w:t>
      </w:r>
      <w:r w:rsidRPr="00C206C2" w:rsidR="00374FF9">
        <w:rPr>
          <w:i/>
          <w:iCs/>
          <w:color w:val="0070C0"/>
          <w:lang w:val="en-GB"/>
        </w:rPr>
        <w:t>.)</w:t>
      </w:r>
      <w:r w:rsidRPr="00C206C2" w:rsidR="00BB231F">
        <w:rPr>
          <w:i/>
          <w:iCs/>
          <w:color w:val="0070C0"/>
          <w:lang w:val="en-GB"/>
        </w:rPr>
        <w:t>.</w:t>
      </w:r>
    </w:p>
    <w:p w:rsidRPr="00C206C2" w:rsidR="001D323A" w:rsidP="00E96F61" w:rsidRDefault="00CE2830" w14:paraId="7E28F85F" w14:textId="65DBA012">
      <w:pPr>
        <w:numPr>
          <w:ilvl w:val="0"/>
          <w:numId w:val="29"/>
        </w:numPr>
        <w:pBdr>
          <w:top w:val="nil"/>
          <w:left w:val="nil"/>
          <w:bottom w:val="nil"/>
          <w:right w:val="nil"/>
          <w:between w:val="nil"/>
        </w:pBdr>
        <w:spacing w:before="120" w:after="120" w:line="300" w:lineRule="atLeast"/>
        <w:jc w:val="both"/>
        <w:rPr>
          <w:i/>
          <w:iCs/>
          <w:color w:val="0070C0"/>
          <w:lang w:val="en-GB"/>
        </w:rPr>
      </w:pPr>
      <w:r w:rsidRPr="00C206C2">
        <w:rPr>
          <w:i/>
          <w:iCs/>
          <w:color w:val="0070C0"/>
          <w:spacing w:val="-2"/>
          <w:lang w:val="en-GB"/>
        </w:rPr>
        <w:t xml:space="preserve">key vulnerable groups (were any groups particularly affected? E.g. </w:t>
      </w:r>
      <w:r w:rsidRPr="00C206C2" w:rsidR="00B453EF">
        <w:rPr>
          <w:i/>
          <w:iCs/>
          <w:color w:val="0070C0"/>
          <w:spacing w:val="-2"/>
          <w:lang w:val="en-GB"/>
        </w:rPr>
        <w:t>displaced women and girls, w</w:t>
      </w:r>
      <w:r w:rsidRPr="00C206C2">
        <w:rPr>
          <w:i/>
          <w:iCs/>
          <w:color w:val="0070C0"/>
          <w:spacing w:val="-2"/>
          <w:lang w:val="en-GB"/>
        </w:rPr>
        <w:t>omen over 60 years old, girls with disabilities</w:t>
      </w:r>
      <w:r w:rsidRPr="00C206C2" w:rsidR="00461384">
        <w:rPr>
          <w:i/>
          <w:iCs/>
          <w:color w:val="0070C0"/>
          <w:spacing w:val="-2"/>
          <w:lang w:val="en-GB"/>
        </w:rPr>
        <w:t xml:space="preserve"> or </w:t>
      </w:r>
      <w:r w:rsidRPr="00C206C2">
        <w:rPr>
          <w:i/>
          <w:iCs/>
          <w:color w:val="0070C0"/>
          <w:spacing w:val="-2"/>
          <w:lang w:val="en-GB"/>
        </w:rPr>
        <w:t>women from minority group X</w:t>
      </w:r>
      <w:r w:rsidRPr="00C206C2">
        <w:rPr>
          <w:i/>
          <w:iCs/>
          <w:color w:val="0070C0"/>
          <w:lang w:val="en-GB"/>
        </w:rPr>
        <w:t>).</w:t>
      </w:r>
      <w:r w:rsidRPr="00C206C2" w:rsidR="00C206C2">
        <w:rPr>
          <w:i/>
          <w:iCs/>
          <w:color w:val="0070C0"/>
          <w:lang w:val="en-GB"/>
        </w:rPr>
        <w:t>]</w:t>
      </w:r>
    </w:p>
    <w:p w:rsidRPr="005B4C51" w:rsidR="001D323A" w:rsidP="003166F7" w:rsidRDefault="00CE2830" w14:paraId="7E28F862" w14:textId="343C6F44">
      <w:pPr>
        <w:pStyle w:val="Heading2"/>
      </w:pPr>
      <w:bookmarkStart w:name="_Toc134906252" w:id="10"/>
      <w:bookmarkStart w:name="_Toc142469126" w:id="11"/>
      <w:r w:rsidRPr="005B4C51">
        <w:t>Settings and affected populations</w:t>
      </w:r>
      <w:bookmarkEnd w:id="10"/>
      <w:bookmarkEnd w:id="11"/>
      <w:r w:rsidRPr="005B4C51" w:rsidR="003C264D">
        <w:t xml:space="preserve"> </w:t>
      </w:r>
    </w:p>
    <w:p w:rsidRPr="009F7561" w:rsidR="001D323A" w:rsidP="00E82689" w:rsidRDefault="00CE2830" w14:paraId="7E28F864" w14:textId="77777777">
      <w:pPr>
        <w:spacing w:before="120" w:after="120" w:line="240" w:lineRule="auto"/>
        <w:jc w:val="both"/>
        <w:rPr>
          <w:lang w:val="en-GB"/>
        </w:rPr>
      </w:pPr>
      <w:r w:rsidRPr="009F7561">
        <w:rPr>
          <w:lang w:val="en-GB"/>
        </w:rPr>
        <w:t>These GBV SOPs have been developed for use in the following settings:</w:t>
      </w:r>
    </w:p>
    <w:tbl>
      <w:tblPr>
        <w:tblW w:w="935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3116"/>
        <w:gridCol w:w="3117"/>
        <w:gridCol w:w="3117"/>
      </w:tblGrid>
      <w:tr w:rsidRPr="009F7561" w:rsidR="007B57E6" w14:paraId="7E28F869" w14:textId="77777777">
        <w:tc>
          <w:tcPr>
            <w:tcW w:w="3116" w:type="dxa"/>
          </w:tcPr>
          <w:p w:rsidRPr="009F7561" w:rsidR="001D323A" w:rsidP="00E82689" w:rsidRDefault="00CE2830" w14:paraId="7E28F866" w14:textId="77777777">
            <w:pPr>
              <w:spacing w:before="120" w:after="120"/>
              <w:jc w:val="both"/>
              <w:rPr>
                <w:b/>
                <w:lang w:val="en-GB"/>
              </w:rPr>
            </w:pPr>
            <w:r w:rsidRPr="009F7561">
              <w:rPr>
                <w:b/>
                <w:lang w:val="en-GB"/>
              </w:rPr>
              <w:t>Location</w:t>
            </w:r>
          </w:p>
        </w:tc>
        <w:tc>
          <w:tcPr>
            <w:tcW w:w="3117" w:type="dxa"/>
          </w:tcPr>
          <w:p w:rsidRPr="009F7561" w:rsidR="001D323A" w:rsidP="00E82689" w:rsidRDefault="00CE2830" w14:paraId="7E28F867" w14:textId="77777777">
            <w:pPr>
              <w:spacing w:before="120" w:after="120"/>
              <w:jc w:val="both"/>
              <w:rPr>
                <w:b/>
                <w:lang w:val="en-GB"/>
              </w:rPr>
            </w:pPr>
            <w:r w:rsidRPr="009F7561">
              <w:rPr>
                <w:b/>
                <w:lang w:val="en-GB"/>
              </w:rPr>
              <w:t>Type of Setting</w:t>
            </w:r>
          </w:p>
        </w:tc>
        <w:tc>
          <w:tcPr>
            <w:tcW w:w="3117" w:type="dxa"/>
          </w:tcPr>
          <w:p w:rsidRPr="009F7561" w:rsidR="001D323A" w:rsidP="00E82689" w:rsidRDefault="00CE2830" w14:paraId="7E28F868" w14:textId="77777777">
            <w:pPr>
              <w:spacing w:before="120" w:after="120"/>
              <w:jc w:val="both"/>
              <w:rPr>
                <w:b/>
                <w:lang w:val="en-GB"/>
              </w:rPr>
            </w:pPr>
            <w:r w:rsidRPr="009F7561">
              <w:rPr>
                <w:b/>
                <w:lang w:val="en-GB"/>
              </w:rPr>
              <w:t>Affected populations</w:t>
            </w:r>
          </w:p>
        </w:tc>
      </w:tr>
      <w:tr w:rsidRPr="009F7561" w:rsidR="007B57E6" w14:paraId="7E28F86D" w14:textId="77777777">
        <w:tc>
          <w:tcPr>
            <w:tcW w:w="3116" w:type="dxa"/>
          </w:tcPr>
          <w:p w:rsidRPr="00B20673" w:rsidR="001D323A" w:rsidP="00E82689" w:rsidRDefault="00CE2830" w14:paraId="7E28F86A" w14:textId="45BE8B0E">
            <w:pPr>
              <w:spacing w:before="120" w:after="120"/>
              <w:jc w:val="both"/>
              <w:rPr>
                <w:color w:val="0070C0"/>
                <w:lang w:val="en-GB"/>
              </w:rPr>
            </w:pPr>
            <w:r w:rsidRPr="00B20673">
              <w:rPr>
                <w:color w:val="0070C0"/>
                <w:lang w:val="en-GB"/>
              </w:rPr>
              <w:t>Name of the camp, settlement, village, town</w:t>
            </w:r>
            <w:r w:rsidRPr="00B20673" w:rsidR="00461384">
              <w:rPr>
                <w:color w:val="0070C0"/>
                <w:lang w:val="en-GB"/>
              </w:rPr>
              <w:t xml:space="preserve"> or </w:t>
            </w:r>
            <w:r w:rsidRPr="00B20673">
              <w:rPr>
                <w:color w:val="0070C0"/>
                <w:lang w:val="en-GB"/>
              </w:rPr>
              <w:t>city.</w:t>
            </w:r>
          </w:p>
        </w:tc>
        <w:tc>
          <w:tcPr>
            <w:tcW w:w="3117" w:type="dxa"/>
          </w:tcPr>
          <w:p w:rsidRPr="00B20673" w:rsidR="001D323A" w:rsidP="00E82689" w:rsidRDefault="00CE2830" w14:paraId="7E28F86B" w14:textId="77777777">
            <w:pPr>
              <w:spacing w:before="120" w:after="120"/>
              <w:jc w:val="both"/>
              <w:rPr>
                <w:color w:val="0070C0"/>
                <w:lang w:val="en-GB"/>
              </w:rPr>
            </w:pPr>
            <w:r w:rsidRPr="00B20673">
              <w:rPr>
                <w:color w:val="0070C0"/>
                <w:lang w:val="en-GB"/>
              </w:rPr>
              <w:t>Specify whether it is camp, settlement, urban, etc.</w:t>
            </w:r>
          </w:p>
        </w:tc>
        <w:tc>
          <w:tcPr>
            <w:tcW w:w="3117" w:type="dxa"/>
          </w:tcPr>
          <w:p w:rsidRPr="00B20673" w:rsidR="001D323A" w:rsidP="00E82689" w:rsidRDefault="00CE2830" w14:paraId="7E28F86C" w14:textId="39E97812">
            <w:pPr>
              <w:spacing w:before="120" w:after="120"/>
              <w:jc w:val="both"/>
              <w:rPr>
                <w:color w:val="0070C0"/>
                <w:lang w:val="en-GB"/>
              </w:rPr>
            </w:pPr>
            <w:r w:rsidRPr="00B20673">
              <w:rPr>
                <w:color w:val="0070C0"/>
                <w:lang w:val="en-GB"/>
              </w:rPr>
              <w:t>Specify refugees (and include country of origin), IDPs, returnees, migrants</w:t>
            </w:r>
            <w:r w:rsidRPr="00B20673" w:rsidR="00461384">
              <w:rPr>
                <w:color w:val="0070C0"/>
                <w:lang w:val="en-GB"/>
              </w:rPr>
              <w:t xml:space="preserve"> or </w:t>
            </w:r>
            <w:r w:rsidRPr="00B20673">
              <w:rPr>
                <w:color w:val="0070C0"/>
                <w:lang w:val="en-GB"/>
              </w:rPr>
              <w:t>host community members.</w:t>
            </w:r>
          </w:p>
        </w:tc>
      </w:tr>
      <w:tr w:rsidRPr="009F7561" w:rsidR="007B57E6" w14:paraId="7E28F871" w14:textId="77777777">
        <w:tc>
          <w:tcPr>
            <w:tcW w:w="3116" w:type="dxa"/>
          </w:tcPr>
          <w:p w:rsidRPr="009F7561" w:rsidR="001D323A" w:rsidP="00E82689" w:rsidRDefault="001D323A" w14:paraId="7E28F86E" w14:textId="77777777">
            <w:pPr>
              <w:spacing w:before="120" w:after="120"/>
              <w:jc w:val="both"/>
              <w:rPr>
                <w:u w:val="single"/>
                <w:lang w:val="en-GB"/>
              </w:rPr>
            </w:pPr>
          </w:p>
        </w:tc>
        <w:tc>
          <w:tcPr>
            <w:tcW w:w="3117" w:type="dxa"/>
          </w:tcPr>
          <w:p w:rsidRPr="009F7561" w:rsidR="001D323A" w:rsidP="00E82689" w:rsidRDefault="001D323A" w14:paraId="7E28F86F" w14:textId="77777777">
            <w:pPr>
              <w:spacing w:before="120" w:after="120"/>
              <w:jc w:val="both"/>
              <w:rPr>
                <w:u w:val="single"/>
                <w:lang w:val="en-GB"/>
              </w:rPr>
            </w:pPr>
          </w:p>
        </w:tc>
        <w:tc>
          <w:tcPr>
            <w:tcW w:w="3117" w:type="dxa"/>
          </w:tcPr>
          <w:p w:rsidRPr="009F7561" w:rsidR="001D323A" w:rsidP="00E82689" w:rsidRDefault="001D323A" w14:paraId="7E28F870" w14:textId="77777777">
            <w:pPr>
              <w:spacing w:before="120" w:after="120"/>
              <w:jc w:val="both"/>
              <w:rPr>
                <w:u w:val="single"/>
                <w:lang w:val="en-GB"/>
              </w:rPr>
            </w:pPr>
          </w:p>
        </w:tc>
      </w:tr>
      <w:tr w:rsidRPr="009F7561" w:rsidR="007B57E6" w14:paraId="7E28F875" w14:textId="77777777">
        <w:tc>
          <w:tcPr>
            <w:tcW w:w="3116" w:type="dxa"/>
          </w:tcPr>
          <w:p w:rsidRPr="009F7561" w:rsidR="001D323A" w:rsidP="00E82689" w:rsidRDefault="001D323A" w14:paraId="7E28F872" w14:textId="77777777">
            <w:pPr>
              <w:spacing w:before="120" w:after="120"/>
              <w:jc w:val="both"/>
              <w:rPr>
                <w:u w:val="single"/>
                <w:lang w:val="en-GB"/>
              </w:rPr>
            </w:pPr>
          </w:p>
        </w:tc>
        <w:tc>
          <w:tcPr>
            <w:tcW w:w="3117" w:type="dxa"/>
          </w:tcPr>
          <w:p w:rsidRPr="009F7561" w:rsidR="001D323A" w:rsidP="00E82689" w:rsidRDefault="001D323A" w14:paraId="7E28F873" w14:textId="77777777">
            <w:pPr>
              <w:spacing w:before="120" w:after="120"/>
              <w:jc w:val="both"/>
              <w:rPr>
                <w:u w:val="single"/>
                <w:lang w:val="en-GB"/>
              </w:rPr>
            </w:pPr>
          </w:p>
        </w:tc>
        <w:tc>
          <w:tcPr>
            <w:tcW w:w="3117" w:type="dxa"/>
          </w:tcPr>
          <w:p w:rsidRPr="009F7561" w:rsidR="001D323A" w:rsidP="00E82689" w:rsidRDefault="001D323A" w14:paraId="7E28F874" w14:textId="77777777">
            <w:pPr>
              <w:spacing w:before="120" w:after="120"/>
              <w:jc w:val="both"/>
              <w:rPr>
                <w:u w:val="single"/>
                <w:lang w:val="en-GB"/>
              </w:rPr>
            </w:pPr>
          </w:p>
        </w:tc>
      </w:tr>
    </w:tbl>
    <w:p w:rsidRPr="005B4C51" w:rsidR="001D323A" w:rsidP="003166F7" w:rsidRDefault="00CE2830" w14:paraId="7E28F878" w14:textId="77777777">
      <w:pPr>
        <w:pStyle w:val="Heading2"/>
      </w:pPr>
      <w:bookmarkStart w:name="_Toc134906253" w:id="12"/>
      <w:bookmarkStart w:name="_Toc142469127" w:id="13"/>
      <w:r w:rsidRPr="005B4C51">
        <w:t>Terms</w:t>
      </w:r>
      <w:bookmarkEnd w:id="12"/>
      <w:bookmarkEnd w:id="13"/>
    </w:p>
    <w:p w:rsidR="00847EC9" w:rsidP="00C22D9F" w:rsidRDefault="00847EC9" w14:paraId="037E2638" w14:textId="66C7F1D0">
      <w:pPr>
        <w:pStyle w:val="Heading3"/>
        <w:rPr>
          <w:lang w:val="en-GB"/>
        </w:rPr>
      </w:pPr>
      <w:bookmarkStart w:name="_Toc142469128" w:id="14"/>
      <w:r>
        <w:rPr>
          <w:lang w:val="en-GB"/>
        </w:rPr>
        <w:t>General terms</w:t>
      </w:r>
      <w:bookmarkEnd w:id="14"/>
    </w:p>
    <w:p w:rsidR="001D323A" w:rsidP="001C2841" w:rsidRDefault="00CE2830" w14:paraId="7E28F87D" w14:textId="3D80710F">
      <w:pPr>
        <w:spacing w:before="120" w:after="120" w:line="300" w:lineRule="atLeast"/>
        <w:jc w:val="both"/>
        <w:rPr>
          <w:lang w:val="en-GB"/>
        </w:rPr>
      </w:pPr>
      <w:r w:rsidRPr="009F7561">
        <w:rPr>
          <w:lang w:val="en-GB"/>
        </w:rPr>
        <w:t xml:space="preserve">An extensive but non-exhaustive list of general terms is included in </w:t>
      </w:r>
      <w:r w:rsidRPr="009F7561" w:rsidR="00777E24">
        <w:rPr>
          <w:lang w:val="en-GB"/>
        </w:rPr>
        <w:t xml:space="preserve">the </w:t>
      </w:r>
      <w:r w:rsidRPr="009F7561">
        <w:rPr>
          <w:lang w:val="en-GB"/>
        </w:rPr>
        <w:t>Definitions</w:t>
      </w:r>
      <w:r w:rsidRPr="009F7561" w:rsidR="00777E24">
        <w:rPr>
          <w:lang w:val="en-GB"/>
        </w:rPr>
        <w:t xml:space="preserve"> section above</w:t>
      </w:r>
      <w:r w:rsidRPr="009F7561">
        <w:rPr>
          <w:lang w:val="en-GB"/>
        </w:rPr>
        <w:t>. The list of definitions must be</w:t>
      </w:r>
      <w:r w:rsidR="00403679">
        <w:rPr>
          <w:lang w:val="en-GB"/>
        </w:rPr>
        <w:t xml:space="preserve"> </w:t>
      </w:r>
      <w:r w:rsidRPr="009F7561">
        <w:rPr>
          <w:lang w:val="en-GB"/>
        </w:rPr>
        <w:t>revised and aligned with terminology used in context</w:t>
      </w:r>
      <w:r w:rsidRPr="009F7561" w:rsidR="00777E24">
        <w:rPr>
          <w:lang w:val="en-GB"/>
        </w:rPr>
        <w:t>.</w:t>
      </w:r>
    </w:p>
    <w:p w:rsidRPr="009F7561" w:rsidR="00847EC9" w:rsidP="00C22D9F" w:rsidRDefault="00847EC9" w14:paraId="660153B6" w14:textId="0EB47BCF">
      <w:pPr>
        <w:pStyle w:val="Heading3"/>
        <w:rPr>
          <w:lang w:val="en-GB"/>
        </w:rPr>
      </w:pPr>
      <w:bookmarkStart w:name="_Toc142469129" w:id="15"/>
      <w:r>
        <w:rPr>
          <w:lang w:val="en-GB"/>
        </w:rPr>
        <w:t>Gender-based violence terms</w:t>
      </w:r>
      <w:bookmarkEnd w:id="15"/>
    </w:p>
    <w:p w:rsidRPr="00585205" w:rsidR="001D323A" w:rsidP="001C2841" w:rsidRDefault="00CE2830" w14:paraId="7E28F882" w14:textId="69864DDB">
      <w:pPr>
        <w:spacing w:before="120" w:after="120" w:line="300" w:lineRule="atLeast"/>
        <w:jc w:val="both"/>
        <w:rPr>
          <w:lang w:val="en-GB"/>
        </w:rPr>
      </w:pPr>
      <w:r w:rsidRPr="00585205">
        <w:rPr>
          <w:lang w:val="en-GB"/>
        </w:rPr>
        <w:t>Gender-based violence</w:t>
      </w:r>
      <w:r w:rsidRPr="00585205">
        <w:rPr>
          <w:vertAlign w:val="superscript"/>
          <w:lang w:val="en-GB"/>
        </w:rPr>
        <w:footnoteReference w:id="76"/>
      </w:r>
      <w:r w:rsidRPr="00585205">
        <w:rPr>
          <w:lang w:val="en-GB"/>
        </w:rPr>
        <w:t xml:space="preserve"> is an umbrella term for any harmful act that is perpetrated against a person</w:t>
      </w:r>
      <w:r w:rsidRPr="00585205" w:rsidR="00315391">
        <w:rPr>
          <w:lang w:val="en-GB"/>
        </w:rPr>
        <w:t>’s</w:t>
      </w:r>
      <w:r w:rsidRPr="00585205">
        <w:rPr>
          <w:lang w:val="en-GB"/>
        </w:rPr>
        <w:t xml:space="preserve"> will</w:t>
      </w:r>
      <w:r w:rsidRPr="00585205" w:rsidR="008A1575">
        <w:rPr>
          <w:lang w:val="en-GB"/>
        </w:rPr>
        <w:t xml:space="preserve"> and </w:t>
      </w:r>
      <w:r w:rsidRPr="00585205">
        <w:rPr>
          <w:lang w:val="en-GB"/>
        </w:rPr>
        <w:t xml:space="preserve">that is based on socially ascribed (gender) differences between males and females. </w:t>
      </w:r>
      <w:r w:rsidRPr="009F7561">
        <w:rPr>
          <w:lang w:val="en-GB"/>
        </w:rPr>
        <w:t xml:space="preserve">It includes acts that inflict physical, sexual or mental harm or suffering, threats of such acts, coercion and other deprivations of liberty. These acts can occur in public or in private. </w:t>
      </w:r>
      <w:r w:rsidRPr="00585205">
        <w:rPr>
          <w:lang w:val="en-GB"/>
        </w:rPr>
        <w:t xml:space="preserve">Acts of GBV violate a number of universal human rights protected by international instruments and conventions. Many – but not all – forms of GBV are illegal and criminal acts in national laws and policies. </w:t>
      </w:r>
    </w:p>
    <w:p w:rsidRPr="00585205" w:rsidR="001D323A" w:rsidP="001C2841" w:rsidRDefault="00CE2830" w14:paraId="7E28F884" w14:textId="05626EB7">
      <w:pPr>
        <w:spacing w:before="120" w:after="120" w:line="300" w:lineRule="atLeast"/>
        <w:jc w:val="both"/>
        <w:rPr>
          <w:lang w:val="en-GB"/>
        </w:rPr>
      </w:pPr>
      <w:r w:rsidRPr="00585205">
        <w:rPr>
          <w:lang w:val="en-GB"/>
        </w:rPr>
        <w:t xml:space="preserve">Around the world, GBV has a greater impact on women and girls than on men and boys. </w:t>
      </w:r>
      <w:r w:rsidR="00A52935">
        <w:rPr>
          <w:lang w:val="en-GB"/>
        </w:rPr>
        <w:br/>
      </w:r>
      <w:r w:rsidRPr="00585205">
        <w:rPr>
          <w:lang w:val="en-GB"/>
        </w:rPr>
        <w:t>The term “gender-based violence” is often used interchangeably with the term “violence against women and girls”. The term “gender-based violence” highlights the gender dimension of these types of acts; in other words, the relationship between females</w:t>
      </w:r>
      <w:r w:rsidR="00625847">
        <w:rPr>
          <w:lang w:val="en-GB"/>
        </w:rPr>
        <w:t>’</w:t>
      </w:r>
      <w:r w:rsidRPr="00585205">
        <w:rPr>
          <w:lang w:val="en-GB"/>
        </w:rPr>
        <w:t xml:space="preserve"> subordinate status in society and</w:t>
      </w:r>
      <w:r w:rsidRPr="009F7561">
        <w:rPr>
          <w:lang w:val="en-GB"/>
        </w:rPr>
        <w:t xml:space="preserve"> </w:t>
      </w:r>
      <w:r w:rsidRPr="00585205">
        <w:rPr>
          <w:lang w:val="en-GB"/>
        </w:rPr>
        <w:t xml:space="preserve">their increased </w:t>
      </w:r>
      <w:r w:rsidRPr="00585205" w:rsidR="005C7680">
        <w:rPr>
          <w:lang w:val="en-GB"/>
        </w:rPr>
        <w:t xml:space="preserve">risk </w:t>
      </w:r>
      <w:r w:rsidRPr="00585205">
        <w:rPr>
          <w:lang w:val="en-GB"/>
        </w:rPr>
        <w:t>to violence. It is important to note, however, that men and boys may also be victims of gender-based violence, especially sexual violence.</w:t>
      </w:r>
    </w:p>
    <w:p w:rsidRPr="009F7561" w:rsidR="001D323A" w:rsidP="001C2841" w:rsidRDefault="00CE2830" w14:paraId="7E28F886" w14:textId="1AC40C8B">
      <w:pPr>
        <w:spacing w:before="120" w:after="120" w:line="300" w:lineRule="atLeast"/>
        <w:jc w:val="both"/>
        <w:rPr>
          <w:lang w:val="en-GB"/>
        </w:rPr>
      </w:pPr>
      <w:r w:rsidRPr="009F7561">
        <w:rPr>
          <w:lang w:val="en-GB"/>
        </w:rPr>
        <w:t>The nature and extent of specific types of GBV vary across cultures, countries</w:t>
      </w:r>
      <w:r w:rsidRPr="009F7561" w:rsidR="008A1575">
        <w:rPr>
          <w:lang w:val="en-GB"/>
        </w:rPr>
        <w:t xml:space="preserve"> and </w:t>
      </w:r>
      <w:r w:rsidRPr="009F7561">
        <w:rPr>
          <w:lang w:val="en-GB"/>
        </w:rPr>
        <w:t xml:space="preserve">regions. Examples of GBV include but are not limited </w:t>
      </w:r>
      <w:r w:rsidRPr="009F7561" w:rsidR="00960B1F">
        <w:rPr>
          <w:lang w:val="en-GB"/>
        </w:rPr>
        <w:t>to</w:t>
      </w:r>
      <w:r w:rsidRPr="009F7561">
        <w:rPr>
          <w:lang w:val="en-GB"/>
        </w:rPr>
        <w:t xml:space="preserve"> sexual violence, including sexual exploitation and abuse, intimate partner violence, trafficking in persons, forced marriage, harmful traditional practices such as female genital mutilation, widow inheritance</w:t>
      </w:r>
      <w:r w:rsidRPr="009F7561" w:rsidR="008A1575">
        <w:rPr>
          <w:lang w:val="en-GB"/>
        </w:rPr>
        <w:t xml:space="preserve"> and </w:t>
      </w:r>
      <w:r w:rsidRPr="009F7561">
        <w:rPr>
          <w:lang w:val="en-GB"/>
        </w:rPr>
        <w:t>others.</w:t>
      </w:r>
    </w:p>
    <w:p w:rsidR="00E67BF9" w:rsidP="00E67BF9" w:rsidRDefault="00CE2830" w14:paraId="02069777" w14:textId="77777777">
      <w:pPr>
        <w:spacing w:before="120" w:after="120" w:line="300" w:lineRule="atLeast"/>
        <w:jc w:val="both"/>
        <w:rPr>
          <w:lang w:val="en-GB"/>
        </w:rPr>
      </w:pPr>
      <w:r w:rsidRPr="009F7561">
        <w:rPr>
          <w:lang w:val="en-GB"/>
        </w:rPr>
        <w:t>The term “GBV” is most commonly used to underscore how systemic inequality between male and female persons, which exists in every society in the world, acts as a unifying and foundational characteristic of most forms of violence perpetrated against women and girls. The term “gender-based violence” also includes sexual violence committed with the explicit purpose of reinforcing gender</w:t>
      </w:r>
      <w:r w:rsidRPr="009F7561" w:rsidR="00271BE6">
        <w:rPr>
          <w:lang w:val="en-GB"/>
        </w:rPr>
        <w:t>-</w:t>
      </w:r>
      <w:r w:rsidRPr="009F7561">
        <w:rPr>
          <w:lang w:val="en-GB"/>
        </w:rPr>
        <w:t>inequitable norms of masculinity and femininity.</w:t>
      </w:r>
      <w:bookmarkStart w:name="_Toc134906256" w:id="16"/>
    </w:p>
    <w:p w:rsidR="00847EC9" w:rsidP="00847EC9" w:rsidRDefault="00847EC9" w14:paraId="7DBE56BA" w14:textId="6414BB14">
      <w:pPr>
        <w:pStyle w:val="Heading4"/>
        <w:rPr>
          <w:lang w:val="en-GB"/>
        </w:rPr>
      </w:pPr>
      <w:r>
        <w:rPr>
          <w:lang w:val="en-GB"/>
        </w:rPr>
        <w:t>GBV incident type definitions</w:t>
      </w:r>
    </w:p>
    <w:bookmarkEnd w:id="16"/>
    <w:p w:rsidRPr="009F7561" w:rsidR="001D323A" w:rsidP="00587FD3" w:rsidRDefault="00CE2830" w14:paraId="7E28F88D" w14:textId="77777777">
      <w:pPr>
        <w:spacing w:before="120" w:after="120" w:line="300" w:lineRule="atLeast"/>
        <w:jc w:val="both"/>
        <w:rPr>
          <w:lang w:val="en-GB"/>
        </w:rPr>
      </w:pPr>
      <w:r w:rsidRPr="009F7561">
        <w:rPr>
          <w:lang w:val="en-GB"/>
        </w:rPr>
        <w:t xml:space="preserve">Gender-based violence encompasses many different types of violence. When each GBV actor has a different understanding of how a type of GBV is defined, challenges in communication and analysis can result. Differing definitions may cause inaccurate information to be reported about </w:t>
      </w:r>
      <w:r w:rsidRPr="009F7561">
        <w:rPr>
          <w:lang w:val="en-GB"/>
        </w:rPr>
        <w:t xml:space="preserve">the scope and impact of GBV risks. To address this issue, the GBV Information Management System (GBVIMS) developed an incident classification system that helps to define and standardize different types of GBV for documentation and trend analysis. </w:t>
      </w:r>
    </w:p>
    <w:p w:rsidRPr="00595B0C" w:rsidR="001D323A" w:rsidP="00595B0C" w:rsidRDefault="00CE2830" w14:paraId="7E28F892" w14:textId="22B8FF05">
      <w:pPr>
        <w:spacing w:before="120" w:after="120" w:line="300" w:lineRule="atLeast"/>
        <w:jc w:val="both"/>
        <w:rPr>
          <w:i/>
          <w:lang w:val="en-GB"/>
        </w:rPr>
      </w:pPr>
      <w:r w:rsidRPr="00585205">
        <w:rPr>
          <w:i/>
          <w:spacing w:val="-2"/>
          <w:lang w:val="en-GB"/>
        </w:rPr>
        <w:t xml:space="preserve">The incident types/case definitions listed below reflect the current recommended good practice for classifying GBV incidents by the GBVIMS. Please see Annex 4 for the </w:t>
      </w:r>
      <w:hyperlink r:id="rId12">
        <w:r w:rsidRPr="00585205" w:rsidR="00A52935">
          <w:rPr>
            <w:i/>
            <w:color w:val="0000FF"/>
            <w:spacing w:val="-2"/>
            <w:u w:val="single"/>
            <w:lang w:val="en-GB"/>
          </w:rPr>
          <w:t>GBVIMS classification tool</w:t>
        </w:r>
      </w:hyperlink>
      <w:r w:rsidRPr="009F7561">
        <w:rPr>
          <w:i/>
          <w:lang w:val="en-GB"/>
        </w:rPr>
        <w:t>.</w:t>
      </w:r>
    </w:p>
    <w:tbl>
      <w:tblPr>
        <w:tblStyle w:val="TableGrid"/>
        <w:tblW w:w="0" w:type="auto"/>
        <w:tblLook w:val="04A0" w:firstRow="1" w:lastRow="0" w:firstColumn="1" w:lastColumn="0" w:noHBand="0" w:noVBand="1"/>
      </w:tblPr>
      <w:tblGrid>
        <w:gridCol w:w="9350"/>
      </w:tblGrid>
      <w:tr w:rsidR="00587FD3" w:rsidTr="00587FD3" w14:paraId="52D87CBC" w14:textId="77777777">
        <w:tc>
          <w:tcPr>
            <w:tcW w:w="9350" w:type="dxa"/>
          </w:tcPr>
          <w:p w:rsidR="00587FD3" w:rsidP="00587FD3" w:rsidRDefault="00587FD3" w14:paraId="0D500B91" w14:textId="78CF3E21">
            <w:pPr>
              <w:spacing w:before="120" w:after="120" w:line="300" w:lineRule="atLeast"/>
              <w:jc w:val="both"/>
              <w:rPr>
                <w:lang w:val="en-GB"/>
              </w:rPr>
            </w:pPr>
            <w:r w:rsidRPr="009F7561">
              <w:rPr>
                <w:lang w:val="en-GB"/>
              </w:rPr>
              <w:t>Note: Incident type definitions used in the context of GBV programming are not necessarily the legal definitions used in national laws and policies. Many forms of GBV may not be considered crimes in certain places and legal definitions and terms vary greatly across countries and regions. If GBV incidents are defined differently in the setting, please outline the differences in definitions between the international humanitarian GBVIMS definitions and the local or national definitions</w:t>
            </w:r>
            <w:r>
              <w:rPr>
                <w:lang w:val="en-GB"/>
              </w:rPr>
              <w:t>.</w:t>
            </w:r>
          </w:p>
        </w:tc>
      </w:tr>
    </w:tbl>
    <w:p w:rsidRPr="009F7561" w:rsidR="001D323A" w:rsidP="00587FD3" w:rsidRDefault="00CE2830" w14:paraId="7E28F897" w14:textId="77777777">
      <w:pPr>
        <w:spacing w:before="120" w:after="120" w:line="300" w:lineRule="atLeast"/>
        <w:jc w:val="both"/>
        <w:rPr>
          <w:lang w:val="en-GB"/>
        </w:rPr>
      </w:pPr>
      <w:r w:rsidRPr="009F7561">
        <w:rPr>
          <w:lang w:val="en-GB"/>
        </w:rPr>
        <w:t>The six core GBV types were created for data collection and statistical analysis of GBV.</w:t>
      </w:r>
      <w:r w:rsidRPr="009F7561">
        <w:rPr>
          <w:vertAlign w:val="superscript"/>
          <w:lang w:val="en-GB"/>
        </w:rPr>
        <w:footnoteReference w:id="77"/>
      </w:r>
      <w:r w:rsidRPr="009F7561">
        <w:rPr>
          <w:lang w:val="en-GB"/>
        </w:rPr>
        <w:t xml:space="preserve"> They should be used only in reference to GBV incidents, even though some of the definitions may be applicable to other forms of violence that are not gender-based.</w:t>
      </w:r>
    </w:p>
    <w:p w:rsidRPr="009F7561" w:rsidR="001D323A" w:rsidP="00E96F61" w:rsidRDefault="00CE2830" w14:paraId="7E28F899" w14:textId="291BEC20">
      <w:pPr>
        <w:numPr>
          <w:ilvl w:val="0"/>
          <w:numId w:val="7"/>
        </w:numPr>
        <w:pBdr>
          <w:top w:val="nil"/>
          <w:left w:val="nil"/>
          <w:bottom w:val="nil"/>
          <w:right w:val="nil"/>
          <w:between w:val="nil"/>
        </w:pBdr>
        <w:spacing w:before="120" w:after="120" w:line="300" w:lineRule="atLeast"/>
        <w:jc w:val="both"/>
        <w:rPr>
          <w:lang w:val="en-GB"/>
        </w:rPr>
      </w:pPr>
      <w:r w:rsidRPr="00585205">
        <w:rPr>
          <w:b/>
          <w:spacing w:val="-2"/>
          <w:lang w:val="en-GB"/>
        </w:rPr>
        <w:t>Rape</w:t>
      </w:r>
      <w:r w:rsidRPr="00585205" w:rsidR="00774F60">
        <w:rPr>
          <w:b/>
          <w:spacing w:val="-2"/>
          <w:lang w:val="en-GB"/>
        </w:rPr>
        <w:t>:</w:t>
      </w:r>
      <w:r w:rsidRPr="00585205">
        <w:rPr>
          <w:b/>
          <w:spacing w:val="-2"/>
          <w:vertAlign w:val="superscript"/>
          <w:lang w:val="en-GB"/>
        </w:rPr>
        <w:footnoteReference w:id="78"/>
      </w:r>
      <w:r w:rsidRPr="00585205">
        <w:rPr>
          <w:spacing w:val="-2"/>
          <w:lang w:val="en-GB"/>
        </w:rPr>
        <w:t xml:space="preserve"> non-consensual penetration (however slight) of the vagina, anus or mouth with a penis or other body part. Also includes penetration of the vagina or anus with an object</w:t>
      </w:r>
      <w:r w:rsidRPr="00585205">
        <w:rPr>
          <w:lang w:val="en-GB"/>
        </w:rPr>
        <w:t>.</w:t>
      </w:r>
    </w:p>
    <w:p w:rsidRPr="009F7561" w:rsidR="001D323A" w:rsidP="00E96F61" w:rsidRDefault="00CE2830" w14:paraId="7E28F89B" w14:textId="5400725F">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Sexual Assault</w:t>
      </w:r>
      <w:r w:rsidRPr="00585205">
        <w:rPr>
          <w:lang w:val="en-GB"/>
        </w:rPr>
        <w:t xml:space="preserve">: any form of non-consensual sexual contact that does not result in or include penetration. Examples </w:t>
      </w:r>
      <w:r w:rsidRPr="00585205" w:rsidR="00960B1F">
        <w:rPr>
          <w:lang w:val="en-GB"/>
        </w:rPr>
        <w:t>include</w:t>
      </w:r>
      <w:r w:rsidRPr="00585205">
        <w:rPr>
          <w:lang w:val="en-GB"/>
        </w:rPr>
        <w:t xml:space="preserve"> attempted rape, as well as unwanted kissing, fondling</w:t>
      </w:r>
      <w:r w:rsidRPr="00585205" w:rsidR="00461384">
        <w:rPr>
          <w:lang w:val="en-GB"/>
        </w:rPr>
        <w:t xml:space="preserve"> or </w:t>
      </w:r>
      <w:r w:rsidRPr="00585205">
        <w:rPr>
          <w:lang w:val="en-GB"/>
        </w:rPr>
        <w:t>touching of genitalia and buttocks. FGM/C is an act of violence that impacts sexual organs</w:t>
      </w:r>
      <w:r w:rsidRPr="00585205" w:rsidR="008A1575">
        <w:rPr>
          <w:lang w:val="en-GB"/>
        </w:rPr>
        <w:t xml:space="preserve"> and </w:t>
      </w:r>
      <w:r w:rsidRPr="00585205">
        <w:rPr>
          <w:lang w:val="en-GB"/>
        </w:rPr>
        <w:t xml:space="preserve">as such should be classified as sexual assault. This incident type does not include rape, </w:t>
      </w:r>
      <w:r w:rsidRPr="00585205" w:rsidR="00AC129C">
        <w:rPr>
          <w:lang w:val="en-GB"/>
        </w:rPr>
        <w:t>i.e.</w:t>
      </w:r>
      <w:r w:rsidRPr="00585205">
        <w:rPr>
          <w:lang w:val="en-GB"/>
        </w:rPr>
        <w:t xml:space="preserve"> where penetration has occurred.</w:t>
      </w:r>
    </w:p>
    <w:p w:rsidRPr="009F7561" w:rsidR="001D323A" w:rsidP="00E96F61" w:rsidRDefault="00CE2830" w14:paraId="7E28F89D" w14:textId="3030800D">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Physical Assault</w:t>
      </w:r>
      <w:r w:rsidRPr="00585205">
        <w:rPr>
          <w:lang w:val="en-GB"/>
        </w:rPr>
        <w:t xml:space="preserve">: an act of physical violence that is not sexual in nature. Examples </w:t>
      </w:r>
      <w:r w:rsidRPr="00585205" w:rsidR="00960B1F">
        <w:rPr>
          <w:lang w:val="en-GB"/>
        </w:rPr>
        <w:t>include</w:t>
      </w:r>
      <w:r w:rsidRPr="00585205">
        <w:rPr>
          <w:lang w:val="en-GB"/>
        </w:rPr>
        <w:t xml:space="preserve"> hitting, slapping, choking, cutting, shoving, burning, shooting or use of any weapons, acid attacks or any other act that results in pain, discomfort or injury. This incident type does not include FGM/C.</w:t>
      </w:r>
    </w:p>
    <w:p w:rsidRPr="009F7561" w:rsidR="001D323A" w:rsidP="00E96F61" w:rsidRDefault="00CE2830" w14:paraId="7E28F89F" w14:textId="77777777">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Forced Marriage</w:t>
      </w:r>
      <w:r w:rsidRPr="00585205">
        <w:rPr>
          <w:lang w:val="en-GB"/>
        </w:rPr>
        <w:t>: the marriage of an individual against her or his will.</w:t>
      </w:r>
    </w:p>
    <w:p w:rsidRPr="009F7561" w:rsidR="001D323A" w:rsidP="00E96F61" w:rsidRDefault="00CE2830" w14:paraId="7E28F8A1" w14:textId="77777777">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Denial of Resources, Opportunities or Services</w:t>
      </w:r>
      <w:r w:rsidRPr="00585205">
        <w:rPr>
          <w:lang w:val="en-GB"/>
        </w:rPr>
        <w:t xml:space="preserve">: denial of rightful access to economic resources/assets or livelihood opportunities, education, health or other social services. Examples include a widow prevented from receiving an inheritance, earnings forcibly taken by an intimate partner or family member, a woman prevented from using </w:t>
      </w:r>
      <w:r w:rsidRPr="00585205">
        <w:rPr>
          <w:lang w:val="en-GB"/>
        </w:rPr>
        <w:t>contraceptives, a girl prevented from attending school, etc. Reports of general poverty should not be recorded.</w:t>
      </w:r>
    </w:p>
    <w:p w:rsidRPr="009F7561" w:rsidR="001D323A" w:rsidP="00E96F61" w:rsidRDefault="00CE2830" w14:paraId="7E28F8A3" w14:textId="4FAD4EE2">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Psychological / Emotional Abuse</w:t>
      </w:r>
      <w:r w:rsidRPr="00585205">
        <w:rPr>
          <w:lang w:val="en-GB"/>
        </w:rPr>
        <w:t xml:space="preserve">: infliction of mental or emotional pain or injury. Examples </w:t>
      </w:r>
      <w:r w:rsidRPr="00585205" w:rsidR="00960B1F">
        <w:rPr>
          <w:lang w:val="en-GB"/>
        </w:rPr>
        <w:t>include</w:t>
      </w:r>
      <w:r w:rsidRPr="00585205">
        <w:rPr>
          <w:lang w:val="en-GB"/>
        </w:rPr>
        <w:t xml:space="preserve"> threats of physical or sexual violence, intimidation, humiliation, forced isolation, stalking, harassment, unwanted attention, remarks, gestures or written words of a sexual and/or menacing nature, destruction of cherished things, etc.</w:t>
      </w:r>
    </w:p>
    <w:p w:rsidR="007149E3" w:rsidP="00E82689" w:rsidRDefault="007149E3" w14:paraId="353D6359" w14:textId="77777777">
      <w:pPr>
        <w:spacing w:before="120" w:after="120" w:line="240" w:lineRule="auto"/>
        <w:jc w:val="both"/>
        <w:rPr>
          <w:color w:val="0070C0"/>
          <w:lang w:val="en-GB"/>
        </w:rPr>
      </w:pPr>
    </w:p>
    <w:p w:rsidRPr="00595B0C" w:rsidR="001D323A" w:rsidP="00E82689" w:rsidRDefault="00595B0C" w14:paraId="7E28F8A5" w14:textId="07A6F761">
      <w:pPr>
        <w:spacing w:before="120" w:after="120" w:line="240" w:lineRule="auto"/>
        <w:jc w:val="both"/>
        <w:rPr>
          <w:i/>
          <w:iCs/>
          <w:color w:val="0070C0"/>
          <w:lang w:val="en-GB"/>
        </w:rPr>
      </w:pPr>
      <w:r>
        <w:rPr>
          <w:i/>
          <w:iCs/>
          <w:color w:val="0070C0"/>
          <w:lang w:val="en-GB"/>
        </w:rPr>
        <w:t>[</w:t>
      </w:r>
      <w:r w:rsidRPr="00595B0C" w:rsidR="00CE2830">
        <w:rPr>
          <w:i/>
          <w:iCs/>
          <w:color w:val="0070C0"/>
          <w:lang w:val="en-GB"/>
        </w:rPr>
        <w:t>List and define the forms of GBV that are relevant in this setting.</w:t>
      </w:r>
      <w:r>
        <w:rPr>
          <w:i/>
          <w:iCs/>
          <w:color w:val="0070C0"/>
          <w:lang w:val="en-GB"/>
        </w:rPr>
        <w:t>]</w:t>
      </w:r>
    </w:p>
    <w:p w:rsidRPr="00E94682" w:rsidR="001D323A" w:rsidP="00E94682" w:rsidRDefault="00CE2830" w14:paraId="7E28F8A7" w14:textId="77777777">
      <w:pPr>
        <w:pStyle w:val="Heading1"/>
      </w:pPr>
      <w:bookmarkStart w:name="_Toc134906257" w:id="17"/>
      <w:bookmarkStart w:name="_Toc142469130" w:id="18"/>
      <w:r w:rsidRPr="00E94682">
        <w:t>SECTION 2: GUIDING PRINCIPLES FOR GBV PROGRAMMING</w:t>
      </w:r>
      <w:bookmarkEnd w:id="17"/>
      <w:bookmarkEnd w:id="18"/>
    </w:p>
    <w:p w:rsidRPr="00E94682" w:rsidR="001D323A" w:rsidP="003166F7" w:rsidRDefault="00CE2830" w14:paraId="7E28F8A8" w14:textId="7B47F386">
      <w:pPr>
        <w:pStyle w:val="Heading2"/>
      </w:pPr>
      <w:bookmarkStart w:name="_Toc134906258" w:id="19"/>
      <w:bookmarkStart w:name="_Toc142469131" w:id="20"/>
      <w:r w:rsidRPr="00E94682">
        <w:t>GBV Guiding Principles and Approaches</w:t>
      </w:r>
      <w:bookmarkEnd w:id="19"/>
      <w:bookmarkEnd w:id="20"/>
    </w:p>
    <w:p w:rsidRPr="009F7561" w:rsidR="001D323A" w:rsidP="0024785C" w:rsidRDefault="00CE2830" w14:paraId="7E28F8AA" w14:textId="77777777">
      <w:pPr>
        <w:spacing w:before="120" w:after="120" w:line="300" w:lineRule="atLeast"/>
        <w:jc w:val="both"/>
        <w:rPr>
          <w:lang w:val="en-GB"/>
        </w:rPr>
      </w:pPr>
      <w:r w:rsidRPr="009F7561">
        <w:rPr>
          <w:lang w:val="en-GB"/>
        </w:rPr>
        <w:t>All humanitarian aid programming, including GBV interventions, must adhere to these core principles:</w:t>
      </w:r>
    </w:p>
    <w:p w:rsidRPr="009F7561" w:rsidR="001D323A" w:rsidP="00E96F61" w:rsidRDefault="00CE2830" w14:paraId="7E28F8AC" w14:textId="77777777">
      <w:pPr>
        <w:numPr>
          <w:ilvl w:val="0"/>
          <w:numId w:val="7"/>
        </w:numPr>
        <w:spacing w:before="120" w:after="120" w:line="300" w:lineRule="atLeast"/>
        <w:jc w:val="both"/>
        <w:rPr>
          <w:lang w:val="en-GB"/>
        </w:rPr>
      </w:pPr>
      <w:r w:rsidRPr="009F7561">
        <w:rPr>
          <w:b/>
          <w:lang w:val="en-GB"/>
        </w:rPr>
        <w:t xml:space="preserve">Humanitarian principles: </w:t>
      </w:r>
      <w:r w:rsidRPr="009F7561">
        <w:rPr>
          <w:lang w:val="en-GB"/>
        </w:rPr>
        <w:t>The humanitarian principles of humanity, impartiality, independence and neutrality are essential to maintaining access to affected populations and ensuring an effective humanitarian response.</w:t>
      </w:r>
      <w:r w:rsidRPr="009F7561">
        <w:rPr>
          <w:vertAlign w:val="superscript"/>
          <w:lang w:val="en-GB"/>
        </w:rPr>
        <w:footnoteReference w:id="79"/>
      </w:r>
    </w:p>
    <w:p w:rsidRPr="009F7561" w:rsidR="001D323A" w:rsidP="00E96F61" w:rsidRDefault="00CE2830" w14:paraId="7E28F8AE" w14:textId="77777777">
      <w:pPr>
        <w:numPr>
          <w:ilvl w:val="0"/>
          <w:numId w:val="7"/>
        </w:numPr>
        <w:spacing w:before="120" w:after="120" w:line="300" w:lineRule="atLeast"/>
        <w:jc w:val="both"/>
        <w:rPr>
          <w:lang w:val="en-GB"/>
        </w:rPr>
      </w:pPr>
      <w:r w:rsidRPr="009F7561">
        <w:rPr>
          <w:b/>
          <w:lang w:val="en-GB"/>
        </w:rPr>
        <w:t xml:space="preserve">“Do no harm” approach: </w:t>
      </w:r>
      <w:r w:rsidRPr="009F7561">
        <w:rPr>
          <w:lang w:val="en-GB"/>
        </w:rPr>
        <w:t>A “do no harm” approach involves taking all measures necessary to avoid exposing people to further harm as a result of the actions of humanitarian actors.</w:t>
      </w:r>
      <w:r w:rsidRPr="009F7561">
        <w:rPr>
          <w:vertAlign w:val="superscript"/>
          <w:lang w:val="en-GB"/>
        </w:rPr>
        <w:footnoteReference w:id="80"/>
      </w:r>
    </w:p>
    <w:p w:rsidRPr="009F7561" w:rsidR="001D323A" w:rsidP="00E96F61" w:rsidRDefault="00CE2830" w14:paraId="7E28F8B0" w14:textId="5FED4A51">
      <w:pPr>
        <w:numPr>
          <w:ilvl w:val="0"/>
          <w:numId w:val="7"/>
        </w:numPr>
        <w:spacing w:before="120" w:after="120" w:line="300" w:lineRule="atLeast"/>
        <w:jc w:val="both"/>
        <w:rPr>
          <w:lang w:val="en-GB"/>
        </w:rPr>
      </w:pPr>
      <w:r w:rsidRPr="009F7561">
        <w:rPr>
          <w:b/>
          <w:lang w:val="en-GB"/>
        </w:rPr>
        <w:t xml:space="preserve">Accountability to </w:t>
      </w:r>
      <w:r w:rsidRPr="009F7561" w:rsidR="008D4EED">
        <w:rPr>
          <w:b/>
          <w:lang w:val="en-GB"/>
        </w:rPr>
        <w:t>affected populations</w:t>
      </w:r>
      <w:r w:rsidRPr="009F7561">
        <w:rPr>
          <w:b/>
          <w:vertAlign w:val="superscript"/>
          <w:lang w:val="en-GB"/>
        </w:rPr>
        <w:footnoteReference w:id="81"/>
      </w:r>
      <w:r w:rsidRPr="009F7561">
        <w:rPr>
          <w:lang w:val="en-GB"/>
        </w:rPr>
        <w:t xml:space="preserve"> (AAP) refers to the “commitments and mechanisms that humanitarian agencies have put in place to ensure that communities are meaningfully and continuously involved in decisions that directly impact their lives”. Humanitarian actors have a duty to make sure that assistance generates the best possible outcomes for all groups who are affected by a crisis, including those who may be less visible.</w:t>
      </w:r>
      <w:r w:rsidRPr="009F7561">
        <w:rPr>
          <w:vertAlign w:val="superscript"/>
          <w:lang w:val="en-GB"/>
        </w:rPr>
        <w:footnoteReference w:id="82"/>
      </w:r>
      <w:r w:rsidRPr="009F7561">
        <w:rPr>
          <w:lang w:val="en-GB"/>
        </w:rPr>
        <w:t xml:space="preserve"> </w:t>
      </w:r>
    </w:p>
    <w:p w:rsidRPr="00585205" w:rsidR="001D323A" w:rsidP="0024785C" w:rsidRDefault="00CE2830" w14:paraId="7E28F8B2" w14:textId="013DA6E4">
      <w:pPr>
        <w:spacing w:before="120" w:after="120" w:line="300" w:lineRule="atLeast"/>
        <w:jc w:val="both"/>
        <w:rPr>
          <w:lang w:val="en-GB"/>
        </w:rPr>
      </w:pPr>
      <w:r w:rsidRPr="00585205">
        <w:rPr>
          <w:lang w:val="en-GB"/>
        </w:rPr>
        <w:t xml:space="preserve">The </w:t>
      </w:r>
      <w:r w:rsidRPr="00585205" w:rsidR="00491694">
        <w:rPr>
          <w:lang w:val="en-GB"/>
        </w:rPr>
        <w:t xml:space="preserve">guiding principles </w:t>
      </w:r>
      <w:r w:rsidRPr="00585205">
        <w:rPr>
          <w:lang w:val="en-GB"/>
        </w:rPr>
        <w:t>and approaches outlined in the following section apply to all GBV programming</w:t>
      </w:r>
      <w:r w:rsidRPr="009F7561">
        <w:rPr>
          <w:lang w:val="en-GB"/>
        </w:rPr>
        <w:t>:</w:t>
      </w:r>
    </w:p>
    <w:p w:rsidRPr="009F7561" w:rsidR="001D323A" w:rsidP="00E96F61" w:rsidRDefault="00CE2830" w14:paraId="7E28F8B4" w14:textId="2062CC8D">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 xml:space="preserve">Survivor-centred approach: </w:t>
      </w:r>
      <w:r w:rsidRPr="00585205">
        <w:rPr>
          <w:lang w:val="en-GB"/>
        </w:rPr>
        <w:t>A survivor-centred approach creates a supportive environment in which survivors</w:t>
      </w:r>
      <w:r w:rsidRPr="00585205" w:rsidR="00C2280B">
        <w:rPr>
          <w:lang w:val="en-GB"/>
        </w:rPr>
        <w:t>’</w:t>
      </w:r>
      <w:r w:rsidRPr="00585205">
        <w:rPr>
          <w:lang w:val="en-GB"/>
        </w:rPr>
        <w:t xml:space="preserve"> rights and wishes are respected, their safety is ensured</w:t>
      </w:r>
      <w:r w:rsidRPr="00585205" w:rsidR="008A1575">
        <w:rPr>
          <w:lang w:val="en-GB"/>
        </w:rPr>
        <w:t xml:space="preserve"> </w:t>
      </w:r>
      <w:r w:rsidRPr="00585205" w:rsidR="008A1575">
        <w:rPr>
          <w:lang w:val="en-GB"/>
        </w:rPr>
        <w:t xml:space="preserve">and </w:t>
      </w:r>
      <w:r w:rsidRPr="00585205">
        <w:rPr>
          <w:lang w:val="en-GB"/>
        </w:rPr>
        <w:t>they are treated with dignity and respect. A survivor-centred approach is based on the following guiding principles:</w:t>
      </w:r>
    </w:p>
    <w:p w:rsidRPr="009F7561" w:rsidR="001D323A" w:rsidP="00E96F61" w:rsidRDefault="00CE2830" w14:paraId="7E28F8B6" w14:textId="77777777">
      <w:pPr>
        <w:numPr>
          <w:ilvl w:val="1"/>
          <w:numId w:val="7"/>
        </w:numPr>
        <w:pBdr>
          <w:top w:val="nil"/>
          <w:left w:val="nil"/>
          <w:bottom w:val="nil"/>
          <w:right w:val="nil"/>
          <w:between w:val="nil"/>
        </w:pBdr>
        <w:spacing w:before="120" w:after="120" w:line="300" w:lineRule="atLeast"/>
        <w:jc w:val="both"/>
        <w:rPr>
          <w:lang w:val="en-GB"/>
        </w:rPr>
      </w:pPr>
      <w:r w:rsidRPr="00585205">
        <w:rPr>
          <w:b/>
          <w:lang w:val="en-GB"/>
        </w:rPr>
        <w:t xml:space="preserve">Safety: </w:t>
      </w:r>
      <w:r w:rsidRPr="00585205">
        <w:rPr>
          <w:lang w:val="en-GB"/>
        </w:rPr>
        <w:t>The safety and security of survivors and their children are the primary considerations.</w:t>
      </w:r>
    </w:p>
    <w:p w:rsidRPr="009F7561" w:rsidR="001D323A" w:rsidP="00E96F61" w:rsidRDefault="00CE2830" w14:paraId="7E28F8B7" w14:textId="094DF0B4">
      <w:pPr>
        <w:numPr>
          <w:ilvl w:val="1"/>
          <w:numId w:val="7"/>
        </w:numPr>
        <w:pBdr>
          <w:top w:val="nil"/>
          <w:left w:val="nil"/>
          <w:bottom w:val="nil"/>
          <w:right w:val="nil"/>
          <w:between w:val="nil"/>
        </w:pBdr>
        <w:spacing w:before="120" w:after="120" w:line="300" w:lineRule="atLeast"/>
        <w:jc w:val="both"/>
        <w:rPr>
          <w:lang w:val="en-GB"/>
        </w:rPr>
      </w:pPr>
      <w:r w:rsidRPr="00585205">
        <w:rPr>
          <w:b/>
          <w:lang w:val="en-GB"/>
        </w:rPr>
        <w:t xml:space="preserve">Confidentiality: </w:t>
      </w:r>
      <w:r w:rsidRPr="00585205">
        <w:rPr>
          <w:lang w:val="en-GB"/>
        </w:rPr>
        <w:t>Survivors have the right to choose to whom they will or will not tell their story</w:t>
      </w:r>
      <w:r w:rsidRPr="00585205" w:rsidR="008A1575">
        <w:rPr>
          <w:lang w:val="en-GB"/>
        </w:rPr>
        <w:t xml:space="preserve"> and </w:t>
      </w:r>
      <w:r w:rsidRPr="00585205">
        <w:rPr>
          <w:lang w:val="en-GB"/>
        </w:rPr>
        <w:t>any information about them should only be shared with their informed consent.</w:t>
      </w:r>
      <w:r w:rsidRPr="00585205">
        <w:rPr>
          <w:vertAlign w:val="superscript"/>
          <w:lang w:val="en-GB"/>
        </w:rPr>
        <w:footnoteReference w:id="83"/>
      </w:r>
    </w:p>
    <w:p w:rsidRPr="009F7561" w:rsidR="001D323A" w:rsidP="00E96F61" w:rsidRDefault="00CE2830" w14:paraId="7E28F8B8" w14:textId="77777777">
      <w:pPr>
        <w:numPr>
          <w:ilvl w:val="1"/>
          <w:numId w:val="7"/>
        </w:numPr>
        <w:pBdr>
          <w:top w:val="nil"/>
          <w:left w:val="nil"/>
          <w:bottom w:val="nil"/>
          <w:right w:val="nil"/>
          <w:between w:val="nil"/>
        </w:pBdr>
        <w:spacing w:before="120" w:after="120" w:line="300" w:lineRule="atLeast"/>
        <w:jc w:val="both"/>
        <w:rPr>
          <w:lang w:val="en-GB"/>
        </w:rPr>
      </w:pPr>
      <w:r w:rsidRPr="00585205">
        <w:rPr>
          <w:b/>
          <w:lang w:val="en-GB"/>
        </w:rPr>
        <w:t xml:space="preserve">Respect: </w:t>
      </w:r>
      <w:r w:rsidRPr="00585205">
        <w:rPr>
          <w:lang w:val="en-GB"/>
        </w:rPr>
        <w:t>All actions taken should be guided by respect for the choices, wishes, rights and dignity of the survivor. The role of helpers is to facilitate recovery and provide resources to aid the survivor.</w:t>
      </w:r>
    </w:p>
    <w:p w:rsidRPr="009F7561" w:rsidR="001D323A" w:rsidP="00E96F61" w:rsidRDefault="00CE2830" w14:paraId="7E28F8B9" w14:textId="77777777">
      <w:pPr>
        <w:numPr>
          <w:ilvl w:val="1"/>
          <w:numId w:val="7"/>
        </w:numPr>
        <w:pBdr>
          <w:top w:val="nil"/>
          <w:left w:val="nil"/>
          <w:bottom w:val="nil"/>
          <w:right w:val="nil"/>
          <w:between w:val="nil"/>
        </w:pBdr>
        <w:spacing w:before="120" w:after="120" w:line="300" w:lineRule="atLeast"/>
        <w:jc w:val="both"/>
        <w:rPr>
          <w:lang w:val="en-GB"/>
        </w:rPr>
      </w:pPr>
      <w:r w:rsidRPr="00585205">
        <w:rPr>
          <w:b/>
          <w:lang w:val="en-GB"/>
        </w:rPr>
        <w:t xml:space="preserve">Non-discrimination: </w:t>
      </w:r>
      <w:r w:rsidRPr="00585205">
        <w:rPr>
          <w:lang w:val="en-GB"/>
        </w:rPr>
        <w:t>Survivors should receive equal and fair treatment regardless of their age, disability, gender identity, religion, nationality, ethnicity, sexual orientation or any other characteristic.</w:t>
      </w:r>
    </w:p>
    <w:p w:rsidRPr="009F7561" w:rsidR="001D323A" w:rsidP="00E96F61" w:rsidRDefault="00CE2830" w14:paraId="7E28F8BB" w14:textId="77777777">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 xml:space="preserve">Rights-based approach: </w:t>
      </w:r>
      <w:r w:rsidRPr="00585205">
        <w:rPr>
          <w:lang w:val="en-GB"/>
        </w:rPr>
        <w:t>A rights-based approach seeks to analyse and address the root causes of discrimination and inequality to ensure that everyone has the right to live with freedom and dignity, safe from violence, exploitation and abuse, in accordance with principles of human rights law.</w:t>
      </w:r>
    </w:p>
    <w:p w:rsidRPr="009F7561" w:rsidR="001D323A" w:rsidP="00E96F61" w:rsidRDefault="00CE2830" w14:paraId="7E28F8BD" w14:textId="22E487DE">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 xml:space="preserve">Community-based approach: </w:t>
      </w:r>
      <w:r w:rsidRPr="00585205">
        <w:rPr>
          <w:lang w:val="en-GB"/>
        </w:rPr>
        <w:t>A community-based approach ensures that affected populations are engaged actively as partners in developing strategies related to their protection and the provision of humanitarian assistance. This approach involves direct involvement of women, girls and other at-risk groups at all stages in the humanitarian response to identify protection risks and solutions and build on existing community-based protection mechanisms.</w:t>
      </w:r>
    </w:p>
    <w:p w:rsidRPr="009F7561" w:rsidR="001D323A" w:rsidP="00E96F61" w:rsidRDefault="00CE2830" w14:paraId="7E28F8BF" w14:textId="4347B06B">
      <w:pPr>
        <w:numPr>
          <w:ilvl w:val="0"/>
          <w:numId w:val="7"/>
        </w:numPr>
        <w:pBdr>
          <w:top w:val="nil"/>
          <w:left w:val="nil"/>
          <w:bottom w:val="nil"/>
          <w:right w:val="nil"/>
          <w:between w:val="nil"/>
        </w:pBdr>
        <w:spacing w:before="120" w:after="120" w:line="300" w:lineRule="atLeast"/>
        <w:jc w:val="both"/>
        <w:rPr>
          <w:lang w:val="en-GB"/>
        </w:rPr>
      </w:pPr>
      <w:r w:rsidRPr="009F7561">
        <w:rPr>
          <w:b/>
          <w:lang w:val="en-GB"/>
        </w:rPr>
        <w:t xml:space="preserve">Age, </w:t>
      </w:r>
      <w:r w:rsidRPr="009F7561" w:rsidR="008D4EED">
        <w:rPr>
          <w:b/>
          <w:lang w:val="en-GB"/>
        </w:rPr>
        <w:t xml:space="preserve">gender, diversity </w:t>
      </w:r>
      <w:r w:rsidRPr="009F7561">
        <w:rPr>
          <w:b/>
          <w:lang w:val="en-GB"/>
        </w:rPr>
        <w:t>(AGD)</w:t>
      </w:r>
      <w:r w:rsidRPr="009F7561">
        <w:rPr>
          <w:lang w:val="en-GB"/>
        </w:rPr>
        <w:t>:</w:t>
      </w:r>
      <w:r w:rsidRPr="009F7561">
        <w:rPr>
          <w:vertAlign w:val="superscript"/>
          <w:lang w:val="en-GB"/>
        </w:rPr>
        <w:footnoteReference w:id="84"/>
      </w:r>
      <w:r w:rsidRPr="009F7561">
        <w:rPr>
          <w:lang w:val="en-GB"/>
        </w:rPr>
        <w:t xml:space="preserve"> Age, gender and diversity factors influence how forced displacement and statelessness impact people; understanding and analysing how these factors impact people</w:t>
      </w:r>
      <w:r w:rsidRPr="009F7561" w:rsidR="00315391">
        <w:rPr>
          <w:lang w:val="en-GB"/>
        </w:rPr>
        <w:t>’s</w:t>
      </w:r>
      <w:r w:rsidRPr="009F7561">
        <w:rPr>
          <w:lang w:val="en-GB"/>
        </w:rPr>
        <w:t xml:space="preserve"> experience is necessary for an effective response. </w:t>
      </w:r>
    </w:p>
    <w:p w:rsidRPr="009F7561" w:rsidR="001D323A" w:rsidP="00E96F61" w:rsidRDefault="00CE2830" w14:paraId="7E28F8C1" w14:textId="514E2490">
      <w:pPr>
        <w:numPr>
          <w:ilvl w:val="0"/>
          <w:numId w:val="7"/>
        </w:numPr>
        <w:pBdr>
          <w:top w:val="nil"/>
          <w:left w:val="nil"/>
          <w:bottom w:val="nil"/>
          <w:right w:val="nil"/>
          <w:between w:val="nil"/>
        </w:pBdr>
        <w:spacing w:before="120" w:after="120" w:line="300" w:lineRule="atLeast"/>
        <w:jc w:val="both"/>
        <w:rPr>
          <w:lang w:val="en-GB"/>
        </w:rPr>
      </w:pPr>
      <w:r w:rsidRPr="00585205">
        <w:rPr>
          <w:b/>
          <w:lang w:val="en-GB"/>
        </w:rPr>
        <w:t>Child-centred approach</w:t>
      </w:r>
      <w:r w:rsidRPr="00585205">
        <w:rPr>
          <w:lang w:val="en-GB"/>
        </w:rPr>
        <w:t>:</w:t>
      </w:r>
      <w:r w:rsidRPr="009F7561" w:rsidR="003C264D">
        <w:rPr>
          <w:lang w:val="en-GB"/>
        </w:rPr>
        <w:t xml:space="preserve"> </w:t>
      </w:r>
      <w:r w:rsidRPr="00585205">
        <w:rPr>
          <w:sz w:val="21"/>
          <w:szCs w:val="21"/>
          <w:highlight w:val="white"/>
          <w:lang w:val="en-GB"/>
        </w:rPr>
        <w:t xml:space="preserve">A child-centred approach creates a supportive environment in which children </w:t>
      </w:r>
      <w:sdt>
        <w:sdtPr>
          <w:rPr>
            <w:lang w:val="en-GB"/>
          </w:rPr>
          <w:tag w:val="goog_rdk_71"/>
          <w:id w:val="-383415332"/>
        </w:sdtPr>
        <w:sdtEndPr/>
        <w:sdtContent>
          <w:r w:rsidRPr="00585205">
            <w:rPr>
              <w:sz w:val="21"/>
              <w:szCs w:val="21"/>
              <w:highlight w:val="white"/>
              <w:lang w:val="en-GB"/>
            </w:rPr>
            <w:t>are involved</w:t>
          </w:r>
        </w:sdtContent>
      </w:sdt>
      <w:sdt>
        <w:sdtPr>
          <w:rPr>
            <w:lang w:val="en-GB"/>
          </w:rPr>
          <w:tag w:val="goog_rdk_72"/>
          <w:id w:val="-421253188"/>
        </w:sdtPr>
        <w:sdtEndPr/>
        <w:sdtContent>
          <w:r w:rsidRPr="009F7561" w:rsidR="00473672">
            <w:rPr>
              <w:lang w:val="en-GB"/>
            </w:rPr>
            <w:t xml:space="preserve"> </w:t>
          </w:r>
        </w:sdtContent>
      </w:sdt>
      <w:r w:rsidRPr="00585205">
        <w:rPr>
          <w:sz w:val="21"/>
          <w:szCs w:val="21"/>
          <w:highlight w:val="white"/>
          <w:lang w:val="en-GB"/>
        </w:rPr>
        <w:t>in all matters that affect them, including building on their capacities/strengths</w:t>
      </w:r>
      <w:r w:rsidRPr="00585205" w:rsidR="00FB3EC8">
        <w:rPr>
          <w:sz w:val="21"/>
          <w:szCs w:val="21"/>
          <w:highlight w:val="white"/>
          <w:lang w:val="en-GB"/>
        </w:rPr>
        <w:t>,</w:t>
      </w:r>
      <w:r w:rsidRPr="00585205" w:rsidR="008A1575">
        <w:rPr>
          <w:sz w:val="21"/>
          <w:szCs w:val="21"/>
          <w:highlight w:val="white"/>
          <w:lang w:val="en-GB"/>
        </w:rPr>
        <w:t xml:space="preserve"> and </w:t>
      </w:r>
      <w:r w:rsidRPr="00585205">
        <w:rPr>
          <w:sz w:val="21"/>
          <w:szCs w:val="21"/>
          <w:highlight w:val="white"/>
          <w:lang w:val="en-GB"/>
        </w:rPr>
        <w:t>they are part of the decision-making process. A child-centred approach ensures programmes that are adjusted and tailored towards the child</w:t>
      </w:r>
      <w:r w:rsidRPr="00585205" w:rsidR="00315391">
        <w:rPr>
          <w:sz w:val="21"/>
          <w:szCs w:val="21"/>
          <w:highlight w:val="white"/>
          <w:lang w:val="en-GB"/>
        </w:rPr>
        <w:t>’s</w:t>
      </w:r>
      <w:r w:rsidRPr="00585205">
        <w:rPr>
          <w:sz w:val="21"/>
          <w:szCs w:val="21"/>
          <w:highlight w:val="white"/>
          <w:lang w:val="en-GB"/>
        </w:rPr>
        <w:t xml:space="preserve"> unique needs and capacities. Child-centred and child-focused are terms used interchangeably.</w:t>
      </w:r>
    </w:p>
    <w:p w:rsidRPr="00585205" w:rsidR="001D323A" w:rsidP="00E96F61" w:rsidRDefault="00CE2830" w14:paraId="7E28F8C2" w14:textId="44D825AD">
      <w:pPr>
        <w:numPr>
          <w:ilvl w:val="0"/>
          <w:numId w:val="23"/>
        </w:numPr>
        <w:pBdr>
          <w:top w:val="nil"/>
          <w:left w:val="nil"/>
          <w:bottom w:val="nil"/>
          <w:right w:val="nil"/>
          <w:between w:val="nil"/>
        </w:pBdr>
        <w:spacing w:before="120" w:after="120" w:line="300" w:lineRule="atLeast"/>
        <w:jc w:val="both"/>
        <w:rPr>
          <w:lang w:val="en-GB"/>
        </w:rPr>
      </w:pPr>
      <w:r w:rsidRPr="00585205">
        <w:rPr>
          <w:b/>
          <w:lang w:val="en-GB"/>
        </w:rPr>
        <w:t>Best interests of the child</w:t>
      </w:r>
      <w:r w:rsidRPr="00585205">
        <w:rPr>
          <w:lang w:val="en-GB"/>
        </w:rPr>
        <w:t>: In all actions concerning children, whether undertaken by public or private social welfare institutions, courts of law, administrative authorities or legislative bodies, the best interests of the child shall be</w:t>
      </w:r>
      <w:r w:rsidR="00057E3C">
        <w:rPr>
          <w:lang w:val="en-GB"/>
        </w:rPr>
        <w:t xml:space="preserve"> </w:t>
      </w:r>
      <w:r w:rsidRPr="00585205">
        <w:rPr>
          <w:lang w:val="en-GB"/>
        </w:rPr>
        <w:t>a primary consideration</w:t>
      </w:r>
      <w:r w:rsidRPr="00585205" w:rsidR="007C72B8">
        <w:rPr>
          <w:lang w:val="en-GB"/>
        </w:rPr>
        <w:t>.</w:t>
      </w:r>
      <w:r w:rsidRPr="00585205" w:rsidR="00000E54">
        <w:rPr>
          <w:vertAlign w:val="superscript"/>
        </w:rPr>
        <w:footnoteReference w:id="85"/>
      </w:r>
      <w:r w:rsidRPr="00585205">
        <w:rPr>
          <w:lang w:val="en-GB"/>
        </w:rPr>
        <w:t xml:space="preserve"> </w:t>
      </w:r>
      <w:r w:rsidR="00A52935">
        <w:rPr>
          <w:lang w:val="en-GB"/>
        </w:rPr>
        <w:br/>
      </w:r>
      <w:r w:rsidRPr="00585205">
        <w:rPr>
          <w:lang w:val="en-GB"/>
        </w:rPr>
        <w:t xml:space="preserve">The best interest of the child is one element of the child-centred approach. The best </w:t>
      </w:r>
      <w:r w:rsidRPr="00585205">
        <w:rPr>
          <w:lang w:val="en-GB"/>
        </w:rPr>
        <w:t>interest of children and adolescent survivors of GBV should be of primary consideration in all decisions affecting them</w:t>
      </w:r>
      <w:r w:rsidRPr="00585205" w:rsidR="0056440F">
        <w:rPr>
          <w:lang w:val="en-GB"/>
        </w:rPr>
        <w:t>.</w:t>
      </w:r>
    </w:p>
    <w:p w:rsidRPr="009F7561" w:rsidR="001D323A" w:rsidP="0024785C" w:rsidRDefault="00CE2830" w14:paraId="7E28F8C4" w14:textId="146DD918">
      <w:pPr>
        <w:spacing w:before="120" w:after="120" w:line="300" w:lineRule="atLeast"/>
        <w:jc w:val="both"/>
        <w:rPr>
          <w:lang w:val="en-GB"/>
        </w:rPr>
      </w:pPr>
      <w:r w:rsidRPr="009F7561">
        <w:rPr>
          <w:lang w:val="en-GB"/>
        </w:rPr>
        <w:t xml:space="preserve">The above guiding principles and approaches are linked to the overarching humanitarian responsibility to provide protection and assistance to those affected by crisis. They serve as </w:t>
      </w:r>
      <w:r w:rsidR="00A52935">
        <w:rPr>
          <w:lang w:val="en-GB"/>
        </w:rPr>
        <w:br/>
      </w:r>
      <w:r w:rsidRPr="009F7561">
        <w:rPr>
          <w:lang w:val="en-GB"/>
        </w:rPr>
        <w:t>the foundation for all humanitarian actors when planning and implementing GBV-related programming.</w:t>
      </w:r>
    </w:p>
    <w:p w:rsidRPr="009F7561" w:rsidR="001D323A" w:rsidP="0024785C" w:rsidRDefault="00CE2830" w14:paraId="7E28F8C6" w14:textId="2420A9F5">
      <w:pPr>
        <w:spacing w:before="120" w:after="120" w:line="300" w:lineRule="atLeast"/>
        <w:jc w:val="both"/>
        <w:rPr>
          <w:lang w:val="en-GB"/>
        </w:rPr>
      </w:pPr>
      <w:r w:rsidRPr="009F7561">
        <w:rPr>
          <w:lang w:val="en-GB"/>
        </w:rPr>
        <w:t>It is important to emphas</w:t>
      </w:r>
      <w:r w:rsidRPr="009F7561" w:rsidR="002D1850">
        <w:rPr>
          <w:lang w:val="en-GB"/>
        </w:rPr>
        <w:t>ize</w:t>
      </w:r>
      <w:r w:rsidRPr="009F7561">
        <w:rPr>
          <w:lang w:val="en-GB"/>
        </w:rPr>
        <w:t xml:space="preserve"> that:</w:t>
      </w:r>
    </w:p>
    <w:p w:rsidRPr="009F7561" w:rsidR="001D323A" w:rsidP="00E96F61" w:rsidRDefault="00CE2830" w14:paraId="7E28F8C8" w14:textId="1424D960">
      <w:pPr>
        <w:numPr>
          <w:ilvl w:val="0"/>
          <w:numId w:val="7"/>
        </w:numPr>
        <w:pBdr>
          <w:top w:val="nil"/>
          <w:left w:val="nil"/>
          <w:bottom w:val="nil"/>
          <w:right w:val="nil"/>
          <w:between w:val="nil"/>
        </w:pBdr>
        <w:spacing w:before="120" w:after="120" w:line="300" w:lineRule="atLeast"/>
        <w:jc w:val="both"/>
        <w:rPr>
          <w:lang w:val="en-GB"/>
        </w:rPr>
      </w:pPr>
      <w:r w:rsidRPr="00585205">
        <w:rPr>
          <w:lang w:val="en-GB"/>
        </w:rPr>
        <w:t>GBV encompasses a wide range of human rights violations. Preventing and mitigating GBV involves promoting gender equality</w:t>
      </w:r>
      <w:r w:rsidRPr="00585205" w:rsidR="008A1575">
        <w:rPr>
          <w:lang w:val="en-GB"/>
        </w:rPr>
        <w:t xml:space="preserve"> and </w:t>
      </w:r>
      <w:r w:rsidRPr="00585205">
        <w:rPr>
          <w:lang w:val="en-GB"/>
        </w:rPr>
        <w:t>beliefs and norms that are respectful and non-violent.</w:t>
      </w:r>
    </w:p>
    <w:p w:rsidRPr="009F7561" w:rsidR="001D323A" w:rsidP="00E96F61" w:rsidRDefault="00CE2830" w14:paraId="7E28F8CA" w14:textId="77777777">
      <w:pPr>
        <w:numPr>
          <w:ilvl w:val="0"/>
          <w:numId w:val="7"/>
        </w:numPr>
        <w:pBdr>
          <w:top w:val="nil"/>
          <w:left w:val="nil"/>
          <w:bottom w:val="nil"/>
          <w:right w:val="nil"/>
          <w:between w:val="nil"/>
        </w:pBdr>
        <w:spacing w:before="120" w:after="120" w:line="300" w:lineRule="atLeast"/>
        <w:jc w:val="both"/>
        <w:rPr>
          <w:lang w:val="en-GB"/>
        </w:rPr>
      </w:pPr>
      <w:r w:rsidRPr="00585205">
        <w:rPr>
          <w:lang w:val="en-GB"/>
        </w:rPr>
        <w:t>Safety, respect, confidentiality and non-discrimination in relation to survivors and those at risk are vital considerations at all times.</w:t>
      </w:r>
    </w:p>
    <w:p w:rsidRPr="00585205" w:rsidR="001D323A" w:rsidP="00E82689" w:rsidRDefault="001D323A" w14:paraId="7E28F8CB" w14:textId="77777777">
      <w:pPr>
        <w:spacing w:before="120" w:after="120" w:line="240" w:lineRule="auto"/>
        <w:jc w:val="both"/>
        <w:rPr>
          <w:sz w:val="2"/>
          <w:szCs w:val="2"/>
          <w:lang w:val="en-GB"/>
        </w:rPr>
      </w:pPr>
    </w:p>
    <w:p w:rsidRPr="00585205" w:rsidR="001D323A" w:rsidP="00E82689" w:rsidRDefault="00CE2830" w14:paraId="7E28F8CC" w14:textId="77777777">
      <w:pPr>
        <w:pBdr>
          <w:top w:val="nil"/>
          <w:left w:val="nil"/>
          <w:bottom w:val="nil"/>
          <w:right w:val="nil"/>
          <w:between w:val="nil"/>
        </w:pBdr>
        <w:spacing w:before="120" w:after="120" w:line="240" w:lineRule="auto"/>
        <w:jc w:val="both"/>
        <w:rPr>
          <w:sz w:val="2"/>
          <w:szCs w:val="2"/>
          <w:lang w:val="en-GB"/>
        </w:rPr>
      </w:pPr>
      <w:r w:rsidRPr="00585205">
        <w:rPr>
          <w:sz w:val="2"/>
          <w:szCs w:val="2"/>
          <w:lang w:val="en-GB"/>
        </w:rPr>
        <w:br w:type="page"/>
      </w:r>
    </w:p>
    <w:p w:rsidRPr="005B63B5" w:rsidR="001D323A" w:rsidP="003166F7" w:rsidRDefault="00CE2830" w14:paraId="7E28F8CD" w14:textId="120AD32C">
      <w:pPr>
        <w:pStyle w:val="Heading1"/>
      </w:pPr>
      <w:bookmarkStart w:name="_Toc134906259" w:id="23"/>
      <w:bookmarkStart w:name="_Toc142469132" w:id="24"/>
      <w:r w:rsidRPr="005B63B5">
        <w:t>SECTION 3: GBV RESPONSE PROGRAMMING</w:t>
      </w:r>
      <w:bookmarkEnd w:id="23"/>
      <w:bookmarkEnd w:id="24"/>
    </w:p>
    <w:tbl>
      <w:tblPr>
        <w:tblStyle w:val="TableGrid"/>
        <w:tblW w:w="0" w:type="auto"/>
        <w:tblLook w:val="04A0" w:firstRow="1" w:lastRow="0" w:firstColumn="1" w:lastColumn="0" w:noHBand="0" w:noVBand="1"/>
      </w:tblPr>
      <w:tblGrid>
        <w:gridCol w:w="9350"/>
      </w:tblGrid>
      <w:tr w:rsidR="00C122E6" w:rsidTr="00C122E6" w14:paraId="3E7F93B3" w14:textId="77777777">
        <w:tc>
          <w:tcPr>
            <w:tcW w:w="9350" w:type="dxa"/>
          </w:tcPr>
          <w:p w:rsidRPr="009F7561" w:rsidR="00C122E6" w:rsidP="00C122E6" w:rsidRDefault="00C122E6" w14:paraId="57525F91" w14:textId="77777777">
            <w:pPr>
              <w:spacing w:before="120" w:after="120" w:line="300" w:lineRule="atLeast"/>
              <w:jc w:val="both"/>
              <w:rPr>
                <w:b/>
                <w:lang w:val="en-GB"/>
              </w:rPr>
            </w:pPr>
            <w:r w:rsidRPr="009F7561">
              <w:rPr>
                <w:b/>
                <w:lang w:val="en-GB"/>
              </w:rPr>
              <w:t>Safe access to GBV services (see SOPs development guide for groups facing barriers to access)</w:t>
            </w:r>
          </w:p>
          <w:p w:rsidRPr="009F7561" w:rsidR="00C122E6" w:rsidP="00C122E6" w:rsidRDefault="00C122E6" w14:paraId="0E290F33" w14:textId="77777777">
            <w:pPr>
              <w:spacing w:before="120" w:after="120" w:line="300" w:lineRule="atLeast"/>
              <w:jc w:val="both"/>
              <w:rPr>
                <w:lang w:val="en-GB"/>
              </w:rPr>
            </w:pPr>
            <w:r w:rsidRPr="009F7561">
              <w:rPr>
                <w:lang w:val="en-GB"/>
              </w:rPr>
              <w:t>All GBV service providers must reduce barriers to accessing GBV services. Women, girls and other persons at risk face various barriers to accessing services, including but not limited to:</w:t>
            </w:r>
          </w:p>
          <w:p w:rsidRPr="00C122E6" w:rsidR="00C122E6" w:rsidP="00E96F61" w:rsidRDefault="00C122E6" w14:paraId="5838E2FB" w14:textId="47101489">
            <w:pPr>
              <w:pStyle w:val="ListParagraph"/>
              <w:numPr>
                <w:ilvl w:val="0"/>
                <w:numId w:val="40"/>
              </w:numPr>
              <w:spacing w:before="120" w:after="120" w:line="300" w:lineRule="atLeast"/>
              <w:jc w:val="both"/>
              <w:rPr>
                <w:lang w:val="en-GB"/>
              </w:rPr>
            </w:pPr>
            <w:r w:rsidRPr="00C122E6">
              <w:rPr>
                <w:lang w:val="en-GB"/>
              </w:rPr>
              <w:t>Location of the services</w:t>
            </w:r>
            <w:r>
              <w:rPr>
                <w:lang w:val="en-GB"/>
              </w:rPr>
              <w:t>.</w:t>
            </w:r>
          </w:p>
          <w:p w:rsidRPr="00C122E6" w:rsidR="00C122E6" w:rsidP="00E96F61" w:rsidRDefault="00C122E6" w14:paraId="19688DA7" w14:textId="7F9E33E5">
            <w:pPr>
              <w:pStyle w:val="ListParagraph"/>
              <w:numPr>
                <w:ilvl w:val="0"/>
                <w:numId w:val="40"/>
              </w:numPr>
              <w:spacing w:before="120" w:after="120" w:line="300" w:lineRule="atLeast"/>
              <w:jc w:val="both"/>
              <w:rPr>
                <w:lang w:val="en-GB"/>
              </w:rPr>
            </w:pPr>
            <w:r w:rsidRPr="00C122E6">
              <w:rPr>
                <w:lang w:val="en-GB"/>
              </w:rPr>
              <w:t>Lack of mobility without male supervision</w:t>
            </w:r>
            <w:r>
              <w:rPr>
                <w:lang w:val="en-GB"/>
              </w:rPr>
              <w:t>.</w:t>
            </w:r>
          </w:p>
          <w:p w:rsidRPr="00C122E6" w:rsidR="00C122E6" w:rsidP="00E96F61" w:rsidRDefault="00C122E6" w14:paraId="5B0F0AAB" w14:textId="0BAE3DC5">
            <w:pPr>
              <w:pStyle w:val="ListParagraph"/>
              <w:numPr>
                <w:ilvl w:val="0"/>
                <w:numId w:val="40"/>
              </w:numPr>
              <w:spacing w:before="120" w:after="120" w:line="300" w:lineRule="atLeast"/>
              <w:jc w:val="both"/>
              <w:rPr>
                <w:lang w:val="en-GB"/>
              </w:rPr>
            </w:pPr>
            <w:r w:rsidRPr="00C122E6">
              <w:rPr>
                <w:lang w:val="en-GB"/>
              </w:rPr>
              <w:t>Language barriers</w:t>
            </w:r>
            <w:r>
              <w:rPr>
                <w:lang w:val="en-GB"/>
              </w:rPr>
              <w:t>.</w:t>
            </w:r>
          </w:p>
          <w:p w:rsidRPr="00C122E6" w:rsidR="00C122E6" w:rsidP="00E96F61" w:rsidRDefault="00C122E6" w14:paraId="6B193B81" w14:textId="12F3AC2B">
            <w:pPr>
              <w:pStyle w:val="ListParagraph"/>
              <w:numPr>
                <w:ilvl w:val="0"/>
                <w:numId w:val="40"/>
              </w:numPr>
              <w:spacing w:before="120" w:after="120" w:line="300" w:lineRule="atLeast"/>
              <w:jc w:val="both"/>
              <w:rPr>
                <w:lang w:val="en-GB"/>
              </w:rPr>
            </w:pPr>
            <w:r w:rsidRPr="00C122E6">
              <w:rPr>
                <w:lang w:val="en-GB"/>
              </w:rPr>
              <w:t>Perception/stigma of the service in the community</w:t>
            </w:r>
            <w:r>
              <w:rPr>
                <w:lang w:val="en-GB"/>
              </w:rPr>
              <w:t>.</w:t>
            </w:r>
          </w:p>
          <w:p w:rsidRPr="00C122E6" w:rsidR="00C122E6" w:rsidP="00E96F61" w:rsidRDefault="00C122E6" w14:paraId="402DF793" w14:textId="39D74529">
            <w:pPr>
              <w:pStyle w:val="ListParagraph"/>
              <w:numPr>
                <w:ilvl w:val="0"/>
                <w:numId w:val="40"/>
              </w:numPr>
              <w:spacing w:before="120" w:after="120" w:line="300" w:lineRule="atLeast"/>
              <w:jc w:val="both"/>
              <w:rPr>
                <w:lang w:val="en-GB"/>
              </w:rPr>
            </w:pPr>
            <w:r w:rsidRPr="00C122E6">
              <w:rPr>
                <w:lang w:val="en-GB"/>
              </w:rPr>
              <w:t>Lack of wash facilities and/or menstrual materials and supplies at the service location.</w:t>
            </w:r>
          </w:p>
        </w:tc>
      </w:tr>
    </w:tbl>
    <w:p w:rsidRPr="009F7561" w:rsidR="001D323A" w:rsidP="00C122E6" w:rsidRDefault="00CE2830" w14:paraId="7E28F8D9" w14:textId="2122DD9A">
      <w:pPr>
        <w:spacing w:before="120" w:after="120" w:line="300" w:lineRule="atLeast"/>
        <w:jc w:val="both"/>
        <w:rPr>
          <w:lang w:val="en-GB"/>
        </w:rPr>
      </w:pPr>
      <w:r w:rsidRPr="009F7561">
        <w:rPr>
          <w:lang w:val="en-GB"/>
        </w:rPr>
        <w:t>GBV survivors may need various types of care and support to help them recover, heal and be safe from further violence. GBV survivors have the right to access quality, confidential, age-appropriate</w:t>
      </w:r>
      <w:r w:rsidRPr="009F7561" w:rsidR="008A1575">
        <w:rPr>
          <w:lang w:val="en-GB"/>
        </w:rPr>
        <w:t xml:space="preserve"> and </w:t>
      </w:r>
      <w:r w:rsidRPr="009F7561">
        <w:rPr>
          <w:lang w:val="en-GB"/>
        </w:rPr>
        <w:t>compassionate services. All services should be delivered in a non-judgmental and non-discriminatory manner that considers the survivor</w:t>
      </w:r>
      <w:r w:rsidRPr="009F7561" w:rsidR="00315391">
        <w:rPr>
          <w:lang w:val="en-GB"/>
        </w:rPr>
        <w:t>’s</w:t>
      </w:r>
      <w:r w:rsidRPr="009F7561">
        <w:rPr>
          <w:lang w:val="en-GB"/>
        </w:rPr>
        <w:t xml:space="preserve"> sex, age</w:t>
      </w:r>
      <w:r w:rsidRPr="009F7561" w:rsidR="008A1575">
        <w:rPr>
          <w:lang w:val="en-GB"/>
        </w:rPr>
        <w:t xml:space="preserve"> and </w:t>
      </w:r>
      <w:r w:rsidRPr="009F7561">
        <w:rPr>
          <w:lang w:val="en-GB"/>
        </w:rPr>
        <w:t>specific needs.</w:t>
      </w:r>
    </w:p>
    <w:p w:rsidRPr="009F7561" w:rsidR="001D323A" w:rsidP="00C122E6" w:rsidRDefault="00CE2830" w14:paraId="7E28F8DB" w14:textId="5117541C">
      <w:pPr>
        <w:spacing w:before="120" w:after="120" w:line="300" w:lineRule="atLeast"/>
        <w:jc w:val="both"/>
        <w:rPr>
          <w:lang w:val="en-GB"/>
        </w:rPr>
      </w:pPr>
      <w:r w:rsidRPr="009F7561">
        <w:rPr>
          <w:lang w:val="en-GB"/>
        </w:rPr>
        <w:t xml:space="preserve">Across all contexts and types of GBV incidents, health care for GBV survivors is a priority service. Adequate health services are vital to ensuring life-saving care for women, girls and other at-risk groups. </w:t>
      </w:r>
      <w:r w:rsidR="00794E79">
        <w:rPr>
          <w:lang w:val="en-GB"/>
        </w:rPr>
        <w:t>Health care</w:t>
      </w:r>
      <w:r w:rsidRPr="009F7561">
        <w:rPr>
          <w:lang w:val="en-GB"/>
        </w:rPr>
        <w:t xml:space="preserve"> providers are often the first and sometimes only point of contact for GBV survivors. </w:t>
      </w:r>
    </w:p>
    <w:p w:rsidRPr="009F7561" w:rsidR="001D323A" w:rsidP="00C122E6" w:rsidRDefault="00CE2830" w14:paraId="7E28F8DD" w14:textId="519C2F85">
      <w:pPr>
        <w:spacing w:before="120" w:after="120" w:line="300" w:lineRule="atLeast"/>
        <w:jc w:val="both"/>
        <w:rPr>
          <w:lang w:val="en-GB"/>
        </w:rPr>
      </w:pPr>
      <w:r w:rsidRPr="009F7561">
        <w:rPr>
          <w:lang w:val="en-GB"/>
        </w:rPr>
        <w:t xml:space="preserve">The quality of care and support that GBV survivors receive, including the way they are treated </w:t>
      </w:r>
      <w:r w:rsidRPr="00585205">
        <w:rPr>
          <w:spacing w:val="-2"/>
          <w:lang w:val="en-GB"/>
        </w:rPr>
        <w:t>by the people they turn to for help, affects their safety, well-being and recovery. It also influences</w:t>
      </w:r>
      <w:r w:rsidRPr="009F7561">
        <w:rPr>
          <w:lang w:val="en-GB"/>
        </w:rPr>
        <w:t xml:space="preserve"> whether other survivors feel comfortable coming forward for help. Qualified staff and systems in organ</w:t>
      </w:r>
      <w:r w:rsidRPr="009F7561" w:rsidR="002D1850">
        <w:rPr>
          <w:lang w:val="en-GB"/>
        </w:rPr>
        <w:t>iza</w:t>
      </w:r>
      <w:r w:rsidRPr="009F7561">
        <w:rPr>
          <w:lang w:val="en-GB"/>
        </w:rPr>
        <w:t>tions providing GBV case management services are essential to establishing and maintaining quality, survivor-centred care.</w:t>
      </w:r>
    </w:p>
    <w:p w:rsidRPr="009F7561" w:rsidR="001D323A" w:rsidP="00C122E6" w:rsidRDefault="00CE2830" w14:paraId="7E28F8DF" w14:textId="77777777">
      <w:pPr>
        <w:spacing w:before="120" w:after="120" w:line="300" w:lineRule="atLeast"/>
        <w:jc w:val="both"/>
        <w:rPr>
          <w:lang w:val="en-GB"/>
        </w:rPr>
      </w:pPr>
      <w:r w:rsidRPr="009F7561">
        <w:rPr>
          <w:lang w:val="en-GB"/>
        </w:rPr>
        <w:t>All GBV service providers should create a safe, supportive, confidential environment that allows survivors and/or their caregivers to disclose violence should they choose to do so. It often takes time to build trust for the survivor to disclose that they have experienced violence.</w:t>
      </w:r>
    </w:p>
    <w:p w:rsidRPr="009F7561" w:rsidR="001D323A" w:rsidP="00C122E6" w:rsidRDefault="00CE2830" w14:paraId="7E28F8E1" w14:textId="66166F5F">
      <w:pPr>
        <w:spacing w:before="120" w:after="120" w:line="300" w:lineRule="atLeast"/>
        <w:jc w:val="both"/>
        <w:rPr>
          <w:lang w:val="en-GB"/>
        </w:rPr>
      </w:pPr>
      <w:r w:rsidRPr="009F7561">
        <w:rPr>
          <w:lang w:val="en-GB"/>
        </w:rPr>
        <w:t>Entry points to services for GBV survivors need to be accessible, safe, private, confidential</w:t>
      </w:r>
      <w:r w:rsidRPr="009F7561" w:rsidR="008A1575">
        <w:rPr>
          <w:lang w:val="en-GB"/>
        </w:rPr>
        <w:t xml:space="preserve"> and </w:t>
      </w:r>
      <w:r w:rsidRPr="009F7561">
        <w:rPr>
          <w:lang w:val="en-GB"/>
        </w:rPr>
        <w:t xml:space="preserve">trustworthy. The suggested help-seeking and referral pathway for GBV response is illustrated in </w:t>
      </w:r>
      <w:r w:rsidRPr="009F7561" w:rsidR="00CB5A06">
        <w:rPr>
          <w:lang w:val="en-GB"/>
        </w:rPr>
        <w:t>section</w:t>
      </w:r>
      <w:r w:rsidRPr="009F7561">
        <w:rPr>
          <w:lang w:val="en-GB"/>
        </w:rPr>
        <w:t xml:space="preserve"> 3.</w:t>
      </w:r>
      <w:r w:rsidRPr="009F7561" w:rsidR="00BB7501">
        <w:rPr>
          <w:lang w:val="en-GB"/>
        </w:rPr>
        <w:t>3</w:t>
      </w:r>
      <w:r w:rsidRPr="009F7561">
        <w:rPr>
          <w:lang w:val="en-GB"/>
        </w:rPr>
        <w:t>; information sharing for service provision and consent are described in sections 4.</w:t>
      </w:r>
      <w:r w:rsidRPr="009F7561" w:rsidR="004231C1">
        <w:rPr>
          <w:lang w:val="en-GB"/>
        </w:rPr>
        <w:t xml:space="preserve">2 </w:t>
      </w:r>
      <w:r w:rsidRPr="009F7561">
        <w:rPr>
          <w:lang w:val="en-GB"/>
        </w:rPr>
        <w:t>and 3.3.2 respectively.</w:t>
      </w:r>
    </w:p>
    <w:p w:rsidRPr="009F7561" w:rsidR="001D323A" w:rsidP="00C122E6" w:rsidRDefault="00CE2830" w14:paraId="7E28F8E3" w14:textId="05BB7425">
      <w:pPr>
        <w:spacing w:before="120" w:after="120" w:line="300" w:lineRule="atLeast"/>
        <w:jc w:val="both"/>
        <w:rPr>
          <w:lang w:val="en-GB"/>
        </w:rPr>
      </w:pPr>
      <w:r w:rsidRPr="009F7561">
        <w:rPr>
          <w:lang w:val="en-GB"/>
        </w:rPr>
        <w:t xml:space="preserve">Case/incident documentation and information sharing for coordination and trend analysis are discussed in </w:t>
      </w:r>
      <w:r w:rsidRPr="009F7561" w:rsidR="00CB5A06">
        <w:rPr>
          <w:lang w:val="en-GB"/>
        </w:rPr>
        <w:t>section</w:t>
      </w:r>
      <w:r w:rsidRPr="009F7561">
        <w:rPr>
          <w:lang w:val="en-GB"/>
        </w:rPr>
        <w:t xml:space="preserve"> 9.1.</w:t>
      </w:r>
    </w:p>
    <w:p w:rsidRPr="005B63B5" w:rsidR="00C6331F" w:rsidP="003166F7" w:rsidRDefault="00CE2830" w14:paraId="70DCF2B7" w14:textId="572C7000">
      <w:pPr>
        <w:pStyle w:val="Heading2"/>
      </w:pPr>
      <w:bookmarkStart w:name="_heading=h.6ciau9psyufq" w:colFirst="0" w:colLast="0" w:id="25"/>
      <w:bookmarkStart w:name="_Toc134906260" w:id="26"/>
      <w:bookmarkStart w:name="_Toc142469133" w:id="27"/>
      <w:bookmarkEnd w:id="25"/>
      <w:r w:rsidRPr="00EB34DB">
        <w:t xml:space="preserve">Overview of GBV </w:t>
      </w:r>
      <w:r w:rsidRPr="00EB34DB" w:rsidR="008D4EED">
        <w:t>response services</w:t>
      </w:r>
      <w:bookmarkEnd w:id="26"/>
      <w:r w:rsidR="009D5E45">
        <w:rPr>
          <w:rStyle w:val="FootnoteReference"/>
        </w:rPr>
        <w:footnoteReference w:id="86"/>
      </w:r>
      <w:bookmarkEnd w:id="27"/>
    </w:p>
    <w:tbl>
      <w:tblPr>
        <w:tblStyle w:val="TableGrid"/>
        <w:tblW w:w="0" w:type="auto"/>
        <w:tblLook w:val="04A0" w:firstRow="1" w:lastRow="0" w:firstColumn="1" w:lastColumn="0" w:noHBand="0" w:noVBand="1"/>
      </w:tblPr>
      <w:tblGrid>
        <w:gridCol w:w="9350"/>
      </w:tblGrid>
      <w:tr w:rsidR="00C6331F" w:rsidTr="00C6331F" w14:paraId="219010F7" w14:textId="77777777">
        <w:tc>
          <w:tcPr>
            <w:tcW w:w="9350" w:type="dxa"/>
          </w:tcPr>
          <w:p w:rsidRPr="009F7561" w:rsidR="00C6331F" w:rsidP="00C6331F" w:rsidRDefault="00C6331F" w14:paraId="41B0E309" w14:textId="77777777">
            <w:pPr>
              <w:spacing w:before="120" w:after="120" w:line="300" w:lineRule="atLeast"/>
              <w:jc w:val="both"/>
              <w:rPr>
                <w:b/>
                <w:lang w:val="en-GB"/>
              </w:rPr>
            </w:pPr>
            <w:r w:rsidRPr="009F7561">
              <w:rPr>
                <w:b/>
                <w:lang w:val="en-GB"/>
              </w:rPr>
              <w:t>Essential issues to consider</w:t>
            </w:r>
          </w:p>
          <w:p w:rsidRPr="009F7561" w:rsidR="00C6331F" w:rsidP="00C6331F" w:rsidRDefault="00C6331F" w14:paraId="13982219" w14:textId="77777777">
            <w:pPr>
              <w:spacing w:before="120" w:after="120" w:line="300" w:lineRule="atLeast"/>
              <w:jc w:val="both"/>
              <w:rPr>
                <w:lang w:val="en-GB"/>
              </w:rPr>
            </w:pPr>
            <w:r w:rsidRPr="009F7561">
              <w:rPr>
                <w:lang w:val="en-GB"/>
              </w:rPr>
              <w:t>This section of the GBV SOPs template should outline the GBV specialized services available for GBV survivors in the setting.</w:t>
            </w:r>
          </w:p>
          <w:p w:rsidRPr="009F7561" w:rsidR="00C6331F" w:rsidP="00C6331F" w:rsidRDefault="00B04143" w14:paraId="71D98406" w14:textId="77777777">
            <w:pPr>
              <w:spacing w:before="120" w:after="120" w:line="300" w:lineRule="atLeast"/>
              <w:jc w:val="both"/>
              <w:rPr>
                <w:lang w:val="en-GB"/>
              </w:rPr>
            </w:pPr>
            <w:sdt>
              <w:sdtPr>
                <w:rPr>
                  <w:lang w:val="en-GB"/>
                </w:rPr>
                <w:tag w:val="goog_rdk_73"/>
                <w:id w:val="-2104251147"/>
              </w:sdtPr>
              <w:sdtEndPr/>
              <w:sdtContent/>
            </w:sdt>
            <w:r w:rsidRPr="009F7561" w:rsidR="00C6331F">
              <w:rPr>
                <w:lang w:val="en-GB"/>
              </w:rPr>
              <w:t>It is necessary that women, adolescent girls, women-led organizations and representatives of groups of persons who experience discrimination (e.g. women and girls with disabilities, older women, etc.) participate in the GBV SOPs development process to support risk assessment for each of the services listed below. Access to, and safety and effectiveness of, GBV services depends on women’s and adolescent girls’ input.</w:t>
            </w:r>
          </w:p>
          <w:p w:rsidRPr="00C6331F" w:rsidR="00C6331F" w:rsidP="00C6331F" w:rsidRDefault="00C6331F" w14:paraId="2578ACF6" w14:textId="45A65197">
            <w:pPr>
              <w:spacing w:before="120" w:after="120" w:line="300" w:lineRule="atLeast"/>
              <w:jc w:val="both"/>
              <w:rPr>
                <w:lang w:val="en-GB"/>
              </w:rPr>
            </w:pPr>
            <w:r w:rsidRPr="009F7561">
              <w:rPr>
                <w:lang w:val="en-GB"/>
              </w:rPr>
              <w:t>It is necessary to involve all operational GBV service providers in the GBV SOPs development process to ensure accurate descriptions of the services available.</w:t>
            </w:r>
          </w:p>
        </w:tc>
      </w:tr>
    </w:tbl>
    <w:p w:rsidRPr="009F7561" w:rsidR="001D323A" w:rsidP="003B2743" w:rsidRDefault="00CE2830" w14:paraId="7E28F8EF" w14:textId="6D11D331">
      <w:pPr>
        <w:rPr>
          <w:lang w:val="en-GB"/>
        </w:rPr>
      </w:pPr>
      <w:r w:rsidRPr="009F7561">
        <w:rPr>
          <w:lang w:val="en-GB"/>
        </w:rPr>
        <w:t>GBV SOPs and referral pathways among health, protection</w:t>
      </w:r>
      <w:r w:rsidRPr="009F7561" w:rsidR="00B644E6">
        <w:rPr>
          <w:lang w:val="en-GB"/>
        </w:rPr>
        <w:t xml:space="preserve"> and </w:t>
      </w:r>
      <w:r w:rsidRPr="009F7561">
        <w:rPr>
          <w:lang w:val="en-GB"/>
        </w:rPr>
        <w:t>other safety and security actors and GBV programme actors must uphold a survivor</w:t>
      </w:r>
      <w:r w:rsidRPr="009F7561" w:rsidR="00315391">
        <w:rPr>
          <w:lang w:val="en-GB"/>
        </w:rPr>
        <w:t>’s</w:t>
      </w:r>
      <w:r w:rsidRPr="009F7561">
        <w:rPr>
          <w:lang w:val="en-GB"/>
        </w:rPr>
        <w:t xml:space="preserve"> right to choose where and when to </w:t>
      </w:r>
      <w:r w:rsidR="00B500B7">
        <w:rPr>
          <w:lang w:val="en-GB"/>
        </w:rPr>
        <w:t>disclose</w:t>
      </w:r>
      <w:r w:rsidRPr="009F7561">
        <w:rPr>
          <w:lang w:val="en-GB"/>
        </w:rPr>
        <w:t xml:space="preserve"> and facilitate timely access to health</w:t>
      </w:r>
      <w:r w:rsidR="009A6767">
        <w:rPr>
          <w:lang w:val="en-GB"/>
        </w:rPr>
        <w:t xml:space="preserve"> </w:t>
      </w:r>
      <w:r w:rsidRPr="009F7561">
        <w:rPr>
          <w:lang w:val="en-GB"/>
        </w:rPr>
        <w:t>care and other services.</w:t>
      </w:r>
    </w:p>
    <w:p w:rsidRPr="009F7561" w:rsidR="001D323A" w:rsidP="00E6255B" w:rsidRDefault="00CE2830" w14:paraId="7E28F8F1" w14:textId="130EDE29">
      <w:pPr>
        <w:spacing w:before="120" w:after="120" w:line="300" w:lineRule="atLeast"/>
        <w:jc w:val="both"/>
        <w:rPr>
          <w:lang w:val="en-GB"/>
        </w:rPr>
      </w:pPr>
      <w:r w:rsidRPr="009F7561">
        <w:rPr>
          <w:lang w:val="en-GB"/>
        </w:rPr>
        <w:t>GBV response services include:</w:t>
      </w:r>
    </w:p>
    <w:p w:rsidRPr="00585205" w:rsidR="001D323A" w:rsidP="00E96F61" w:rsidRDefault="00CE2830" w14:paraId="7E28F8F3" w14:textId="40EDEFF3">
      <w:pPr>
        <w:numPr>
          <w:ilvl w:val="0"/>
          <w:numId w:val="11"/>
        </w:numPr>
        <w:pBdr>
          <w:top w:val="nil"/>
          <w:left w:val="nil"/>
          <w:bottom w:val="nil"/>
          <w:right w:val="nil"/>
          <w:between w:val="nil"/>
        </w:pBdr>
        <w:spacing w:before="120" w:after="120" w:line="300" w:lineRule="atLeast"/>
        <w:jc w:val="both"/>
        <w:rPr>
          <w:lang w:val="en-GB"/>
        </w:rPr>
      </w:pPr>
      <w:r w:rsidRPr="00585205">
        <w:rPr>
          <w:b/>
          <w:lang w:val="en-GB"/>
        </w:rPr>
        <w:t xml:space="preserve">Medical treatment and health care </w:t>
      </w:r>
      <w:r w:rsidRPr="00585205">
        <w:rPr>
          <w:lang w:val="en-GB"/>
        </w:rPr>
        <w:t>to address the immediate and long-term physical and mental health effects of GBV, including but not limited to initial examination and treatment, follow-up medical care</w:t>
      </w:r>
      <w:r w:rsidRPr="00585205" w:rsidR="008A1575">
        <w:rPr>
          <w:lang w:val="en-GB"/>
        </w:rPr>
        <w:t xml:space="preserve"> and </w:t>
      </w:r>
      <w:r w:rsidRPr="00585205">
        <w:rPr>
          <w:lang w:val="en-GB"/>
        </w:rPr>
        <w:t>health-related legal services, such as preparation of documentation</w:t>
      </w:r>
      <w:r w:rsidR="00E6255B">
        <w:rPr>
          <w:lang w:val="en-GB"/>
        </w:rPr>
        <w:t>.</w:t>
      </w:r>
    </w:p>
    <w:p w:rsidRPr="00585205" w:rsidR="001D323A" w:rsidP="00E96F61" w:rsidRDefault="00CE2830" w14:paraId="7E28F8F5" w14:textId="3F27E488">
      <w:pPr>
        <w:numPr>
          <w:ilvl w:val="0"/>
          <w:numId w:val="11"/>
        </w:numPr>
        <w:pBdr>
          <w:top w:val="nil"/>
          <w:left w:val="nil"/>
          <w:bottom w:val="nil"/>
          <w:right w:val="nil"/>
          <w:between w:val="nil"/>
        </w:pBdr>
        <w:spacing w:before="120" w:after="120" w:line="300" w:lineRule="atLeast"/>
        <w:jc w:val="both"/>
        <w:rPr>
          <w:lang w:val="en-GB"/>
        </w:rPr>
      </w:pPr>
      <w:r w:rsidRPr="00585205">
        <w:rPr>
          <w:b/>
          <w:lang w:val="en-GB"/>
        </w:rPr>
        <w:t xml:space="preserve">Psychosocial care and support </w:t>
      </w:r>
      <w:r w:rsidRPr="00585205">
        <w:rPr>
          <w:lang w:val="en-GB"/>
        </w:rPr>
        <w:t>to assist with healing and recovery from emotional, psychological and social effects, including but not limited to crisis care, longer term emotional and practical support, and information and advocacy</w:t>
      </w:r>
      <w:r w:rsidR="00E6255B">
        <w:rPr>
          <w:lang w:val="en-GB"/>
        </w:rPr>
        <w:t>.</w:t>
      </w:r>
    </w:p>
    <w:p w:rsidRPr="00585205" w:rsidR="001D323A" w:rsidP="00E96F61" w:rsidRDefault="00CE2830" w14:paraId="7E28F8F7" w14:textId="202CAF03">
      <w:pPr>
        <w:numPr>
          <w:ilvl w:val="0"/>
          <w:numId w:val="11"/>
        </w:numPr>
        <w:pBdr>
          <w:top w:val="nil"/>
          <w:left w:val="nil"/>
          <w:bottom w:val="nil"/>
          <w:right w:val="nil"/>
          <w:between w:val="nil"/>
        </w:pBdr>
        <w:spacing w:before="120" w:after="120" w:line="300" w:lineRule="atLeast"/>
        <w:jc w:val="both"/>
        <w:rPr>
          <w:lang w:val="en-GB"/>
        </w:rPr>
      </w:pPr>
      <w:r w:rsidRPr="00585205">
        <w:rPr>
          <w:b/>
          <w:lang w:val="en-GB"/>
        </w:rPr>
        <w:t xml:space="preserve">GBV </w:t>
      </w:r>
      <w:r w:rsidRPr="009F7561">
        <w:rPr>
          <w:b/>
          <w:lang w:val="en-GB"/>
        </w:rPr>
        <w:t>c</w:t>
      </w:r>
      <w:r w:rsidRPr="00585205">
        <w:rPr>
          <w:b/>
          <w:lang w:val="en-GB"/>
        </w:rPr>
        <w:t>ase management</w:t>
      </w:r>
      <w:r w:rsidRPr="00585205">
        <w:rPr>
          <w:lang w:val="en-GB"/>
        </w:rPr>
        <w:t xml:space="preserve"> services, including information, referrals, advocacy and other practical support</w:t>
      </w:r>
      <w:r w:rsidR="00E6255B">
        <w:rPr>
          <w:lang w:val="en-GB"/>
        </w:rPr>
        <w:t>.</w:t>
      </w:r>
    </w:p>
    <w:p w:rsidRPr="00585205" w:rsidR="001D323A" w:rsidP="00E96F61" w:rsidRDefault="00CE2830" w14:paraId="7E28F8F9" w14:textId="1FB3FF97">
      <w:pPr>
        <w:numPr>
          <w:ilvl w:val="0"/>
          <w:numId w:val="11"/>
        </w:numPr>
        <w:pBdr>
          <w:top w:val="nil"/>
          <w:left w:val="nil"/>
          <w:bottom w:val="nil"/>
          <w:right w:val="nil"/>
          <w:between w:val="nil"/>
        </w:pBdr>
        <w:spacing w:before="120" w:after="120" w:line="300" w:lineRule="atLeast"/>
        <w:jc w:val="both"/>
        <w:rPr>
          <w:lang w:val="en-GB"/>
        </w:rPr>
      </w:pPr>
      <w:r w:rsidRPr="00585205">
        <w:rPr>
          <w:b/>
          <w:lang w:val="en-GB"/>
        </w:rPr>
        <w:t xml:space="preserve">Options for safety and protection </w:t>
      </w:r>
      <w:r w:rsidRPr="00585205">
        <w:rPr>
          <w:lang w:val="en-GB"/>
        </w:rPr>
        <w:t>for survivors and their families who are at risk of further violence</w:t>
      </w:r>
      <w:r w:rsidRPr="00585205" w:rsidR="008A1575">
        <w:rPr>
          <w:lang w:val="en-GB"/>
        </w:rPr>
        <w:t xml:space="preserve"> and </w:t>
      </w:r>
      <w:r w:rsidRPr="00585205">
        <w:rPr>
          <w:lang w:val="en-GB"/>
        </w:rPr>
        <w:t>who wish to be protected through safe shelters, police or community security</w:t>
      </w:r>
      <w:r w:rsidR="00101D69">
        <w:rPr>
          <w:lang w:val="en-GB"/>
        </w:rPr>
        <w:t xml:space="preserve"> and</w:t>
      </w:r>
      <w:r w:rsidRPr="00585205">
        <w:rPr>
          <w:lang w:val="en-GB"/>
        </w:rPr>
        <w:t xml:space="preserve"> relocation.</w:t>
      </w:r>
    </w:p>
    <w:p w:rsidR="001D323A" w:rsidP="00E96F61" w:rsidRDefault="00CE2830" w14:paraId="7E28F8FB" w14:textId="77777777">
      <w:pPr>
        <w:numPr>
          <w:ilvl w:val="0"/>
          <w:numId w:val="11"/>
        </w:numPr>
        <w:pBdr>
          <w:top w:val="nil"/>
          <w:left w:val="nil"/>
          <w:bottom w:val="nil"/>
          <w:right w:val="nil"/>
          <w:between w:val="nil"/>
        </w:pBdr>
        <w:spacing w:before="120" w:after="120" w:line="300" w:lineRule="atLeast"/>
        <w:jc w:val="both"/>
        <w:rPr>
          <w:lang w:val="en-GB"/>
        </w:rPr>
      </w:pPr>
      <w:r w:rsidRPr="00585205">
        <w:rPr>
          <w:b/>
          <w:lang w:val="en-GB"/>
        </w:rPr>
        <w:t xml:space="preserve">Legal (informal and formal) and law enforcement services </w:t>
      </w:r>
      <w:r w:rsidRPr="00585205">
        <w:rPr>
          <w:lang w:val="en-GB"/>
        </w:rPr>
        <w:t>that can promote or help survivors to claim their legal rights and protections, including but not limited to legal aid services.</w:t>
      </w:r>
    </w:p>
    <w:p w:rsidR="00662E31" w:rsidP="00E6255B" w:rsidRDefault="00662E31" w14:paraId="511422FC" w14:textId="2C991869">
      <w:pPr>
        <w:pBdr>
          <w:top w:val="nil"/>
          <w:left w:val="nil"/>
          <w:bottom w:val="nil"/>
          <w:right w:val="nil"/>
          <w:between w:val="nil"/>
        </w:pBdr>
        <w:spacing w:before="120" w:after="120" w:line="300" w:lineRule="atLeast"/>
        <w:jc w:val="both"/>
        <w:rPr>
          <w:lang w:val="en-GB"/>
        </w:rPr>
      </w:pPr>
      <w:r w:rsidRPr="00901BE9">
        <w:rPr>
          <w:lang w:val="en-GB"/>
        </w:rPr>
        <w:t xml:space="preserve">Survivors </w:t>
      </w:r>
      <w:r w:rsidRPr="00901BE9" w:rsidR="00021A5E">
        <w:rPr>
          <w:lang w:val="en-GB"/>
        </w:rPr>
        <w:t xml:space="preserve">might </w:t>
      </w:r>
      <w:r w:rsidRPr="00901BE9" w:rsidR="00067A93">
        <w:rPr>
          <w:lang w:val="en-GB"/>
        </w:rPr>
        <w:t xml:space="preserve">also </w:t>
      </w:r>
      <w:r w:rsidRPr="00901BE9" w:rsidR="00021A5E">
        <w:rPr>
          <w:lang w:val="en-GB"/>
        </w:rPr>
        <w:t>be referred to other services</w:t>
      </w:r>
      <w:r w:rsidR="00F93111">
        <w:rPr>
          <w:lang w:val="en-GB"/>
        </w:rPr>
        <w:t xml:space="preserve"> on a case by case basis when those</w:t>
      </w:r>
      <w:r w:rsidR="00EC4DA1">
        <w:rPr>
          <w:lang w:val="en-GB"/>
        </w:rPr>
        <w:t xml:space="preserve"> can</w:t>
      </w:r>
      <w:r w:rsidR="00B24584">
        <w:rPr>
          <w:lang w:val="en-GB"/>
        </w:rPr>
        <w:t xml:space="preserve"> </w:t>
      </w:r>
      <w:r w:rsidR="00F93111">
        <w:rPr>
          <w:lang w:val="en-GB"/>
        </w:rPr>
        <w:t>contribute to survivor’s protection and well-being</w:t>
      </w:r>
      <w:r w:rsidR="00EC4DA1">
        <w:rPr>
          <w:lang w:val="en-GB"/>
        </w:rPr>
        <w:t>, including:</w:t>
      </w:r>
    </w:p>
    <w:p w:rsidRPr="00585205" w:rsidR="001D323A" w:rsidP="00E96F61" w:rsidRDefault="00CE2830" w14:paraId="7E28F8FD" w14:textId="7783F7FB">
      <w:pPr>
        <w:numPr>
          <w:ilvl w:val="0"/>
          <w:numId w:val="11"/>
        </w:numPr>
        <w:pBdr>
          <w:top w:val="nil"/>
          <w:left w:val="nil"/>
          <w:bottom w:val="nil"/>
          <w:right w:val="nil"/>
          <w:between w:val="nil"/>
        </w:pBdr>
        <w:spacing w:before="120" w:after="120" w:line="300" w:lineRule="atLeast"/>
        <w:jc w:val="both"/>
        <w:rPr>
          <w:lang w:val="en-GB"/>
        </w:rPr>
      </w:pPr>
      <w:r w:rsidRPr="00585205">
        <w:rPr>
          <w:b/>
          <w:lang w:val="en-GB"/>
        </w:rPr>
        <w:t>Education, economic</w:t>
      </w:r>
      <w:r w:rsidRPr="00585205" w:rsidR="00A63BC0">
        <w:rPr>
          <w:b/>
          <w:lang w:val="en-GB"/>
        </w:rPr>
        <w:t xml:space="preserve"> </w:t>
      </w:r>
      <w:r w:rsidRPr="00585205">
        <w:rPr>
          <w:b/>
          <w:lang w:val="en-GB"/>
        </w:rPr>
        <w:t xml:space="preserve">assistance and livelihood opportunities </w:t>
      </w:r>
      <w:r w:rsidRPr="00585205">
        <w:rPr>
          <w:lang w:val="en-GB"/>
        </w:rPr>
        <w:t>to support survivors and their families to live independently and in safety and with dignity, including but not limited to referrals for existing livelihood and education programmes, and targeted economic interventions that can mitigate risks of GBV and foster healing and empowerment</w:t>
      </w:r>
      <w:r w:rsidR="00E6255B">
        <w:rPr>
          <w:lang w:val="en-GB"/>
        </w:rPr>
        <w:t>.</w:t>
      </w:r>
    </w:p>
    <w:p w:rsidRPr="00585205" w:rsidR="001D323A" w:rsidP="00E96F61" w:rsidRDefault="00CE2830" w14:paraId="7E28F8FF" w14:textId="4AE3850B">
      <w:pPr>
        <w:numPr>
          <w:ilvl w:val="0"/>
          <w:numId w:val="11"/>
        </w:numPr>
        <w:pBdr>
          <w:top w:val="nil"/>
          <w:left w:val="nil"/>
          <w:bottom w:val="nil"/>
          <w:right w:val="nil"/>
          <w:between w:val="nil"/>
        </w:pBdr>
        <w:spacing w:before="120" w:after="120" w:line="300" w:lineRule="atLeast"/>
        <w:ind w:left="714" w:hanging="357"/>
        <w:jc w:val="both"/>
        <w:rPr>
          <w:lang w:val="en-GB"/>
        </w:rPr>
      </w:pPr>
      <w:r w:rsidRPr="00585205">
        <w:rPr>
          <w:b/>
          <w:lang w:val="en-GB"/>
        </w:rPr>
        <w:t xml:space="preserve">Other protection services, including cash and voucher assistance, orientation to all available services and durable solutions for displaced populations </w:t>
      </w:r>
      <w:r w:rsidRPr="00585205">
        <w:rPr>
          <w:lang w:val="en-GB"/>
        </w:rPr>
        <w:t xml:space="preserve">Documentation and entitlement services (e.g. separate ration cards) as well as planning for durable solutions, including resettlement, local integration and voluntary repatriation, </w:t>
      </w:r>
      <w:r w:rsidRPr="00585205">
        <w:rPr>
          <w:shd w:val="clear" w:color="auto" w:fill="FFFFFF" w:themeFill="background1"/>
          <w:lang w:val="en-GB"/>
        </w:rPr>
        <w:t>can contribute significantly to a survivor</w:t>
      </w:r>
      <w:r w:rsidRPr="00585205" w:rsidR="00315391">
        <w:rPr>
          <w:shd w:val="clear" w:color="auto" w:fill="FFFFFF" w:themeFill="background1"/>
          <w:lang w:val="en-GB"/>
        </w:rPr>
        <w:t>’s</w:t>
      </w:r>
      <w:r w:rsidRPr="00585205">
        <w:rPr>
          <w:shd w:val="clear" w:color="auto" w:fill="FFFFFF" w:themeFill="background1"/>
          <w:lang w:val="en-GB"/>
        </w:rPr>
        <w:t xml:space="preserve"> safety</w:t>
      </w:r>
      <w:r w:rsidR="00713646">
        <w:rPr>
          <w:shd w:val="clear" w:color="auto" w:fill="FFFFFF" w:themeFill="background1"/>
          <w:lang w:val="en-GB"/>
        </w:rPr>
        <w:t>.</w:t>
      </w:r>
      <w:r w:rsidR="006C0B06">
        <w:rPr>
          <w:rStyle w:val="FootnoteReference"/>
          <w:shd w:val="clear" w:color="auto" w:fill="FFFFFF" w:themeFill="background1"/>
          <w:lang w:val="en-GB"/>
        </w:rPr>
        <w:footnoteReference w:id="87"/>
      </w:r>
    </w:p>
    <w:p w:rsidR="00E94682" w:rsidP="00B4245E" w:rsidRDefault="00CC25E3" w14:paraId="06AA5EFA" w14:textId="0B737EF3">
      <w:pPr>
        <w:spacing w:before="120" w:after="120" w:line="300" w:lineRule="atLeast"/>
        <w:jc w:val="both"/>
        <w:rPr>
          <w:lang w:val="en-GB"/>
        </w:rPr>
      </w:pPr>
      <w:bookmarkStart w:name="_heading=h.g71n22ql1sn" w:colFirst="0" w:colLast="0" w:id="28"/>
      <w:bookmarkStart w:name="_heading=h.tb2m5ow168ik" w:colFirst="0" w:colLast="0" w:id="29"/>
      <w:bookmarkStart w:name="_heading=h.3gbpvznjjpw4" w:colFirst="0" w:colLast="0" w:id="30"/>
      <w:bookmarkStart w:name="_heading=h.yk0u1nrwlifr" w:colFirst="0" w:colLast="0" w:id="31"/>
      <w:bookmarkStart w:name="_heading=h.17dp8vu" w:colFirst="0" w:colLast="0" w:id="32"/>
      <w:bookmarkStart w:name="_heading=h.tf9d68qmthky" w:colFirst="0" w:colLast="0" w:id="33"/>
      <w:bookmarkStart w:name="_heading=h.9xotzog0py9" w:colFirst="0" w:colLast="0" w:id="34"/>
      <w:bookmarkStart w:name="_heading=h.suxk9u3ckgvo" w:colFirst="0" w:colLast="0" w:id="35"/>
      <w:bookmarkStart w:name="_heading=h.qzzm8af0w20" w:colFirst="0" w:colLast="0" w:id="36"/>
      <w:bookmarkStart w:name="_heading=h.qgtrrz6nn0ah" w:colFirst="0" w:colLast="0" w:id="37"/>
      <w:bookmarkStart w:name="_heading=h.1fob9te" w:colFirst="0" w:colLast="0" w:id="38"/>
      <w:bookmarkStart w:name="_heading=h.3rdcrjn" w:colFirst="0" w:colLast="0" w:id="39"/>
      <w:bookmarkStart w:name="_heading=h.yswjeuxzu27e" w:colFirst="0" w:colLast="0" w:id="40"/>
      <w:bookmarkStart w:name="_heading=h.l21bbh549iwo" w:colFirst="0" w:colLast="0" w:id="41"/>
      <w:bookmarkStart w:name="_heading=h.dwk6o23dr1eu" w:colFirst="0" w:colLast="0" w:id="42"/>
      <w:bookmarkStart w:name="_heading=h.iunnjinm039n" w:colFirst="0" w:colLast="0" w:id="43"/>
      <w:bookmarkStart w:name="_heading=h.47ht4dzr1hf" w:colFirst="0" w:colLast="0" w:id="44"/>
      <w:bookmarkStart w:name="_heading=h.7vpfirkwza6z" w:colFirst="0" w:colLast="0" w:id="45"/>
      <w:bookmarkStart w:name="_heading=h.ybv61fs1vfhg" w:colFirst="0" w:colLast="0" w:id="46"/>
      <w:bookmarkStart w:name="_heading=h.65inkvv6kyh7" w:colFirst="0" w:colLast="0" w:id="47"/>
      <w:bookmarkStart w:name="_heading=h.nr05nwusvps4" w:colFirst="0" w:colLast="0" w:id="48"/>
      <w:bookmarkStart w:name="_heading=h.gv4wbj13v5ng" w:colFirst="0" w:colLast="0" w:id="49"/>
      <w:bookmarkStart w:name="_heading=h.rv52o7exrtc4" w:colFirst="0" w:colLast="0" w:id="50"/>
      <w:bookmarkStart w:name="_heading=h.tyh4hyaem9jb" w:colFirst="0" w:colLast="0" w:id="51"/>
      <w:bookmarkStart w:name="_heading=h.1g5pwmo4eibh" w:colFirst="0" w:colLast="0" w:id="52"/>
      <w:bookmarkStart w:name="_heading=h.x2rlmqnxfbqk" w:colFirst="0" w:colLast="0" w:id="53"/>
      <w:bookmarkStart w:name="_heading=h.k5jy102jv529" w:colFirst="0" w:colLast="0" w:id="54"/>
      <w:bookmarkStart w:name="_heading=h.u5qxb5f3hmbk" w:colFirst="0" w:colLast="0" w:id="55"/>
      <w:bookmarkStart w:name="_heading=h.3znysh7" w:colFirst="0" w:colLast="0" w:id="56"/>
      <w:bookmarkStart w:name="_heading=h.kz0geqp7axeu" w:colFirst="0" w:colLast="0" w:id="57"/>
      <w:bookmarkStart w:name="_heading=h.eu5g99ofp40k" w:colFirst="0" w:colLast="0" w:id="58"/>
      <w:bookmarkStart w:name="_heading=h.26in1rg" w:colFirst="0" w:colLast="0" w:id="59"/>
      <w:bookmarkStart w:name="_heading=h.hwoxlsbsce3n" w:colFirst="0" w:colLast="0" w:id="60"/>
      <w:bookmarkStart w:name="_heading=h.2et92p0" w:colFirst="0" w:colLast="0" w:id="61"/>
      <w:bookmarkStart w:name="_heading=h.3p6p4kcwp2c5" w:colFirst="0" w:colLast="0" w:id="62"/>
      <w:bookmarkStart w:name="_heading=h.kp4qspagdq4l" w:colFirst="0" w:colLast="0" w:id="63"/>
      <w:bookmarkStart w:name="_heading=h.i0t5i3ntwwpr" w:colFirst="0" w:colLast="0" w:id="64"/>
      <w:bookmarkStart w:name="_heading=h.6013bh5ubw3" w:colFirst="0" w:colLast="0" w:id="65"/>
      <w:bookmarkStart w:name="_heading=h.tyjcwt" w:colFirst="0" w:colLast="0" w:id="66"/>
      <w:bookmarkStart w:name="_heading=h.ggns41q8yj3k" w:colFirst="0" w:colLast="0" w:id="67"/>
      <w:bookmarkStart w:name="_heading=h.z60hizho1g6x" w:colFirst="0" w:colLast="0" w:id="68"/>
      <w:bookmarkStart w:name="_heading=h.bo9xe4r9ssz8" w:colFirst="0" w:colLast="0" w:id="69"/>
      <w:bookmarkStart w:name="_heading=h.me2x4jb8i298" w:colFirst="0" w:colLast="0" w:id="70"/>
      <w:bookmarkStart w:name="_heading=h.171molkd7q72" w:colFirst="0" w:colLast="0" w:id="71"/>
      <w:bookmarkStart w:name="_heading=h.4kx7kkxgid8y" w:colFirst="0" w:colLast="0" w:id="72"/>
      <w:bookmarkStart w:name="_heading=h.oxtnwty2h5tr" w:colFirst="0" w:colLast="0" w:id="73"/>
      <w:bookmarkStart w:name="_heading=h.lnxbz9" w:colFirst="0" w:colLast="0" w:id="74"/>
      <w:bookmarkStart w:name="_heading=h.35nkun2" w:colFirst="0" w:colLast="0" w:id="75"/>
      <w:bookmarkStart w:name="_heading=h.fkso1hcnh0dw" w:colFirst="0" w:colLast="0" w:id="76"/>
      <w:bookmarkStart w:name="_heading=h.86o2l28wuxn1" w:colFirst="0" w:colLast="0" w:id="77"/>
      <w:bookmarkStart w:name="_heading=h.esc7bdpja292" w:colFirst="0" w:colLast="0" w:id="78"/>
      <w:bookmarkStart w:name="_heading=h.44sinio" w:colFirst="0" w:colLast="0" w:id="7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9F7561">
        <w:rPr>
          <w:lang w:val="en-GB"/>
        </w:rPr>
        <w:t xml:space="preserve">Referral pathways should be comprehensive and include services to all survivors regardless of their age, gender and diverse characteristics, including male survivors. However, </w:t>
      </w:r>
      <w:sdt>
        <w:sdtPr>
          <w:rPr>
            <w:lang w:val="en-GB"/>
          </w:rPr>
          <w:tag w:val="goog_rdk_74"/>
          <w:id w:val="1392386677"/>
        </w:sdtPr>
        <w:sdtEndPr/>
        <w:sdtContent/>
      </w:sdt>
      <w:r w:rsidRPr="009F7561">
        <w:rPr>
          <w:lang w:val="en-GB"/>
        </w:rPr>
        <w:t xml:space="preserve">there is a need </w:t>
      </w:r>
      <w:r w:rsidR="002D574D">
        <w:rPr>
          <w:lang w:val="en-GB"/>
        </w:rPr>
        <w:t xml:space="preserve">to maintain </w:t>
      </w:r>
      <w:r w:rsidRPr="009F7561">
        <w:rPr>
          <w:lang w:val="en-GB"/>
        </w:rPr>
        <w:t>female-only spaces and services to support women and girl survivors of GBV. Many services developed for women and girls will not be appropriate for male survivors. Further, providing support for male survivors through some GBV services will make them less safe and accessible for women and girls and could act as a deterrent for both female and male survivors in accessing care. Hence, it is important that services and referrals for male survivors are included in GBV referral pathways and detailed in standard operating procedures</w:t>
      </w:r>
      <w:r w:rsidR="00101D69">
        <w:rPr>
          <w:lang w:val="en-GB"/>
        </w:rPr>
        <w:t xml:space="preserve"> and</w:t>
      </w:r>
      <w:r w:rsidRPr="009F7561">
        <w:rPr>
          <w:lang w:val="en-GB"/>
        </w:rPr>
        <w:t xml:space="preserve"> </w:t>
      </w:r>
      <w:r w:rsidRPr="009F7561" w:rsidR="008D4EED">
        <w:rPr>
          <w:lang w:val="en-GB"/>
        </w:rPr>
        <w:t xml:space="preserve">that </w:t>
      </w:r>
      <w:r w:rsidRPr="009F7561">
        <w:rPr>
          <w:lang w:val="en-GB"/>
        </w:rPr>
        <w:t>information on this is shared with all relevant actors</w:t>
      </w:r>
      <w:r w:rsidRPr="009F7561" w:rsidR="000257AB">
        <w:rPr>
          <w:lang w:val="en-GB"/>
        </w:rPr>
        <w:t>.</w:t>
      </w:r>
      <w:r w:rsidRPr="009F7561" w:rsidR="00CE2830">
        <w:rPr>
          <w:vertAlign w:val="superscript"/>
          <w:lang w:val="en-GB"/>
        </w:rPr>
        <w:footnoteReference w:id="88"/>
      </w:r>
      <w:r w:rsidRPr="009F7561" w:rsidR="00CE2830">
        <w:rPr>
          <w:lang w:val="en-GB"/>
        </w:rPr>
        <w:t xml:space="preserve"> </w:t>
      </w:r>
    </w:p>
    <w:p w:rsidR="00B4245E" w:rsidP="00F40D07" w:rsidRDefault="00B4245E" w14:paraId="1066ED16" w14:textId="77777777">
      <w:pPr>
        <w:jc w:val="both"/>
        <w:rPr>
          <w:lang w:val="en-GB"/>
        </w:rPr>
      </w:pPr>
    </w:p>
    <w:p w:rsidRPr="00EB34DB" w:rsidR="00CE4BC6" w:rsidP="003166F7" w:rsidRDefault="00E94682" w14:paraId="7E28F906" w14:textId="31839AB5">
      <w:pPr>
        <w:pStyle w:val="Heading2"/>
      </w:pPr>
      <w:bookmarkStart w:name="_Toc142469134" w:id="80"/>
      <w:r w:rsidRPr="00EB34DB">
        <w:t>Risk analysis to promote safe implementation of GBV response programming</w:t>
      </w:r>
      <w:bookmarkEnd w:id="80"/>
    </w:p>
    <w:tbl>
      <w:tblPr>
        <w:tblStyle w:val="TableGrid"/>
        <w:tblW w:w="0" w:type="auto"/>
        <w:tblLook w:val="04A0" w:firstRow="1" w:lastRow="0" w:firstColumn="1" w:lastColumn="0" w:noHBand="0" w:noVBand="1"/>
      </w:tblPr>
      <w:tblGrid>
        <w:gridCol w:w="9350"/>
      </w:tblGrid>
      <w:tr w:rsidR="00010BF1" w:rsidTr="00AA5A83" w14:paraId="402A516F" w14:textId="77777777">
        <w:tc>
          <w:tcPr>
            <w:tcW w:w="9350" w:type="dxa"/>
          </w:tcPr>
          <w:p w:rsidRPr="009F7561" w:rsidR="00010BF1" w:rsidP="00AA5A83" w:rsidRDefault="00010BF1" w14:paraId="6DA59E87" w14:textId="77777777">
            <w:pPr>
              <w:spacing w:before="120" w:after="120" w:line="300" w:lineRule="atLeast"/>
              <w:jc w:val="both"/>
              <w:rPr>
                <w:b/>
                <w:lang w:val="en-GB"/>
              </w:rPr>
            </w:pPr>
            <w:r w:rsidRPr="009F7561">
              <w:rPr>
                <w:b/>
                <w:lang w:val="en-GB"/>
              </w:rPr>
              <w:t>Essential issues to consider</w:t>
            </w:r>
          </w:p>
          <w:p w:rsidRPr="00010BF1" w:rsidR="00010BF1" w:rsidP="00010BF1" w:rsidRDefault="00010BF1" w14:paraId="321529D9" w14:textId="77777777">
            <w:pPr>
              <w:spacing w:before="120" w:after="120" w:line="300" w:lineRule="atLeast"/>
              <w:jc w:val="both"/>
              <w:rPr>
                <w:lang w:val="en-GB"/>
              </w:rPr>
            </w:pPr>
            <w:r w:rsidRPr="00010BF1">
              <w:rPr>
                <w:lang w:val="en-GB"/>
              </w:rPr>
              <w:t xml:space="preserve">During the SOPs development process, the coordination leads and coordination partners should confirm that service providers have considered risks in the design and implementation of GBV response services. If there is no evidence that risks have been considered, it may be useful for the GBV coordination mechanism to undertake programmatic risk analysis as part of determining whether the service should be included in the SOPs referral pathway. The programmatic risk analysis can also assist GBV partners to understand potential safety and ethical issues in </w:t>
            </w:r>
          </w:p>
          <w:p w:rsidRPr="00010BF1" w:rsidR="00010BF1" w:rsidP="00010BF1" w:rsidRDefault="00010BF1" w14:paraId="70F32C71" w14:textId="77777777">
            <w:pPr>
              <w:spacing w:before="120" w:after="120" w:line="300" w:lineRule="atLeast"/>
              <w:jc w:val="both"/>
              <w:rPr>
                <w:lang w:val="en-GB"/>
              </w:rPr>
            </w:pPr>
            <w:r w:rsidRPr="00010BF1">
              <w:rPr>
                <w:lang w:val="en-GB"/>
              </w:rPr>
              <w:t xml:space="preserve">the wider community that must be collectively addressed to support survivor-centred care. </w:t>
            </w:r>
          </w:p>
          <w:p w:rsidRPr="00C6331F" w:rsidR="00010BF1" w:rsidP="00010BF1" w:rsidRDefault="00010BF1" w14:paraId="0822F554" w14:textId="3BFCD73F">
            <w:pPr>
              <w:spacing w:before="120" w:after="120" w:line="300" w:lineRule="atLeast"/>
              <w:jc w:val="both"/>
              <w:rPr>
                <w:lang w:val="en-GB"/>
              </w:rPr>
            </w:pPr>
            <w:r w:rsidRPr="00010BF1">
              <w:rPr>
                <w:lang w:val="en-GB"/>
              </w:rPr>
              <w:t>A programmatic risk assessment can also be a useful tool to “spot-check” safety issues in programming on a periodic basis.</w:t>
            </w:r>
          </w:p>
        </w:tc>
      </w:tr>
    </w:tbl>
    <w:p w:rsidRPr="009F7561" w:rsidR="00CE4BC6" w:rsidP="00B74EDA" w:rsidRDefault="00CE4BC6" w14:paraId="7E28F90B" w14:textId="26800317">
      <w:pPr>
        <w:spacing w:before="120" w:after="120" w:line="300" w:lineRule="atLeast"/>
        <w:jc w:val="both"/>
        <w:rPr>
          <w:lang w:val="en-GB"/>
        </w:rPr>
      </w:pPr>
      <w:r w:rsidRPr="009F7561">
        <w:rPr>
          <w:lang w:val="en-GB"/>
        </w:rPr>
        <w:t>All GBV-related services and interventions should be</w:t>
      </w:r>
      <w:r w:rsidR="005708C6">
        <w:rPr>
          <w:lang w:val="en-GB"/>
        </w:rPr>
        <w:t xml:space="preserve"> </w:t>
      </w:r>
      <w:r w:rsidRPr="009F7561">
        <w:rPr>
          <w:lang w:val="en-GB"/>
        </w:rPr>
        <w:t xml:space="preserve">based on </w:t>
      </w:r>
      <w:r w:rsidRPr="009F7561">
        <w:rPr>
          <w:i/>
          <w:lang w:val="en-GB"/>
        </w:rPr>
        <w:t xml:space="preserve">programmatic risk analysis, </w:t>
      </w:r>
      <w:r w:rsidRPr="009F7561">
        <w:rPr>
          <w:lang w:val="en-GB"/>
        </w:rPr>
        <w:t>which examines whether certain safety and ethical considerations are currently in place. While the primary focus of programmatic risk assessment</w:t>
      </w:r>
      <w:r w:rsidR="002D0723">
        <w:rPr>
          <w:lang w:val="en-GB"/>
        </w:rPr>
        <w:t xml:space="preserve"> </w:t>
      </w:r>
      <w:r w:rsidRPr="009F7561">
        <w:rPr>
          <w:lang w:val="en-GB"/>
        </w:rPr>
        <w:t>is survivor safety, it is also important to consider the safety of those delivering services. This includes understanding the risks of backlash and intimidation; targeting of staff at the workplace as well as to and from work; potential pressure from community and family to stop doing the work; and other contextual risk factors for GBV program</w:t>
      </w:r>
      <w:r w:rsidR="002D0723">
        <w:rPr>
          <w:lang w:val="en-GB"/>
        </w:rPr>
        <w:t>me</w:t>
      </w:r>
      <w:r w:rsidRPr="009F7561">
        <w:rPr>
          <w:lang w:val="en-GB"/>
        </w:rPr>
        <w:t xml:space="preserve"> staff and volunteers.</w:t>
      </w:r>
    </w:p>
    <w:p w:rsidR="00CE4BC6" w:rsidP="00B74EDA" w:rsidRDefault="00CE4BC6" w14:paraId="7E28F90C" w14:textId="0B326AEF">
      <w:pPr>
        <w:spacing w:before="120" w:after="120" w:line="300" w:lineRule="atLeast"/>
        <w:jc w:val="both"/>
        <w:rPr>
          <w:lang w:val="en-GB"/>
        </w:rPr>
      </w:pPr>
      <w:r w:rsidRPr="009F7561">
        <w:rPr>
          <w:lang w:val="en-GB"/>
        </w:rPr>
        <w:t>All existing or planned program</w:t>
      </w:r>
      <w:r w:rsidRPr="009F7561" w:rsidR="00D63975">
        <w:rPr>
          <w:lang w:val="en-GB"/>
        </w:rPr>
        <w:t>me</w:t>
      </w:r>
      <w:r w:rsidRPr="009F7561">
        <w:rPr>
          <w:lang w:val="en-GB"/>
        </w:rPr>
        <w:t>s should be</w:t>
      </w:r>
      <w:r w:rsidR="00403679">
        <w:rPr>
          <w:lang w:val="en-GB"/>
        </w:rPr>
        <w:t xml:space="preserve"> </w:t>
      </w:r>
      <w:r w:rsidRPr="009F7561">
        <w:rPr>
          <w:lang w:val="en-GB"/>
        </w:rPr>
        <w:t xml:space="preserve">assessed for the risk they may carry </w:t>
      </w:r>
      <w:r w:rsidRPr="009F7561" w:rsidR="00F35DB5">
        <w:rPr>
          <w:lang w:val="en-GB"/>
        </w:rPr>
        <w:t xml:space="preserve">for </w:t>
      </w:r>
      <w:r w:rsidRPr="009F7561">
        <w:rPr>
          <w:lang w:val="en-GB"/>
        </w:rPr>
        <w:t>women in terms of violence and intimidation</w:t>
      </w:r>
      <w:r w:rsidR="00101D69">
        <w:rPr>
          <w:lang w:val="en-GB"/>
        </w:rPr>
        <w:t xml:space="preserve"> and</w:t>
      </w:r>
      <w:r w:rsidRPr="009F7561">
        <w:rPr>
          <w:lang w:val="en-GB"/>
        </w:rPr>
        <w:t xml:space="preserve"> safety must be</w:t>
      </w:r>
      <w:r w:rsidR="00403679">
        <w:rPr>
          <w:lang w:val="en-GB"/>
        </w:rPr>
        <w:t xml:space="preserve"> </w:t>
      </w:r>
      <w:r w:rsidRPr="009F7561">
        <w:rPr>
          <w:lang w:val="en-GB"/>
        </w:rPr>
        <w:t>continuously monitored. Plans must be put in place to avert risk and respond to threats. It is important to conduct on-going monitoring for adverse outcomes, including through regular consultations with women, girls</w:t>
      </w:r>
      <w:r w:rsidRPr="009F7561" w:rsidR="008A1575">
        <w:rPr>
          <w:lang w:val="en-GB"/>
        </w:rPr>
        <w:t xml:space="preserve"> and </w:t>
      </w:r>
      <w:r w:rsidRPr="009F7561">
        <w:rPr>
          <w:lang w:val="en-GB"/>
        </w:rPr>
        <w:t>women</w:t>
      </w:r>
      <w:r w:rsidRPr="009F7561" w:rsidR="00315391">
        <w:rPr>
          <w:lang w:val="en-GB"/>
        </w:rPr>
        <w:t>’s</w:t>
      </w:r>
      <w:r w:rsidRPr="009F7561">
        <w:rPr>
          <w:lang w:val="en-GB"/>
        </w:rPr>
        <w:t xml:space="preserve"> groups to ensure any protection concerns are highlighted and addressed. The financial and human resources necessary to assess and respond to the risks of violence against women and girls must be </w:t>
      </w:r>
      <w:r w:rsidRPr="009F7561" w:rsidR="00C13482">
        <w:rPr>
          <w:lang w:val="en-GB"/>
        </w:rPr>
        <w:t xml:space="preserve">dedicated </w:t>
      </w:r>
      <w:r w:rsidRPr="009F7561" w:rsidR="00553ABA">
        <w:rPr>
          <w:lang w:val="en-GB"/>
        </w:rPr>
        <w:t>in</w:t>
      </w:r>
      <w:r w:rsidRPr="009F7561">
        <w:rPr>
          <w:lang w:val="en-GB"/>
        </w:rPr>
        <w:t xml:space="preserve"> </w:t>
      </w:r>
      <w:r w:rsidR="00464EB6">
        <w:rPr>
          <w:lang w:val="en-GB"/>
        </w:rPr>
        <w:t>programmes</w:t>
      </w:r>
      <w:r w:rsidRPr="009F7561">
        <w:rPr>
          <w:lang w:val="en-GB"/>
        </w:rPr>
        <w:t xml:space="preserve"> from the outset. See </w:t>
      </w:r>
      <w:r w:rsidRPr="009F7561" w:rsidR="00A80ED5">
        <w:rPr>
          <w:lang w:val="en-GB"/>
        </w:rPr>
        <w:t xml:space="preserve">Annex </w:t>
      </w:r>
      <w:r w:rsidRPr="009F7561" w:rsidR="00F17760">
        <w:rPr>
          <w:lang w:val="en-GB"/>
        </w:rPr>
        <w:t>6</w:t>
      </w:r>
      <w:r w:rsidRPr="009F7561">
        <w:rPr>
          <w:lang w:val="en-GB"/>
        </w:rPr>
        <w:t xml:space="preserve"> for a </w:t>
      </w:r>
      <w:r w:rsidRPr="009F7561" w:rsidR="005872A2">
        <w:rPr>
          <w:lang w:val="en-GB"/>
        </w:rPr>
        <w:t>risk analysis checklist</w:t>
      </w:r>
      <w:r w:rsidRPr="009F7561">
        <w:rPr>
          <w:lang w:val="en-GB"/>
        </w:rPr>
        <w:t>.</w:t>
      </w:r>
    </w:p>
    <w:p w:rsidRPr="009F66AD" w:rsidR="00CE4BC6" w:rsidP="003166F7" w:rsidRDefault="001C5268" w14:paraId="7E28F90D" w14:textId="274DB924">
      <w:pPr>
        <w:pStyle w:val="Heading2"/>
      </w:pPr>
      <w:bookmarkStart w:name="_Toc134906262" w:id="81"/>
      <w:bookmarkStart w:name="_Toc142469135" w:id="82"/>
      <w:r w:rsidRPr="009F66AD">
        <w:t>R</w:t>
      </w:r>
      <w:r w:rsidRPr="009F66AD" w:rsidR="00CE4BC6">
        <w:t>eferral system</w:t>
      </w:r>
      <w:bookmarkEnd w:id="81"/>
      <w:bookmarkEnd w:id="82"/>
    </w:p>
    <w:p w:rsidR="00A83AC8" w:rsidP="00A83AC8" w:rsidRDefault="00CE4BC6" w14:paraId="7F7069C3" w14:textId="77777777">
      <w:pPr>
        <w:spacing w:before="120" w:after="120" w:line="300" w:lineRule="atLeast"/>
        <w:jc w:val="both"/>
        <w:rPr>
          <w:lang w:val="en-GB"/>
        </w:rPr>
      </w:pPr>
      <w:r w:rsidRPr="009F7561">
        <w:rPr>
          <w:lang w:val="en-GB"/>
        </w:rPr>
        <w:t>This section describes how to support GBV survivor</w:t>
      </w:r>
      <w:r w:rsidR="00556DCE">
        <w:rPr>
          <w:lang w:val="en-GB"/>
        </w:rPr>
        <w:t>s</w:t>
      </w:r>
      <w:r w:rsidRPr="009F7561">
        <w:rPr>
          <w:lang w:val="en-GB"/>
        </w:rPr>
        <w:t xml:space="preserve"> after a GBV incident</w:t>
      </w:r>
      <w:r w:rsidRPr="009F7561" w:rsidR="006A77B8">
        <w:rPr>
          <w:lang w:val="en-GB"/>
        </w:rPr>
        <w:t xml:space="preserve"> is disclosed</w:t>
      </w:r>
      <w:r w:rsidRPr="009F7561">
        <w:rPr>
          <w:lang w:val="en-GB"/>
        </w:rPr>
        <w:t xml:space="preserve">. </w:t>
      </w:r>
      <w:bookmarkStart w:name="_Toc134906263" w:id="83"/>
    </w:p>
    <w:p w:rsidRPr="00A83AC8" w:rsidR="00CE4BC6" w:rsidP="00C22D9F" w:rsidRDefault="00CE4BC6" w14:paraId="7E28F90F" w14:textId="4ADCE0ED">
      <w:pPr>
        <w:pStyle w:val="Heading3"/>
      </w:pPr>
      <w:bookmarkStart w:name="_Toc142469136" w:id="84"/>
      <w:r w:rsidRPr="00A83AC8">
        <w:t>Disclosure</w:t>
      </w:r>
      <w:bookmarkEnd w:id="83"/>
      <w:bookmarkEnd w:id="84"/>
      <w:r w:rsidRPr="00A83AC8">
        <w:t xml:space="preserve"> </w:t>
      </w:r>
    </w:p>
    <w:p w:rsidRPr="009F7561" w:rsidR="00CE4BC6" w:rsidP="007D5339" w:rsidRDefault="00CE4BC6" w14:paraId="7E28F910" w14:textId="4A574F4B">
      <w:pPr>
        <w:pBdr>
          <w:top w:val="nil"/>
          <w:left w:val="nil"/>
          <w:bottom w:val="nil"/>
          <w:right w:val="nil"/>
          <w:between w:val="nil"/>
        </w:pBdr>
        <w:spacing w:before="120" w:after="120" w:line="300" w:lineRule="atLeast"/>
        <w:jc w:val="both"/>
        <w:rPr>
          <w:lang w:val="en-GB"/>
        </w:rPr>
      </w:pPr>
      <w:r w:rsidRPr="009F7561">
        <w:rPr>
          <w:lang w:val="en-GB"/>
        </w:rPr>
        <w:t>Disclosure refers to survivor</w:t>
      </w:r>
      <w:r w:rsidR="00556DCE">
        <w:rPr>
          <w:lang w:val="en-GB"/>
        </w:rPr>
        <w:t>s</w:t>
      </w:r>
      <w:r w:rsidRPr="009F7561">
        <w:rPr>
          <w:lang w:val="en-GB"/>
        </w:rPr>
        <w:t xml:space="preserve"> voluntarily sharing with someone that </w:t>
      </w:r>
      <w:r w:rsidR="00556DCE">
        <w:rPr>
          <w:lang w:val="en-GB"/>
        </w:rPr>
        <w:t xml:space="preserve">they have </w:t>
      </w:r>
      <w:r w:rsidRPr="009F7561">
        <w:rPr>
          <w:lang w:val="en-GB"/>
        </w:rPr>
        <w:t xml:space="preserve">experienced or </w:t>
      </w:r>
      <w:r w:rsidR="00556DCE">
        <w:rPr>
          <w:lang w:val="en-GB"/>
        </w:rPr>
        <w:t xml:space="preserve">are </w:t>
      </w:r>
      <w:r w:rsidRPr="009F7561">
        <w:rPr>
          <w:lang w:val="en-GB"/>
        </w:rPr>
        <w:t>experiencing GBV.</w:t>
      </w:r>
    </w:p>
    <w:p w:rsidRPr="009F7561" w:rsidR="00CE4BC6" w:rsidP="007D5339" w:rsidRDefault="0070760C" w14:paraId="7E28F912" w14:textId="1E87A164">
      <w:pPr>
        <w:spacing w:before="120" w:after="120" w:line="300" w:lineRule="atLeast"/>
        <w:jc w:val="both"/>
        <w:rPr>
          <w:lang w:val="en-GB"/>
        </w:rPr>
      </w:pPr>
      <w:r w:rsidRPr="009F7561">
        <w:rPr>
          <w:lang w:val="en-GB"/>
        </w:rPr>
        <w:t>S</w:t>
      </w:r>
      <w:r w:rsidRPr="009F7561" w:rsidR="00CE4BC6">
        <w:rPr>
          <w:lang w:val="en-GB"/>
        </w:rPr>
        <w:t>urvivor</w:t>
      </w:r>
      <w:r>
        <w:rPr>
          <w:lang w:val="en-GB"/>
        </w:rPr>
        <w:t>s</w:t>
      </w:r>
      <w:r w:rsidRPr="009F7561" w:rsidR="00CE4BC6">
        <w:rPr>
          <w:lang w:val="en-GB"/>
        </w:rPr>
        <w:t xml:space="preserve"> </w:t>
      </w:r>
      <w:r w:rsidRPr="009F7561">
        <w:rPr>
          <w:lang w:val="en-GB"/>
        </w:rPr>
        <w:t>ha</w:t>
      </w:r>
      <w:r>
        <w:rPr>
          <w:lang w:val="en-GB"/>
        </w:rPr>
        <w:t>ve</w:t>
      </w:r>
      <w:r w:rsidRPr="009F7561">
        <w:rPr>
          <w:lang w:val="en-GB"/>
        </w:rPr>
        <w:t xml:space="preserve"> </w:t>
      </w:r>
      <w:r w:rsidRPr="009F7561" w:rsidR="00CE4BC6">
        <w:rPr>
          <w:lang w:val="en-GB"/>
        </w:rPr>
        <w:t xml:space="preserve">the freedom and right to disclose a GBV incident to anyone. </w:t>
      </w:r>
      <w:r>
        <w:rPr>
          <w:lang w:val="en-GB"/>
        </w:rPr>
        <w:t xml:space="preserve">They </w:t>
      </w:r>
      <w:r w:rsidRPr="009F7561" w:rsidR="00CE4BC6">
        <w:rPr>
          <w:lang w:val="en-GB"/>
        </w:rPr>
        <w:t xml:space="preserve">may disclose </w:t>
      </w:r>
      <w:r>
        <w:rPr>
          <w:lang w:val="en-GB"/>
        </w:rPr>
        <w:t xml:space="preserve">their </w:t>
      </w:r>
      <w:r w:rsidRPr="009F7561" w:rsidR="00CE4BC6">
        <w:rPr>
          <w:lang w:val="en-GB"/>
        </w:rPr>
        <w:t>experience to a trusted family member or friend, seek help from a trusted individual or organ</w:t>
      </w:r>
      <w:r w:rsidRPr="009F7561" w:rsidR="002D1850">
        <w:rPr>
          <w:lang w:val="en-GB"/>
        </w:rPr>
        <w:t>iza</w:t>
      </w:r>
      <w:r w:rsidRPr="009F7561" w:rsidR="00CE4BC6">
        <w:rPr>
          <w:lang w:val="en-GB"/>
        </w:rPr>
        <w:t>tion in the community</w:t>
      </w:r>
      <w:r w:rsidRPr="009F7561" w:rsidR="00461384">
        <w:rPr>
          <w:lang w:val="en-GB"/>
        </w:rPr>
        <w:t xml:space="preserve"> or </w:t>
      </w:r>
      <w:r w:rsidRPr="009F7561" w:rsidR="00CE4BC6">
        <w:rPr>
          <w:lang w:val="en-GB"/>
        </w:rPr>
        <w:t xml:space="preserve">make an official report to a local, national or international humanitarian actor. </w:t>
      </w:r>
    </w:p>
    <w:p w:rsidRPr="009F7561" w:rsidR="00CE4BC6" w:rsidP="007D5339" w:rsidRDefault="00CE4BC6" w14:paraId="7E28F914" w14:textId="709C4D48">
      <w:pPr>
        <w:spacing w:before="120" w:after="120" w:line="300" w:lineRule="atLeast"/>
        <w:jc w:val="both"/>
        <w:rPr>
          <w:lang w:val="en-GB"/>
        </w:rPr>
      </w:pPr>
      <w:r w:rsidRPr="009F7561">
        <w:rPr>
          <w:lang w:val="en-GB"/>
        </w:rPr>
        <w:t>Anyone survivor</w:t>
      </w:r>
      <w:r w:rsidR="0070760C">
        <w:rPr>
          <w:lang w:val="en-GB"/>
        </w:rPr>
        <w:t>s</w:t>
      </w:r>
      <w:r w:rsidRPr="009F7561">
        <w:rPr>
          <w:lang w:val="en-GB"/>
        </w:rPr>
        <w:t xml:space="preserve"> tell about </w:t>
      </w:r>
      <w:r w:rsidR="0070760C">
        <w:rPr>
          <w:lang w:val="en-GB"/>
        </w:rPr>
        <w:t xml:space="preserve">their </w:t>
      </w:r>
      <w:r w:rsidRPr="009F7561">
        <w:rPr>
          <w:lang w:val="en-GB"/>
        </w:rPr>
        <w:t>experience has a responsibility to give honest and complete information about the response services available</w:t>
      </w:r>
      <w:r w:rsidRPr="009F7561" w:rsidR="008A1575">
        <w:rPr>
          <w:lang w:val="en-GB"/>
        </w:rPr>
        <w:t xml:space="preserve"> and </w:t>
      </w:r>
      <w:r w:rsidRPr="009F7561">
        <w:rPr>
          <w:lang w:val="en-GB"/>
        </w:rPr>
        <w:t xml:space="preserve">to accompany and support </w:t>
      </w:r>
      <w:r w:rsidR="0070760C">
        <w:rPr>
          <w:lang w:val="en-GB"/>
        </w:rPr>
        <w:t xml:space="preserve">them </w:t>
      </w:r>
      <w:r w:rsidRPr="009F7561">
        <w:rPr>
          <w:lang w:val="en-GB"/>
        </w:rPr>
        <w:t xml:space="preserve">based on </w:t>
      </w:r>
      <w:r w:rsidR="0070760C">
        <w:rPr>
          <w:lang w:val="en-GB"/>
        </w:rPr>
        <w:t xml:space="preserve">their </w:t>
      </w:r>
      <w:r w:rsidRPr="009F7561">
        <w:rPr>
          <w:lang w:val="en-GB"/>
        </w:rPr>
        <w:t xml:space="preserve">request. </w:t>
      </w:r>
    </w:p>
    <w:p w:rsidRPr="009F7561" w:rsidR="00CE4BC6" w:rsidP="007D5339" w:rsidRDefault="0070760C" w14:paraId="7E28F916" w14:textId="652F6B37">
      <w:pPr>
        <w:spacing w:before="120" w:after="120" w:line="300" w:lineRule="atLeast"/>
        <w:jc w:val="both"/>
        <w:rPr>
          <w:lang w:val="en-GB"/>
        </w:rPr>
      </w:pPr>
      <w:r w:rsidRPr="0070760C">
        <w:rPr>
          <w:lang w:val="en-GB"/>
        </w:rPr>
        <w:t>Survivor</w:t>
      </w:r>
      <w:r>
        <w:rPr>
          <w:lang w:val="en-GB"/>
        </w:rPr>
        <w:t>s’</w:t>
      </w:r>
      <w:r w:rsidRPr="0070760C">
        <w:rPr>
          <w:lang w:val="en-GB"/>
        </w:rPr>
        <w:t xml:space="preserve"> </w:t>
      </w:r>
      <w:r w:rsidRPr="009F7561" w:rsidR="00CE4BC6">
        <w:rPr>
          <w:lang w:val="en-GB"/>
        </w:rPr>
        <w:t xml:space="preserve">wishes must always be respected as to where or with whom to seek help. </w:t>
      </w:r>
      <w:r w:rsidR="0024784B">
        <w:rPr>
          <w:lang w:val="en-GB"/>
        </w:rPr>
        <w:t xml:space="preserve">They </w:t>
      </w:r>
      <w:r w:rsidRPr="009F7561" w:rsidR="00CE4BC6">
        <w:rPr>
          <w:lang w:val="en-GB"/>
        </w:rPr>
        <w:t>should not be urged into a particular course of action.</w:t>
      </w:r>
      <w:r w:rsidRPr="009F7561" w:rsidR="003C264D">
        <w:rPr>
          <w:lang w:val="en-GB"/>
        </w:rPr>
        <w:t xml:space="preserve"> </w:t>
      </w:r>
      <w:r w:rsidRPr="009F7561" w:rsidR="0024784B">
        <w:rPr>
          <w:lang w:val="en-GB"/>
        </w:rPr>
        <w:t>S</w:t>
      </w:r>
      <w:r w:rsidRPr="009F7561" w:rsidR="00CE4BC6">
        <w:rPr>
          <w:lang w:val="en-GB"/>
        </w:rPr>
        <w:t>urvivor</w:t>
      </w:r>
      <w:r w:rsidR="0024784B">
        <w:rPr>
          <w:lang w:val="en-GB"/>
        </w:rPr>
        <w:t>s</w:t>
      </w:r>
      <w:r w:rsidRPr="009F7561" w:rsidR="00CE4BC6">
        <w:rPr>
          <w:lang w:val="en-GB"/>
        </w:rPr>
        <w:t xml:space="preserve"> information </w:t>
      </w:r>
      <w:r w:rsidR="0024784B">
        <w:rPr>
          <w:lang w:val="en-GB"/>
        </w:rPr>
        <w:t xml:space="preserve">must </w:t>
      </w:r>
      <w:r w:rsidRPr="009F7561" w:rsidR="00CE4BC6">
        <w:rPr>
          <w:lang w:val="en-GB"/>
        </w:rPr>
        <w:t xml:space="preserve">be </w:t>
      </w:r>
      <w:r w:rsidR="0024784B">
        <w:rPr>
          <w:lang w:val="en-GB"/>
        </w:rPr>
        <w:t xml:space="preserve">kept confidential </w:t>
      </w:r>
      <w:r w:rsidRPr="009F7561" w:rsidR="00CE4BC6">
        <w:rPr>
          <w:lang w:val="en-GB"/>
        </w:rPr>
        <w:t>at all times and can only be shared with the consent of survivors and/or their caregivers and on a need-to-know basis.</w:t>
      </w:r>
    </w:p>
    <w:p w:rsidR="00CE4BC6" w:rsidP="007D5339" w:rsidRDefault="00CE4BC6" w14:paraId="7E28F918" w14:textId="35684545">
      <w:pPr>
        <w:spacing w:before="120" w:after="120" w:line="300" w:lineRule="atLeast"/>
        <w:jc w:val="both"/>
        <w:rPr>
          <w:lang w:val="en-GB"/>
        </w:rPr>
      </w:pPr>
      <w:r w:rsidRPr="009F7561">
        <w:rPr>
          <w:lang w:val="en-GB"/>
        </w:rPr>
        <w:t xml:space="preserve">Disclosure could be direct, </w:t>
      </w:r>
      <w:r w:rsidRPr="009F7561" w:rsidR="00C316C1">
        <w:rPr>
          <w:lang w:val="en-GB"/>
        </w:rPr>
        <w:t xml:space="preserve">when </w:t>
      </w:r>
      <w:r w:rsidRPr="009F7561">
        <w:rPr>
          <w:lang w:val="en-GB"/>
        </w:rPr>
        <w:t>survivor</w:t>
      </w:r>
      <w:r w:rsidR="000F5FE0">
        <w:rPr>
          <w:lang w:val="en-GB"/>
        </w:rPr>
        <w:t>s</w:t>
      </w:r>
      <w:r w:rsidRPr="009F7561">
        <w:rPr>
          <w:lang w:val="en-GB"/>
        </w:rPr>
        <w:t xml:space="preserve"> disclose </w:t>
      </w:r>
      <w:r w:rsidR="000F5FE0">
        <w:rPr>
          <w:lang w:val="en-GB"/>
        </w:rPr>
        <w:t xml:space="preserve">their </w:t>
      </w:r>
      <w:r w:rsidRPr="009F7561">
        <w:rPr>
          <w:lang w:val="en-GB"/>
        </w:rPr>
        <w:t xml:space="preserve">experience directly </w:t>
      </w:r>
      <w:r w:rsidRPr="009F7561" w:rsidR="00CD1A06">
        <w:rPr>
          <w:lang w:val="en-GB"/>
        </w:rPr>
        <w:t xml:space="preserve">– </w:t>
      </w:r>
      <w:r w:rsidRPr="009F7561">
        <w:rPr>
          <w:lang w:val="en-GB"/>
        </w:rPr>
        <w:t>and in these cases referral can be made with the survivor</w:t>
      </w:r>
      <w:r w:rsidR="000F5FE0">
        <w:rPr>
          <w:lang w:val="en-GB"/>
        </w:rPr>
        <w:t>’s</w:t>
      </w:r>
      <w:r w:rsidRPr="009F7561">
        <w:rPr>
          <w:lang w:val="en-GB"/>
        </w:rPr>
        <w:t xml:space="preserve"> consent</w:t>
      </w:r>
      <w:r w:rsidRPr="009F7561" w:rsidR="00461384">
        <w:rPr>
          <w:lang w:val="en-GB"/>
        </w:rPr>
        <w:t xml:space="preserve"> </w:t>
      </w:r>
      <w:r w:rsidRPr="009F7561" w:rsidR="00CD1A06">
        <w:rPr>
          <w:lang w:val="en-GB"/>
        </w:rPr>
        <w:t xml:space="preserve">– </w:t>
      </w:r>
      <w:r w:rsidRPr="009F7561" w:rsidR="00461384">
        <w:rPr>
          <w:lang w:val="en-GB"/>
        </w:rPr>
        <w:t xml:space="preserve">or </w:t>
      </w:r>
      <w:r w:rsidRPr="009F7561">
        <w:rPr>
          <w:lang w:val="en-GB"/>
        </w:rPr>
        <w:t>indirect, when someone else disclose</w:t>
      </w:r>
      <w:r w:rsidRPr="009F7561" w:rsidR="00CC34C7">
        <w:rPr>
          <w:lang w:val="en-GB"/>
        </w:rPr>
        <w:t>s</w:t>
      </w:r>
      <w:r w:rsidRPr="009F7561">
        <w:rPr>
          <w:lang w:val="en-GB"/>
        </w:rPr>
        <w:t xml:space="preserve"> experience of GBV </w:t>
      </w:r>
      <w:r w:rsidRPr="009F7561" w:rsidR="00CC34C7">
        <w:rPr>
          <w:lang w:val="en-GB"/>
        </w:rPr>
        <w:t xml:space="preserve">by </w:t>
      </w:r>
      <w:r w:rsidRPr="009F7561">
        <w:rPr>
          <w:lang w:val="en-GB"/>
        </w:rPr>
        <w:t>others, in which case the survivor cannot be refere</w:t>
      </w:r>
      <w:r w:rsidRPr="009F7561" w:rsidR="00CC34C7">
        <w:rPr>
          <w:lang w:val="en-GB"/>
        </w:rPr>
        <w:t>nce</w:t>
      </w:r>
      <w:r w:rsidRPr="009F7561">
        <w:rPr>
          <w:lang w:val="en-GB"/>
        </w:rPr>
        <w:t xml:space="preserve">d as the </w:t>
      </w:r>
      <w:r w:rsidRPr="009F7561" w:rsidR="00BF13B0">
        <w:rPr>
          <w:lang w:val="en-GB"/>
        </w:rPr>
        <w:t xml:space="preserve">survivor </w:t>
      </w:r>
      <w:r w:rsidRPr="009F7561">
        <w:rPr>
          <w:lang w:val="en-GB"/>
        </w:rPr>
        <w:t xml:space="preserve">is not present to consent. </w:t>
      </w:r>
    </w:p>
    <w:tbl>
      <w:tblPr>
        <w:tblStyle w:val="TableGrid"/>
        <w:tblW w:w="0" w:type="auto"/>
        <w:tblLook w:val="04A0" w:firstRow="1" w:lastRow="0" w:firstColumn="1" w:lastColumn="0" w:noHBand="0" w:noVBand="1"/>
      </w:tblPr>
      <w:tblGrid>
        <w:gridCol w:w="9350"/>
      </w:tblGrid>
      <w:tr w:rsidR="00FD4DC0" w:rsidTr="00FD4DC0" w14:paraId="71A3584C" w14:textId="77777777">
        <w:tc>
          <w:tcPr>
            <w:tcW w:w="9350" w:type="dxa"/>
          </w:tcPr>
          <w:p w:rsidRPr="00585205" w:rsidR="00FD4DC0" w:rsidP="00FD4DC0" w:rsidRDefault="00FD4DC0" w14:paraId="68B4C405" w14:textId="77777777">
            <w:pPr>
              <w:spacing w:before="120" w:after="120" w:line="300" w:lineRule="atLeast"/>
              <w:jc w:val="both"/>
              <w:rPr>
                <w:b/>
                <w:highlight w:val="white"/>
                <w:lang w:val="en-GB"/>
              </w:rPr>
            </w:pPr>
            <w:r w:rsidRPr="00585205">
              <w:rPr>
                <w:b/>
                <w:highlight w:val="white"/>
                <w:lang w:val="en-GB"/>
              </w:rPr>
              <w:t>Special considerations for children</w:t>
            </w:r>
          </w:p>
          <w:p w:rsidRPr="00585205" w:rsidR="00FD4DC0" w:rsidP="00FD4DC0" w:rsidRDefault="00FD4DC0" w14:paraId="5E3FCBBB" w14:textId="77777777">
            <w:pPr>
              <w:spacing w:before="120" w:after="120" w:line="300" w:lineRule="atLeast"/>
              <w:jc w:val="both"/>
              <w:rPr>
                <w:highlight w:val="white"/>
                <w:lang w:val="en-GB"/>
              </w:rPr>
            </w:pPr>
            <w:r w:rsidRPr="00585205">
              <w:rPr>
                <w:highlight w:val="white"/>
                <w:lang w:val="en-GB"/>
              </w:rPr>
              <w:t>All actors and stakeholders, including community members, should not attempt to actively identify survivors of GBV as this can lead to stigma and put survivors and staff/volunteers at risk.</w:t>
            </w:r>
          </w:p>
          <w:p w:rsidRPr="00585205" w:rsidR="00FD4DC0" w:rsidP="00FD4DC0" w:rsidRDefault="00FD4DC0" w14:paraId="1AC4C491" w14:textId="755D0D64">
            <w:pPr>
              <w:spacing w:before="120" w:after="120" w:line="300" w:lineRule="atLeast"/>
              <w:jc w:val="both"/>
              <w:rPr>
                <w:highlight w:val="white"/>
                <w:lang w:val="en-GB"/>
              </w:rPr>
            </w:pPr>
            <w:r w:rsidRPr="00585205">
              <w:rPr>
                <w:highlight w:val="white"/>
                <w:lang w:val="en-GB"/>
              </w:rPr>
              <w:t>However, in the case of young children, a more active identification approach is required. This approach should be discussed and agreed between GBV and child protection actors and align with child protection minimum standards.</w:t>
            </w:r>
          </w:p>
          <w:p w:rsidR="00FD4DC0" w:rsidP="007D5339" w:rsidRDefault="00FD4DC0" w14:paraId="1ED522C3" w14:textId="3A196A22">
            <w:pPr>
              <w:spacing w:before="120" w:after="120" w:line="300" w:lineRule="atLeast"/>
              <w:jc w:val="both"/>
              <w:rPr>
                <w:lang w:val="en-GB"/>
              </w:rPr>
            </w:pPr>
            <w:r w:rsidRPr="00585205">
              <w:rPr>
                <w:i/>
                <w:highlight w:val="white"/>
                <w:lang w:val="en-GB"/>
              </w:rPr>
              <w:t xml:space="preserve">See </w:t>
            </w:r>
            <w:r w:rsidRPr="00585205">
              <w:rPr>
                <w:i/>
                <w:lang w:val="en-GB"/>
              </w:rPr>
              <w:t>section 3.4.3.2 on child protection.</w:t>
            </w:r>
          </w:p>
        </w:tc>
      </w:tr>
    </w:tbl>
    <w:p w:rsidRPr="003F223F" w:rsidR="001D323A" w:rsidP="003F223F" w:rsidRDefault="00CE2830" w14:paraId="7E28F923" w14:textId="75222FEB">
      <w:pPr>
        <w:pStyle w:val="Heading4"/>
      </w:pPr>
      <w:bookmarkStart w:name="_Toc134906264" w:id="85"/>
      <w:r w:rsidRPr="003F223F">
        <w:t xml:space="preserve">Disclosure to </w:t>
      </w:r>
      <w:r w:rsidRPr="003F223F" w:rsidR="00B9797F">
        <w:t>n</w:t>
      </w:r>
      <w:r w:rsidRPr="003F223F">
        <w:t>on-</w:t>
      </w:r>
      <w:r w:rsidRPr="003F223F" w:rsidR="005E1813">
        <w:t xml:space="preserve">GBV </w:t>
      </w:r>
      <w:r w:rsidRPr="003F223F" w:rsidR="00B9797F">
        <w:t>special</w:t>
      </w:r>
      <w:r w:rsidRPr="003F223F" w:rsidR="005E1813">
        <w:t>ize</w:t>
      </w:r>
      <w:r w:rsidRPr="003F223F" w:rsidR="00B9797F">
        <w:t xml:space="preserve">d </w:t>
      </w:r>
      <w:r w:rsidRPr="003F223F" w:rsidR="00DD5DE2">
        <w:t>service providers</w:t>
      </w:r>
      <w:bookmarkEnd w:id="85"/>
    </w:p>
    <w:p w:rsidRPr="009F7561" w:rsidR="001D323A" w:rsidP="00E96F61" w:rsidRDefault="00CE2830" w14:paraId="7E28F924" w14:textId="0819FFD2">
      <w:pPr>
        <w:numPr>
          <w:ilvl w:val="0"/>
          <w:numId w:val="26"/>
        </w:numPr>
        <w:shd w:val="clear" w:color="auto" w:fill="FFFFFF"/>
        <w:spacing w:before="120" w:after="120" w:line="300" w:lineRule="atLeast"/>
        <w:ind w:left="360"/>
        <w:jc w:val="both"/>
        <w:rPr>
          <w:lang w:val="en-GB"/>
        </w:rPr>
      </w:pPr>
      <w:r w:rsidRPr="009F7561">
        <w:rPr>
          <w:lang w:val="en-GB"/>
        </w:rPr>
        <w:t>If a survivor discloses a GBV incident to a non-</w:t>
      </w:r>
      <w:r w:rsidRPr="009F7561" w:rsidR="005E1813">
        <w:rPr>
          <w:lang w:val="en-GB"/>
        </w:rPr>
        <w:t xml:space="preserve">GBV </w:t>
      </w:r>
      <w:r w:rsidRPr="009F7561">
        <w:rPr>
          <w:lang w:val="en-GB"/>
        </w:rPr>
        <w:t xml:space="preserve">specialized actor, </w:t>
      </w:r>
      <w:r w:rsidRPr="009F7561" w:rsidR="0097421E">
        <w:rPr>
          <w:lang w:val="en-GB"/>
        </w:rPr>
        <w:t xml:space="preserve">the actor </w:t>
      </w:r>
      <w:r w:rsidRPr="009F7561">
        <w:rPr>
          <w:lang w:val="en-GB"/>
        </w:rPr>
        <w:t>should refer the survivor safely and appropriately, based on a solid understanding of the referral system available services</w:t>
      </w:r>
      <w:r w:rsidRPr="009F7561" w:rsidR="008A1575">
        <w:rPr>
          <w:lang w:val="en-GB"/>
        </w:rPr>
        <w:t xml:space="preserve"> and </w:t>
      </w:r>
      <w:r w:rsidRPr="009F7561">
        <w:rPr>
          <w:lang w:val="en-GB"/>
        </w:rPr>
        <w:t>mandatory reporting policies.</w:t>
      </w:r>
    </w:p>
    <w:p w:rsidRPr="009F7561" w:rsidR="00CE4BC6" w:rsidP="00E96F61" w:rsidRDefault="00CE4BC6" w14:paraId="7E28F926" w14:textId="798B9F39">
      <w:pPr>
        <w:numPr>
          <w:ilvl w:val="0"/>
          <w:numId w:val="26"/>
        </w:numPr>
        <w:spacing w:before="120" w:after="120" w:line="300" w:lineRule="atLeast"/>
        <w:ind w:left="360"/>
        <w:jc w:val="both"/>
        <w:rPr>
          <w:lang w:val="en-GB"/>
        </w:rPr>
      </w:pPr>
      <w:r w:rsidRPr="009F7561">
        <w:rPr>
          <w:lang w:val="en-GB"/>
        </w:rPr>
        <w:t>Ensure frontline staff and volunteers are trained on (1) how to support a survivor safely and ethically in the event of a disclosure, including through psychological first aid</w:t>
      </w:r>
      <w:r w:rsidRPr="009F7561" w:rsidR="008350BC">
        <w:rPr>
          <w:lang w:val="en-GB"/>
        </w:rPr>
        <w:t xml:space="preserve"> </w:t>
      </w:r>
      <w:r w:rsidRPr="009F7561" w:rsidR="005C4203">
        <w:rPr>
          <w:lang w:val="en-GB"/>
        </w:rPr>
        <w:t>(PFA);</w:t>
      </w:r>
      <w:r w:rsidRPr="009F7561">
        <w:rPr>
          <w:vertAlign w:val="superscript"/>
          <w:lang w:val="en-GB"/>
        </w:rPr>
        <w:footnoteReference w:id="89"/>
      </w:r>
      <w:r w:rsidRPr="009F7561" w:rsidR="003C264D">
        <w:rPr>
          <w:lang w:val="en-GB"/>
        </w:rPr>
        <w:t xml:space="preserve"> </w:t>
      </w:r>
      <w:r w:rsidRPr="009F7561">
        <w:rPr>
          <w:lang w:val="en-GB"/>
        </w:rPr>
        <w:t xml:space="preserve">and (2) how to relay information on available GBV services, including remote modalities, such as hotlines, if necessary. </w:t>
      </w:r>
    </w:p>
    <w:p w:rsidRPr="009F7561" w:rsidR="00CE4BC6" w:rsidP="00E96F61" w:rsidRDefault="00CE4BC6" w14:paraId="7E28F928" w14:textId="3E4762E6">
      <w:pPr>
        <w:numPr>
          <w:ilvl w:val="0"/>
          <w:numId w:val="26"/>
        </w:numPr>
        <w:spacing w:before="120" w:after="120" w:line="300" w:lineRule="atLeast"/>
        <w:ind w:left="360"/>
        <w:jc w:val="both"/>
        <w:rPr>
          <w:lang w:val="en-GB"/>
        </w:rPr>
      </w:pPr>
      <w:r w:rsidRPr="009F7561">
        <w:rPr>
          <w:lang w:val="en-GB"/>
        </w:rPr>
        <w:t>Non-special</w:t>
      </w:r>
      <w:r w:rsidRPr="009F7561" w:rsidR="005E1813">
        <w:rPr>
          <w:lang w:val="en-GB"/>
        </w:rPr>
        <w:t>ize</w:t>
      </w:r>
      <w:r w:rsidRPr="009F7561">
        <w:rPr>
          <w:lang w:val="en-GB"/>
        </w:rPr>
        <w:t xml:space="preserve">d actors should ask </w:t>
      </w:r>
      <w:r w:rsidRPr="009F7561" w:rsidR="003D4A55">
        <w:rPr>
          <w:lang w:val="en-GB"/>
        </w:rPr>
        <w:t xml:space="preserve">for </w:t>
      </w:r>
      <w:r w:rsidRPr="009F7561">
        <w:rPr>
          <w:lang w:val="en-GB"/>
        </w:rPr>
        <w:t>the survivor</w:t>
      </w:r>
      <w:r w:rsidRPr="009F7561" w:rsidR="00315391">
        <w:rPr>
          <w:lang w:val="en-GB"/>
        </w:rPr>
        <w:t>’s</w:t>
      </w:r>
      <w:r w:rsidRPr="009F7561">
        <w:rPr>
          <w:lang w:val="en-GB"/>
        </w:rPr>
        <w:t xml:space="preserve"> informed consent</w:t>
      </w:r>
      <w:r w:rsidRPr="009F7561">
        <w:rPr>
          <w:vertAlign w:val="superscript"/>
          <w:lang w:val="en-GB"/>
        </w:rPr>
        <w:footnoteReference w:id="90"/>
      </w:r>
      <w:r w:rsidRPr="009F7561">
        <w:rPr>
          <w:lang w:val="en-GB"/>
        </w:rPr>
        <w:t xml:space="preserve"> to contact a primary focal point on the GBV referral pathway and facilitate contact between service provider and survivor. </w:t>
      </w:r>
    </w:p>
    <w:p w:rsidRPr="00585205" w:rsidR="00CE4BC6" w:rsidP="00E96F61" w:rsidRDefault="00CE4BC6" w14:paraId="7E28F92A" w14:textId="7C68546D">
      <w:pPr>
        <w:numPr>
          <w:ilvl w:val="0"/>
          <w:numId w:val="26"/>
        </w:numPr>
        <w:spacing w:before="120" w:after="120" w:line="300" w:lineRule="atLeast"/>
        <w:ind w:left="360"/>
        <w:jc w:val="both"/>
        <w:rPr>
          <w:u w:val="single"/>
          <w:lang w:val="en-GB"/>
        </w:rPr>
      </w:pPr>
      <w:r w:rsidRPr="009F7561">
        <w:rPr>
          <w:lang w:val="en-GB"/>
        </w:rPr>
        <w:t>For cases involving child survivors, non-special</w:t>
      </w:r>
      <w:r w:rsidRPr="009F7561" w:rsidR="005E1813">
        <w:rPr>
          <w:lang w:val="en-GB"/>
        </w:rPr>
        <w:t>ize</w:t>
      </w:r>
      <w:r w:rsidRPr="009F7561">
        <w:rPr>
          <w:lang w:val="en-GB"/>
        </w:rPr>
        <w:t>d actors should take into consideration informed assent/consent from child survivors (depending on their age and level of maturity)</w:t>
      </w:r>
      <w:r w:rsidRPr="009F7561" w:rsidR="008A1575">
        <w:rPr>
          <w:lang w:val="en-GB"/>
        </w:rPr>
        <w:t xml:space="preserve"> and </w:t>
      </w:r>
      <w:r w:rsidRPr="009F7561">
        <w:rPr>
          <w:lang w:val="en-GB"/>
        </w:rPr>
        <w:t>the informed consent of caregivers (where relevant and not against the child</w:t>
      </w:r>
      <w:r w:rsidRPr="009F7561" w:rsidR="00315391">
        <w:rPr>
          <w:lang w:val="en-GB"/>
        </w:rPr>
        <w:t>‘s</w:t>
      </w:r>
      <w:r w:rsidRPr="009F7561">
        <w:rPr>
          <w:lang w:val="en-GB"/>
        </w:rPr>
        <w:t xml:space="preserve"> best interest).</w:t>
      </w:r>
      <w:r w:rsidRPr="009F7561" w:rsidR="003C264D">
        <w:rPr>
          <w:lang w:val="en-GB"/>
        </w:rPr>
        <w:t xml:space="preserve"> </w:t>
      </w:r>
    </w:p>
    <w:p w:rsidRPr="0030083C" w:rsidR="00CE4BC6" w:rsidP="00C22D9F" w:rsidRDefault="00CE4BC6" w14:paraId="7E28F92B" w14:textId="6CE48BDC">
      <w:pPr>
        <w:pStyle w:val="Heading3"/>
      </w:pPr>
      <w:bookmarkStart w:name="_Toc134906265" w:id="86"/>
      <w:bookmarkStart w:name="_Toc142469137" w:id="87"/>
      <w:r w:rsidRPr="00B0297F">
        <w:t xml:space="preserve">Informed </w:t>
      </w:r>
      <w:r w:rsidRPr="00B0297F" w:rsidR="001F751B">
        <w:t xml:space="preserve">consent </w:t>
      </w:r>
      <w:r w:rsidRPr="00B0297F" w:rsidR="00FF4CD3">
        <w:t xml:space="preserve">and </w:t>
      </w:r>
      <w:r w:rsidRPr="00B0297F" w:rsidR="001F751B">
        <w:t>assent</w:t>
      </w:r>
      <w:bookmarkEnd w:id="86"/>
      <w:r w:rsidR="007F7C0F">
        <w:rPr>
          <w:rStyle w:val="FootnoteReference"/>
        </w:rPr>
        <w:footnoteReference w:id="91"/>
      </w:r>
      <w:bookmarkEnd w:id="87"/>
    </w:p>
    <w:p w:rsidRPr="009F7561" w:rsidR="00CE4BC6" w:rsidP="00C3091D" w:rsidRDefault="00CE4BC6" w14:paraId="7E28F92D" w14:textId="0DED3F3B">
      <w:pPr>
        <w:spacing w:before="120" w:after="120" w:line="300" w:lineRule="atLeast"/>
        <w:jc w:val="both"/>
        <w:rPr>
          <w:lang w:val="en-GB"/>
        </w:rPr>
      </w:pPr>
      <w:r w:rsidRPr="009F7561">
        <w:rPr>
          <w:b/>
          <w:lang w:val="en-GB"/>
        </w:rPr>
        <w:t>Informed consent</w:t>
      </w:r>
      <w:r w:rsidRPr="009F7561">
        <w:rPr>
          <w:lang w:val="en-GB"/>
        </w:rPr>
        <w:t xml:space="preserve"> is the voluntary agreement of an individual who has the legal capacity to give consent (age 18+). Consent should be obtained before a disclosure is made, if possible. Consent </w:t>
      </w:r>
      <w:r w:rsidR="00403679">
        <w:rPr>
          <w:lang w:val="en-GB"/>
        </w:rPr>
        <w:t>is</w:t>
      </w:r>
      <w:r w:rsidRPr="009F7561">
        <w:rPr>
          <w:lang w:val="en-GB"/>
        </w:rPr>
        <w:t xml:space="preserve"> obtained again for every new action or referral. Consent to one action or referral by a service provider does not constitute consent for any other actions. Survivors have the right to revoke consent at any time. Consent should be written if possible; if it is not possible, survivors can give verbal consent, which is recorded by the service provider.</w:t>
      </w:r>
    </w:p>
    <w:p w:rsidRPr="009F7561" w:rsidR="00CE4BC6" w:rsidP="00C3091D" w:rsidRDefault="00F60D78" w14:paraId="7E28F92F" w14:textId="12689E7B">
      <w:pPr>
        <w:spacing w:before="120" w:after="120" w:line="300" w:lineRule="atLeast"/>
        <w:jc w:val="both"/>
        <w:rPr>
          <w:lang w:val="en-GB"/>
        </w:rPr>
      </w:pPr>
      <w:r w:rsidRPr="009F7561">
        <w:rPr>
          <w:lang w:val="en-GB"/>
        </w:rPr>
        <w:t>S</w:t>
      </w:r>
      <w:r w:rsidRPr="009F7561" w:rsidR="00CE4BC6">
        <w:rPr>
          <w:lang w:val="en-GB"/>
        </w:rPr>
        <w:t>urvivor</w:t>
      </w:r>
      <w:r>
        <w:rPr>
          <w:lang w:val="en-GB"/>
        </w:rPr>
        <w:t>s</w:t>
      </w:r>
      <w:r w:rsidRPr="009F7561" w:rsidR="00CE4BC6">
        <w:rPr>
          <w:lang w:val="en-GB"/>
        </w:rPr>
        <w:t xml:space="preserve"> should be given honest and complete information about possible referrals for services. If survivor</w:t>
      </w:r>
      <w:r>
        <w:rPr>
          <w:lang w:val="en-GB"/>
        </w:rPr>
        <w:t>s</w:t>
      </w:r>
      <w:r w:rsidRPr="009F7561" w:rsidR="00CE4BC6">
        <w:rPr>
          <w:lang w:val="en-GB"/>
        </w:rPr>
        <w:t xml:space="preserve"> agree and request referrals, </w:t>
      </w:r>
      <w:r>
        <w:rPr>
          <w:lang w:val="en-GB"/>
        </w:rPr>
        <w:t xml:space="preserve">they </w:t>
      </w:r>
      <w:r w:rsidRPr="009F7561" w:rsidR="00CE4BC6">
        <w:rPr>
          <w:lang w:val="en-GB"/>
        </w:rPr>
        <w:t xml:space="preserve">must give </w:t>
      </w:r>
      <w:r>
        <w:rPr>
          <w:lang w:val="en-GB"/>
        </w:rPr>
        <w:t xml:space="preserve">their </w:t>
      </w:r>
      <w:r w:rsidRPr="009F7561" w:rsidR="00CE4BC6">
        <w:rPr>
          <w:lang w:val="en-GB"/>
        </w:rPr>
        <w:t xml:space="preserve">informed consent </w:t>
      </w:r>
      <w:r w:rsidRPr="00585205" w:rsidR="00CE4BC6">
        <w:rPr>
          <w:spacing w:val="-2"/>
          <w:lang w:val="en-GB"/>
        </w:rPr>
        <w:t xml:space="preserve">before any information is shared with others. </w:t>
      </w:r>
      <w:r>
        <w:rPr>
          <w:spacing w:val="-2"/>
          <w:lang w:val="en-GB"/>
        </w:rPr>
        <w:t xml:space="preserve">They </w:t>
      </w:r>
      <w:r w:rsidR="00403679">
        <w:rPr>
          <w:spacing w:val="-2"/>
          <w:lang w:val="en-GB"/>
        </w:rPr>
        <w:t>are</w:t>
      </w:r>
      <w:r w:rsidRPr="00585205" w:rsidR="00CE4BC6">
        <w:rPr>
          <w:spacing w:val="-2"/>
          <w:lang w:val="en-GB"/>
        </w:rPr>
        <w:t xml:space="preserve"> made aware of any risks or implications</w:t>
      </w:r>
      <w:r w:rsidRPr="009F7561" w:rsidR="00CE4BC6">
        <w:rPr>
          <w:lang w:val="en-GB"/>
        </w:rPr>
        <w:t xml:space="preserve"> of sharing information about </w:t>
      </w:r>
      <w:r>
        <w:rPr>
          <w:lang w:val="en-GB"/>
        </w:rPr>
        <w:t xml:space="preserve">their </w:t>
      </w:r>
      <w:r w:rsidRPr="009F7561" w:rsidR="00CE4BC6">
        <w:rPr>
          <w:lang w:val="en-GB"/>
        </w:rPr>
        <w:t xml:space="preserve">situation. </w:t>
      </w:r>
      <w:r>
        <w:rPr>
          <w:lang w:val="en-GB"/>
        </w:rPr>
        <w:t xml:space="preserve">They have </w:t>
      </w:r>
      <w:r w:rsidRPr="009F7561" w:rsidR="00CE4BC6">
        <w:rPr>
          <w:lang w:val="en-GB"/>
        </w:rPr>
        <w:t>the right to place limitations on the type(s) of information to be shared</w:t>
      </w:r>
      <w:r w:rsidRPr="009F7561" w:rsidR="008A1575">
        <w:rPr>
          <w:lang w:val="en-GB"/>
        </w:rPr>
        <w:t xml:space="preserve"> and </w:t>
      </w:r>
      <w:r w:rsidRPr="009F7561" w:rsidR="00CE4BC6">
        <w:rPr>
          <w:lang w:val="en-GB"/>
        </w:rPr>
        <w:t>to specify which organ</w:t>
      </w:r>
      <w:r w:rsidRPr="009F7561" w:rsidR="002D1850">
        <w:rPr>
          <w:lang w:val="en-GB"/>
        </w:rPr>
        <w:t>iza</w:t>
      </w:r>
      <w:r w:rsidRPr="009F7561" w:rsidR="00CE4BC6">
        <w:rPr>
          <w:lang w:val="en-GB"/>
        </w:rPr>
        <w:t xml:space="preserve">tions can and cannot be given the information. </w:t>
      </w:r>
      <w:r w:rsidRPr="009F7561" w:rsidR="00380223">
        <w:rPr>
          <w:lang w:val="en-GB"/>
        </w:rPr>
        <w:t>S</w:t>
      </w:r>
      <w:r w:rsidRPr="009F7561" w:rsidR="00CE4BC6">
        <w:rPr>
          <w:lang w:val="en-GB"/>
        </w:rPr>
        <w:t>urvivor</w:t>
      </w:r>
      <w:r w:rsidR="00380223">
        <w:rPr>
          <w:lang w:val="en-GB"/>
        </w:rPr>
        <w:t>s</w:t>
      </w:r>
      <w:r w:rsidRPr="009F7561" w:rsidR="00CE4BC6">
        <w:rPr>
          <w:lang w:val="en-GB"/>
        </w:rPr>
        <w:t xml:space="preserve"> must also understand and consent to the sharing of non-identifying data about </w:t>
      </w:r>
      <w:r w:rsidR="00380223">
        <w:rPr>
          <w:lang w:val="en-GB"/>
        </w:rPr>
        <w:t xml:space="preserve">their </w:t>
      </w:r>
      <w:r w:rsidRPr="009F7561" w:rsidR="00CE4BC6">
        <w:rPr>
          <w:lang w:val="en-GB"/>
        </w:rPr>
        <w:t xml:space="preserve">case for data collection purposes (see </w:t>
      </w:r>
      <w:r w:rsidRPr="009F7561" w:rsidR="00CB5A06">
        <w:rPr>
          <w:lang w:val="en-GB"/>
        </w:rPr>
        <w:t>section</w:t>
      </w:r>
      <w:r w:rsidRPr="009F7561" w:rsidR="00CE4BC6">
        <w:rPr>
          <w:lang w:val="en-GB"/>
        </w:rPr>
        <w:t xml:space="preserve"> 9.1 on information management). </w:t>
      </w:r>
    </w:p>
    <w:p w:rsidRPr="009F7561" w:rsidR="00CE4BC6" w:rsidP="00C3091D" w:rsidRDefault="00CE4BC6" w14:paraId="7E28F931" w14:textId="5F137B70">
      <w:pPr>
        <w:spacing w:before="120" w:after="120" w:line="300" w:lineRule="atLeast"/>
        <w:jc w:val="both"/>
        <w:rPr>
          <w:lang w:val="en-GB"/>
        </w:rPr>
      </w:pPr>
      <w:r w:rsidRPr="009F7561">
        <w:rPr>
          <w:lang w:val="en-GB"/>
        </w:rPr>
        <w:t>To provide informed consent, individual</w:t>
      </w:r>
      <w:r w:rsidR="00380223">
        <w:rPr>
          <w:lang w:val="en-GB"/>
        </w:rPr>
        <w:t>s</w:t>
      </w:r>
      <w:r w:rsidRPr="009F7561">
        <w:rPr>
          <w:lang w:val="en-GB"/>
        </w:rPr>
        <w:t xml:space="preserve"> must have the capacity and maturity to understand the services being offered, be legally able to give their consent</w:t>
      </w:r>
      <w:r w:rsidRPr="009F7561" w:rsidR="008A1575">
        <w:rPr>
          <w:lang w:val="en-GB"/>
        </w:rPr>
        <w:t xml:space="preserve"> and </w:t>
      </w:r>
      <w:r w:rsidRPr="009F7561">
        <w:rPr>
          <w:lang w:val="en-GB"/>
        </w:rPr>
        <w:t>have the relevant information to understand the implications of the decision they make.</w:t>
      </w:r>
    </w:p>
    <w:p w:rsidRPr="009F7561" w:rsidR="00CE4BC6" w:rsidP="00C3091D" w:rsidRDefault="00CE4BC6" w14:paraId="7E28F933" w14:textId="77777777">
      <w:pPr>
        <w:spacing w:before="120" w:after="120" w:line="300" w:lineRule="atLeast"/>
        <w:jc w:val="both"/>
        <w:rPr>
          <w:lang w:val="en-GB"/>
        </w:rPr>
      </w:pPr>
      <w:r w:rsidRPr="009F7561">
        <w:rPr>
          <w:lang w:val="en-GB"/>
        </w:rPr>
        <w:t>To ensure consent is “informed”, service providers must:</w:t>
      </w:r>
    </w:p>
    <w:p w:rsidRPr="009F7561" w:rsidR="00CE4BC6" w:rsidP="00E96F61" w:rsidRDefault="00CE4BC6" w14:paraId="7E28F935" w14:textId="0AD62310">
      <w:pPr>
        <w:numPr>
          <w:ilvl w:val="0"/>
          <w:numId w:val="28"/>
        </w:numPr>
        <w:pBdr>
          <w:top w:val="nil"/>
          <w:left w:val="nil"/>
          <w:bottom w:val="nil"/>
          <w:right w:val="nil"/>
          <w:between w:val="nil"/>
        </w:pBdr>
        <w:spacing w:before="120" w:after="120" w:line="240" w:lineRule="auto"/>
        <w:jc w:val="both"/>
        <w:rPr>
          <w:lang w:val="en-GB"/>
        </w:rPr>
      </w:pPr>
      <w:r w:rsidRPr="00585205">
        <w:rPr>
          <w:lang w:val="en-GB"/>
        </w:rPr>
        <w:t>Provide all possible information and options available to the person</w:t>
      </w:r>
      <w:r w:rsidR="00C3091D">
        <w:rPr>
          <w:lang w:val="en-GB"/>
        </w:rPr>
        <w:t>.</w:t>
      </w:r>
    </w:p>
    <w:p w:rsidRPr="009F7561" w:rsidR="00CE4BC6" w:rsidP="00E96F61" w:rsidRDefault="00CE4BC6" w14:paraId="7E28F937" w14:textId="65CC46D6">
      <w:pPr>
        <w:numPr>
          <w:ilvl w:val="0"/>
          <w:numId w:val="28"/>
        </w:numPr>
        <w:pBdr>
          <w:top w:val="nil"/>
          <w:left w:val="nil"/>
          <w:bottom w:val="nil"/>
          <w:right w:val="nil"/>
          <w:between w:val="nil"/>
        </w:pBdr>
        <w:spacing w:before="120" w:after="120" w:line="240" w:lineRule="auto"/>
        <w:jc w:val="both"/>
        <w:rPr>
          <w:lang w:val="en-GB"/>
        </w:rPr>
      </w:pPr>
      <w:r w:rsidRPr="00585205">
        <w:rPr>
          <w:lang w:val="en-GB"/>
        </w:rPr>
        <w:t>Inform the person that the service provider may need to share the survivor</w:t>
      </w:r>
      <w:r w:rsidRPr="00585205" w:rsidR="00315391">
        <w:rPr>
          <w:lang w:val="en-GB"/>
        </w:rPr>
        <w:t>’s</w:t>
      </w:r>
      <w:r w:rsidRPr="00585205">
        <w:rPr>
          <w:lang w:val="en-GB"/>
        </w:rPr>
        <w:t xml:space="preserve"> information with others who can provide additional services</w:t>
      </w:r>
      <w:r w:rsidR="00C3091D">
        <w:rPr>
          <w:lang w:val="en-GB"/>
        </w:rPr>
        <w:t>.</w:t>
      </w:r>
    </w:p>
    <w:p w:rsidRPr="009F7561" w:rsidR="00CE4BC6" w:rsidP="00E96F61" w:rsidRDefault="00CE4BC6" w14:paraId="7E28F939" w14:textId="1DF708D4">
      <w:pPr>
        <w:numPr>
          <w:ilvl w:val="0"/>
          <w:numId w:val="28"/>
        </w:numPr>
        <w:pBdr>
          <w:top w:val="nil"/>
          <w:left w:val="nil"/>
          <w:bottom w:val="nil"/>
          <w:right w:val="nil"/>
          <w:between w:val="nil"/>
        </w:pBdr>
        <w:spacing w:before="120" w:after="120" w:line="240" w:lineRule="auto"/>
        <w:jc w:val="both"/>
        <w:rPr>
          <w:lang w:val="en-GB"/>
        </w:rPr>
      </w:pPr>
      <w:r w:rsidRPr="00585205">
        <w:rPr>
          <w:lang w:val="en-GB"/>
        </w:rPr>
        <w:t>Explain to the survivor what will happen as part of service provision</w:t>
      </w:r>
      <w:r w:rsidR="00C3091D">
        <w:rPr>
          <w:lang w:val="en-GB"/>
        </w:rPr>
        <w:t>.</w:t>
      </w:r>
    </w:p>
    <w:p w:rsidRPr="009F7561" w:rsidR="00CE4BC6" w:rsidP="00E96F61" w:rsidRDefault="00CE4BC6" w14:paraId="7E28F93B" w14:textId="7447EFB1">
      <w:pPr>
        <w:numPr>
          <w:ilvl w:val="0"/>
          <w:numId w:val="28"/>
        </w:numPr>
        <w:pBdr>
          <w:top w:val="nil"/>
          <w:left w:val="nil"/>
          <w:bottom w:val="nil"/>
          <w:right w:val="nil"/>
          <w:between w:val="nil"/>
        </w:pBdr>
        <w:spacing w:before="120" w:after="120" w:line="240" w:lineRule="auto"/>
        <w:jc w:val="both"/>
        <w:rPr>
          <w:lang w:val="en-GB"/>
        </w:rPr>
      </w:pPr>
      <w:r w:rsidRPr="00585205">
        <w:rPr>
          <w:lang w:val="en-GB"/>
        </w:rPr>
        <w:t>Explain the benefits and risks of services to the survivor</w:t>
      </w:r>
      <w:r w:rsidR="00C3091D">
        <w:rPr>
          <w:lang w:val="en-GB"/>
        </w:rPr>
        <w:t>.</w:t>
      </w:r>
    </w:p>
    <w:p w:rsidRPr="009F7561" w:rsidR="00CE4BC6" w:rsidP="00E96F61" w:rsidRDefault="00CE4BC6" w14:paraId="7E28F93D" w14:textId="0E92A418">
      <w:pPr>
        <w:numPr>
          <w:ilvl w:val="0"/>
          <w:numId w:val="28"/>
        </w:numPr>
        <w:pBdr>
          <w:top w:val="nil"/>
          <w:left w:val="nil"/>
          <w:bottom w:val="nil"/>
          <w:right w:val="nil"/>
          <w:between w:val="nil"/>
        </w:pBdr>
        <w:spacing w:before="120" w:after="120" w:line="240" w:lineRule="auto"/>
        <w:jc w:val="both"/>
        <w:rPr>
          <w:lang w:val="en-GB"/>
        </w:rPr>
      </w:pPr>
      <w:r w:rsidRPr="00585205">
        <w:rPr>
          <w:lang w:val="en-GB"/>
        </w:rPr>
        <w:t>Explain to survivor</w:t>
      </w:r>
      <w:r w:rsidR="00380223">
        <w:rPr>
          <w:lang w:val="en-GB"/>
        </w:rPr>
        <w:t>s</w:t>
      </w:r>
      <w:r w:rsidRPr="00585205">
        <w:rPr>
          <w:lang w:val="en-GB"/>
        </w:rPr>
        <w:t xml:space="preserve"> that </w:t>
      </w:r>
      <w:r w:rsidR="00380223">
        <w:rPr>
          <w:lang w:val="en-GB"/>
        </w:rPr>
        <w:t xml:space="preserve">they have </w:t>
      </w:r>
      <w:r w:rsidRPr="00585205">
        <w:rPr>
          <w:lang w:val="en-GB"/>
        </w:rPr>
        <w:t>the right to decline or refuse any part of services</w:t>
      </w:r>
      <w:r w:rsidR="00C3091D">
        <w:rPr>
          <w:lang w:val="en-GB"/>
        </w:rPr>
        <w:t>.</w:t>
      </w:r>
    </w:p>
    <w:p w:rsidRPr="009F7561" w:rsidR="00CE4BC6" w:rsidP="00E96F61" w:rsidRDefault="00CE4BC6" w14:paraId="7E28F93F" w14:textId="6D6A39B8">
      <w:pPr>
        <w:numPr>
          <w:ilvl w:val="0"/>
          <w:numId w:val="28"/>
        </w:numPr>
        <w:pBdr>
          <w:top w:val="nil"/>
          <w:left w:val="nil"/>
          <w:bottom w:val="nil"/>
          <w:right w:val="nil"/>
          <w:between w:val="nil"/>
        </w:pBdr>
        <w:spacing w:before="120" w:after="120" w:line="240" w:lineRule="auto"/>
        <w:jc w:val="both"/>
        <w:rPr>
          <w:lang w:val="en-GB"/>
        </w:rPr>
      </w:pPr>
      <w:r w:rsidRPr="00585205">
        <w:rPr>
          <w:lang w:val="en-GB"/>
        </w:rPr>
        <w:t xml:space="preserve">Explain limits to confidentiality (e.g. mandatory reporting; see </w:t>
      </w:r>
      <w:r w:rsidRPr="00585205" w:rsidR="00CB5A06">
        <w:rPr>
          <w:lang w:val="en-GB"/>
        </w:rPr>
        <w:t>section</w:t>
      </w:r>
      <w:r w:rsidRPr="00585205">
        <w:rPr>
          <w:lang w:val="en-GB"/>
        </w:rPr>
        <w:t xml:space="preserve"> 3.3.3</w:t>
      </w:r>
      <w:r w:rsidRPr="00585205" w:rsidR="00195384">
        <w:rPr>
          <w:lang w:val="en-GB"/>
        </w:rPr>
        <w:t>)</w:t>
      </w:r>
      <w:r w:rsidR="00C3091D">
        <w:rPr>
          <w:lang w:val="en-GB"/>
        </w:rPr>
        <w:t>.</w:t>
      </w:r>
    </w:p>
    <w:p w:rsidRPr="009F7561" w:rsidR="00CE4BC6" w:rsidP="00E96F61" w:rsidRDefault="00CE4BC6" w14:paraId="7E28F941" w14:textId="2A2C519E">
      <w:pPr>
        <w:numPr>
          <w:ilvl w:val="0"/>
          <w:numId w:val="28"/>
        </w:numPr>
        <w:pBdr>
          <w:top w:val="nil"/>
          <w:left w:val="nil"/>
          <w:bottom w:val="nil"/>
          <w:right w:val="nil"/>
          <w:between w:val="nil"/>
        </w:pBdr>
        <w:spacing w:before="120" w:after="120" w:line="240" w:lineRule="auto"/>
        <w:jc w:val="both"/>
        <w:rPr>
          <w:lang w:val="en-GB"/>
        </w:rPr>
      </w:pPr>
      <w:r w:rsidRPr="009F7561">
        <w:rPr>
          <w:lang w:val="en-GB"/>
        </w:rPr>
        <w:t xml:space="preserve">Check </w:t>
      </w:r>
      <w:r w:rsidR="00380223">
        <w:rPr>
          <w:lang w:val="en-GB"/>
        </w:rPr>
        <w:t xml:space="preserve">that </w:t>
      </w:r>
      <w:r w:rsidRPr="009F7561">
        <w:rPr>
          <w:lang w:val="en-GB"/>
        </w:rPr>
        <w:t>survivor</w:t>
      </w:r>
      <w:r w:rsidRPr="009F7561" w:rsidR="00315391">
        <w:rPr>
          <w:lang w:val="en-GB"/>
        </w:rPr>
        <w:t>s</w:t>
      </w:r>
      <w:r w:rsidRPr="009F7561">
        <w:rPr>
          <w:lang w:val="en-GB"/>
        </w:rPr>
        <w:t xml:space="preserve"> understand the case management process by asking </w:t>
      </w:r>
      <w:r w:rsidR="00380223">
        <w:rPr>
          <w:lang w:val="en-GB"/>
        </w:rPr>
        <w:t xml:space="preserve">them </w:t>
      </w:r>
      <w:r w:rsidRPr="009F7561">
        <w:rPr>
          <w:lang w:val="en-GB"/>
        </w:rPr>
        <w:t xml:space="preserve">to share </w:t>
      </w:r>
      <w:r w:rsidR="00380223">
        <w:rPr>
          <w:lang w:val="en-GB"/>
        </w:rPr>
        <w:t xml:space="preserve">their </w:t>
      </w:r>
      <w:r w:rsidRPr="009F7561">
        <w:rPr>
          <w:lang w:val="en-GB"/>
        </w:rPr>
        <w:t xml:space="preserve">understanding of the purpose, what </w:t>
      </w:r>
      <w:r w:rsidR="00380223">
        <w:rPr>
          <w:lang w:val="en-GB"/>
        </w:rPr>
        <w:t xml:space="preserve">they have </w:t>
      </w:r>
      <w:r w:rsidRPr="009F7561">
        <w:rPr>
          <w:lang w:val="en-GB"/>
        </w:rPr>
        <w:t>agreed to and what the risks might be</w:t>
      </w:r>
      <w:r w:rsidR="00C3091D">
        <w:rPr>
          <w:lang w:val="en-GB"/>
        </w:rPr>
        <w:t>.</w:t>
      </w:r>
    </w:p>
    <w:p w:rsidRPr="009F7561" w:rsidR="00CE4BC6" w:rsidP="00E96F61" w:rsidRDefault="00CE4BC6" w14:paraId="7E28F943" w14:textId="1F86AB14">
      <w:pPr>
        <w:numPr>
          <w:ilvl w:val="0"/>
          <w:numId w:val="28"/>
        </w:numPr>
        <w:pBdr>
          <w:top w:val="nil"/>
          <w:left w:val="nil"/>
          <w:bottom w:val="nil"/>
          <w:right w:val="nil"/>
          <w:between w:val="nil"/>
        </w:pBdr>
        <w:spacing w:before="120" w:after="120" w:line="240" w:lineRule="auto"/>
        <w:jc w:val="both"/>
        <w:rPr>
          <w:lang w:val="en-GB"/>
        </w:rPr>
      </w:pPr>
      <w:r w:rsidRPr="009F7561">
        <w:rPr>
          <w:lang w:val="en-GB"/>
        </w:rPr>
        <w:t xml:space="preserve">If needed, rephrase the information shared as many times as required to ensure the survivor </w:t>
      </w:r>
      <w:r w:rsidRPr="009F7561" w:rsidR="00380223">
        <w:rPr>
          <w:lang w:val="en-GB"/>
        </w:rPr>
        <w:t>understand</w:t>
      </w:r>
      <w:r w:rsidR="00380223">
        <w:rPr>
          <w:lang w:val="en-GB"/>
        </w:rPr>
        <w:t>s</w:t>
      </w:r>
      <w:r w:rsidR="00C3091D">
        <w:rPr>
          <w:lang w:val="en-GB"/>
        </w:rPr>
        <w:t>.</w:t>
      </w:r>
    </w:p>
    <w:p w:rsidRPr="009F7561" w:rsidR="00CE4BC6" w:rsidP="00C3091D" w:rsidRDefault="00CE4BC6" w14:paraId="7E28F945" w14:textId="77777777">
      <w:pPr>
        <w:spacing w:before="120" w:after="120" w:line="300" w:lineRule="atLeast"/>
        <w:jc w:val="both"/>
        <w:rPr>
          <w:lang w:val="en-GB"/>
        </w:rPr>
      </w:pPr>
      <w:r w:rsidRPr="009F7561">
        <w:rPr>
          <w:lang w:val="en-GB"/>
        </w:rPr>
        <w:t>There is no consent when agreement is obtained through:</w:t>
      </w:r>
    </w:p>
    <w:p w:rsidRPr="009F7561" w:rsidR="00CE4BC6" w:rsidP="00E96F61" w:rsidRDefault="00CE4BC6" w14:paraId="7E28F947" w14:textId="79365695">
      <w:pPr>
        <w:numPr>
          <w:ilvl w:val="0"/>
          <w:numId w:val="22"/>
        </w:numPr>
        <w:pBdr>
          <w:top w:val="nil"/>
          <w:left w:val="nil"/>
          <w:bottom w:val="nil"/>
          <w:right w:val="nil"/>
          <w:between w:val="nil"/>
        </w:pBdr>
        <w:spacing w:before="120" w:after="120" w:line="240" w:lineRule="auto"/>
        <w:jc w:val="both"/>
        <w:rPr>
          <w:lang w:val="en-GB"/>
        </w:rPr>
      </w:pPr>
      <w:r w:rsidRPr="00585205">
        <w:rPr>
          <w:lang w:val="en-GB"/>
        </w:rPr>
        <w:t>The use of threats, force or other forms of coercion, abduction, fraud, manipulation, deception</w:t>
      </w:r>
      <w:r w:rsidRPr="00585205" w:rsidR="00461384">
        <w:rPr>
          <w:lang w:val="en-GB"/>
        </w:rPr>
        <w:t xml:space="preserve"> or </w:t>
      </w:r>
      <w:r w:rsidRPr="00585205">
        <w:rPr>
          <w:lang w:val="en-GB"/>
        </w:rPr>
        <w:t>misrepresentation</w:t>
      </w:r>
      <w:r w:rsidR="00C3091D">
        <w:rPr>
          <w:lang w:val="en-GB"/>
        </w:rPr>
        <w:t>.</w:t>
      </w:r>
    </w:p>
    <w:p w:rsidRPr="009F7561" w:rsidR="00CE4BC6" w:rsidP="00E96F61" w:rsidRDefault="00CE4BC6" w14:paraId="7E28F949" w14:textId="77777777">
      <w:pPr>
        <w:numPr>
          <w:ilvl w:val="0"/>
          <w:numId w:val="22"/>
        </w:numPr>
        <w:pBdr>
          <w:top w:val="nil"/>
          <w:left w:val="nil"/>
          <w:bottom w:val="nil"/>
          <w:right w:val="nil"/>
          <w:between w:val="nil"/>
        </w:pBdr>
        <w:spacing w:before="120" w:after="120" w:line="240" w:lineRule="auto"/>
        <w:jc w:val="both"/>
        <w:rPr>
          <w:lang w:val="en-GB"/>
        </w:rPr>
      </w:pPr>
      <w:r w:rsidRPr="00585205">
        <w:rPr>
          <w:lang w:val="en-GB"/>
        </w:rPr>
        <w:t>The use of a threat to withhold a benefit to which the person is already entitled; or</w:t>
      </w:r>
    </w:p>
    <w:p w:rsidRPr="009F7561" w:rsidR="00CE4BC6" w:rsidP="00E96F61" w:rsidRDefault="00CE4BC6" w14:paraId="7E28F94B" w14:textId="77777777">
      <w:pPr>
        <w:numPr>
          <w:ilvl w:val="0"/>
          <w:numId w:val="22"/>
        </w:numPr>
        <w:pBdr>
          <w:top w:val="nil"/>
          <w:left w:val="nil"/>
          <w:bottom w:val="nil"/>
          <w:right w:val="nil"/>
          <w:between w:val="nil"/>
        </w:pBdr>
        <w:spacing w:before="120" w:after="120" w:line="240" w:lineRule="auto"/>
        <w:jc w:val="both"/>
        <w:rPr>
          <w:lang w:val="en-GB"/>
        </w:rPr>
      </w:pPr>
      <w:r w:rsidRPr="00585205">
        <w:rPr>
          <w:lang w:val="en-GB"/>
        </w:rPr>
        <w:t>A promise made to the person to provide a benefit.</w:t>
      </w:r>
    </w:p>
    <w:p w:rsidRPr="009F7561" w:rsidR="00CE4BC6" w:rsidP="00C3091D" w:rsidRDefault="00CE4BC6" w14:paraId="7E28F94D" w14:textId="4DFE9CB4">
      <w:pPr>
        <w:spacing w:before="120" w:after="120" w:line="300" w:lineRule="atLeast"/>
        <w:jc w:val="both"/>
        <w:rPr>
          <w:b/>
          <w:lang w:val="en-GB"/>
        </w:rPr>
      </w:pPr>
      <w:r w:rsidRPr="009F7561">
        <w:rPr>
          <w:b/>
          <w:lang w:val="en-GB"/>
        </w:rPr>
        <w:t>Informed assent</w:t>
      </w:r>
      <w:r w:rsidRPr="009F7561">
        <w:rPr>
          <w:lang w:val="en-GB"/>
        </w:rPr>
        <w:t xml:space="preserve"> is the expressed willingness of the child to participate in services. A child</w:t>
      </w:r>
      <w:r w:rsidRPr="009F7561" w:rsidR="00315391">
        <w:rPr>
          <w:lang w:val="en-GB"/>
        </w:rPr>
        <w:t>’s</w:t>
      </w:r>
      <w:r w:rsidRPr="009F7561">
        <w:rPr>
          <w:lang w:val="en-GB"/>
        </w:rPr>
        <w:t xml:space="preserve"> “informed assent” is sought with children who are too young (by definition) to give informed consent, but old enough to understand and agree to participate in services.</w:t>
      </w:r>
    </w:p>
    <w:p w:rsidRPr="009F7561" w:rsidR="00CE4BC6" w:rsidP="00C3091D" w:rsidRDefault="00CE4BC6" w14:paraId="7E28F94F" w14:textId="5620130C">
      <w:pPr>
        <w:spacing w:before="120" w:after="120" w:line="300" w:lineRule="atLeast"/>
        <w:jc w:val="both"/>
        <w:rPr>
          <w:lang w:val="en-GB"/>
        </w:rPr>
      </w:pPr>
      <w:r w:rsidRPr="009F7561">
        <w:rPr>
          <w:lang w:val="en-GB"/>
        </w:rPr>
        <w:t xml:space="preserve">Children must be consulted and given all the information needed to make an informed decision using child-friendly techniques that encourage them to express themselves. Their ability to provide assent on the use of the information and the credibility of the information will depend on their age, maturity and ability to express themselves freely. (See also the GBV </w:t>
      </w:r>
      <w:r w:rsidRPr="009F7561" w:rsidR="00F05765">
        <w:rPr>
          <w:lang w:val="en-GB"/>
        </w:rPr>
        <w:t xml:space="preserve">guiding principles </w:t>
      </w:r>
      <w:r w:rsidRPr="009F7561">
        <w:rPr>
          <w:lang w:val="en-GB"/>
        </w:rPr>
        <w:t xml:space="preserve">in </w:t>
      </w:r>
      <w:r w:rsidRPr="009F7561" w:rsidR="00CB5A06">
        <w:rPr>
          <w:lang w:val="en-GB"/>
        </w:rPr>
        <w:t>section</w:t>
      </w:r>
      <w:r w:rsidRPr="009F7561">
        <w:rPr>
          <w:lang w:val="en-GB"/>
        </w:rPr>
        <w:t xml:space="preserve"> 2.1 and </w:t>
      </w:r>
      <w:hyperlink r:id="rId13">
        <w:r w:rsidRPr="00585205" w:rsidR="00F05765">
          <w:rPr>
            <w:i/>
            <w:u w:val="single"/>
            <w:lang w:val="en-GB"/>
          </w:rPr>
          <w:t>C</w:t>
        </w:r>
        <w:r w:rsidRPr="00585205" w:rsidR="001A566B">
          <w:rPr>
            <w:i/>
            <w:u w:val="single"/>
            <w:lang w:val="en-GB"/>
          </w:rPr>
          <w:t>aring for child survivors of sexual abuse</w:t>
        </w:r>
      </w:hyperlink>
      <w:r w:rsidRPr="009F7561">
        <w:rPr>
          <w:lang w:val="en-GB"/>
        </w:rPr>
        <w:t>).</w:t>
      </w:r>
    </w:p>
    <w:p w:rsidRPr="009F7561" w:rsidR="00CE4BC6" w:rsidP="00C3091D" w:rsidRDefault="00CE4BC6" w14:paraId="7E28F951" w14:textId="588DFDED">
      <w:pPr>
        <w:spacing w:before="120" w:after="120" w:line="300" w:lineRule="atLeast"/>
        <w:jc w:val="both"/>
        <w:rPr>
          <w:lang w:val="en-GB"/>
        </w:rPr>
      </w:pPr>
      <w:r w:rsidRPr="009F7561">
        <w:rPr>
          <w:lang w:val="en-GB"/>
        </w:rPr>
        <w:t>The best interest of the child should be taken into consideration in the decision to refer to services when the child</w:t>
      </w:r>
      <w:r w:rsidRPr="009F7561" w:rsidR="00315391">
        <w:rPr>
          <w:lang w:val="en-GB"/>
        </w:rPr>
        <w:t>’s</w:t>
      </w:r>
      <w:r w:rsidRPr="009F7561">
        <w:rPr>
          <w:lang w:val="en-GB"/>
        </w:rPr>
        <w:t xml:space="preserve"> and caregivers</w:t>
      </w:r>
      <w:r w:rsidRPr="009F7561" w:rsidR="00FD16A0">
        <w:rPr>
          <w:lang w:val="en-GB"/>
        </w:rPr>
        <w:t>’</w:t>
      </w:r>
      <w:r w:rsidRPr="009F7561">
        <w:rPr>
          <w:lang w:val="en-GB"/>
        </w:rPr>
        <w:t xml:space="preserve"> assent/consent are not obtained.</w:t>
      </w:r>
    </w:p>
    <w:p w:rsidRPr="009F7561" w:rsidR="00CE4BC6" w:rsidP="00C3091D" w:rsidRDefault="00BB06E5" w14:paraId="7E28F953" w14:textId="6543F994">
      <w:pPr>
        <w:spacing w:before="120" w:after="120" w:line="300" w:lineRule="atLeast"/>
        <w:jc w:val="both"/>
        <w:rPr>
          <w:lang w:val="en-GB"/>
        </w:rPr>
      </w:pPr>
      <w:r w:rsidRPr="00327010">
        <w:rPr>
          <w:i/>
          <w:lang w:val="en-GB"/>
        </w:rPr>
        <w:t xml:space="preserve">A sample </w:t>
      </w:r>
      <w:hyperlink r:id="rId14">
        <w:r w:rsidRPr="00327010">
          <w:rPr>
            <w:i/>
            <w:color w:val="0000FF"/>
            <w:u w:val="single"/>
            <w:lang w:val="en-GB"/>
          </w:rPr>
          <w:t xml:space="preserve">Consent for </w:t>
        </w:r>
        <w:r w:rsidRPr="00F05765">
          <w:rPr>
            <w:i/>
            <w:color w:val="0000FF"/>
            <w:u w:val="single"/>
            <w:lang w:val="en-GB"/>
          </w:rPr>
          <w:t>release of information form</w:t>
        </w:r>
      </w:hyperlink>
      <w:r w:rsidR="00B05DD7">
        <w:rPr>
          <w:i/>
          <w:color w:val="0000FF"/>
          <w:u w:val="single"/>
          <w:lang w:val="en-GB"/>
        </w:rPr>
        <w:t>,</w:t>
      </w:r>
      <w:r w:rsidRPr="00327010">
        <w:rPr>
          <w:i/>
          <w:vertAlign w:val="superscript"/>
          <w:lang w:val="en-GB"/>
        </w:rPr>
        <w:footnoteReference w:id="92"/>
      </w:r>
      <w:r w:rsidRPr="00327010">
        <w:rPr>
          <w:i/>
          <w:lang w:val="en-GB"/>
        </w:rPr>
        <w:t xml:space="preserve"> </w:t>
      </w:r>
      <w:hyperlink r:id="rId15">
        <w:r w:rsidRPr="00327010">
          <w:rPr>
            <w:i/>
            <w:color w:val="0000FF"/>
            <w:u w:val="single"/>
            <w:lang w:val="en-GB"/>
          </w:rPr>
          <w:t xml:space="preserve">Consent for </w:t>
        </w:r>
        <w:r w:rsidRPr="00F05765">
          <w:rPr>
            <w:i/>
            <w:color w:val="0000FF"/>
            <w:u w:val="single"/>
            <w:lang w:val="en-GB"/>
          </w:rPr>
          <w:t>service form</w:t>
        </w:r>
      </w:hyperlink>
      <w:r w:rsidRPr="00327010">
        <w:rPr>
          <w:i/>
          <w:color w:val="0000FF"/>
          <w:vertAlign w:val="superscript"/>
          <w:lang w:val="en-GB"/>
        </w:rPr>
        <w:footnoteReference w:id="93"/>
      </w:r>
      <w:r w:rsidRPr="00327010">
        <w:rPr>
          <w:i/>
          <w:lang w:val="en-GB"/>
        </w:rPr>
        <w:t xml:space="preserve"> and the </w:t>
      </w:r>
      <w:hyperlink r:id="rId16">
        <w:r w:rsidRPr="00327010">
          <w:rPr>
            <w:i/>
            <w:color w:val="0000FF"/>
            <w:u w:val="single"/>
            <w:lang w:val="en-GB"/>
          </w:rPr>
          <w:t xml:space="preserve">GBVIMS </w:t>
        </w:r>
        <w:r>
          <w:rPr>
            <w:i/>
            <w:color w:val="0000FF"/>
            <w:u w:val="single"/>
            <w:lang w:val="en-GB"/>
          </w:rPr>
          <w:t>s</w:t>
        </w:r>
        <w:r w:rsidRPr="00327010">
          <w:rPr>
            <w:i/>
            <w:color w:val="0000FF"/>
            <w:u w:val="single"/>
            <w:lang w:val="en-GB"/>
          </w:rPr>
          <w:t xml:space="preserve">tandard </w:t>
        </w:r>
        <w:r w:rsidRPr="00F05765">
          <w:rPr>
            <w:i/>
            <w:color w:val="0000FF"/>
            <w:u w:val="single"/>
            <w:lang w:val="en-GB"/>
          </w:rPr>
          <w:t>intake and assessment f</w:t>
        </w:r>
        <w:r w:rsidRPr="00327010">
          <w:rPr>
            <w:i/>
            <w:color w:val="0000FF"/>
            <w:u w:val="single"/>
            <w:lang w:val="en-GB"/>
          </w:rPr>
          <w:t>orm</w:t>
        </w:r>
      </w:hyperlink>
      <w:r w:rsidRPr="00327010">
        <w:rPr>
          <w:i/>
          <w:lang w:val="en-GB"/>
        </w:rPr>
        <w:t xml:space="preserve"> can be found in Annex 6</w:t>
      </w:r>
      <w:r w:rsidRPr="00327010">
        <w:rPr>
          <w:lang w:val="en-GB"/>
        </w:rPr>
        <w:t xml:space="preserve">. </w:t>
      </w:r>
    </w:p>
    <w:p w:rsidRPr="00B0297F" w:rsidR="00CE4BC6" w:rsidP="00C3091D" w:rsidRDefault="00B0297F" w14:paraId="7E28F955" w14:textId="1B1272F3">
      <w:pPr>
        <w:spacing w:before="120" w:after="120" w:line="300" w:lineRule="atLeast"/>
        <w:jc w:val="both"/>
        <w:rPr>
          <w:i/>
          <w:iCs/>
          <w:color w:val="0070C0"/>
          <w:lang w:val="en-GB"/>
        </w:rPr>
      </w:pPr>
      <w:r w:rsidRPr="00B0297F">
        <w:rPr>
          <w:i/>
          <w:iCs/>
          <w:color w:val="0070C0"/>
          <w:lang w:val="en-GB"/>
        </w:rPr>
        <w:t>[</w:t>
      </w:r>
      <w:r w:rsidRPr="00B0297F" w:rsidR="00CE4BC6">
        <w:rPr>
          <w:i/>
          <w:iCs/>
          <w:color w:val="0070C0"/>
          <w:lang w:val="en-GB"/>
        </w:rPr>
        <w:t>Describe the process for obtaining informed consent and the form(s) to be used in your setting. Refer to</w:t>
      </w:r>
      <w:r w:rsidRPr="00B0297F" w:rsidR="00461384">
        <w:rPr>
          <w:i/>
          <w:iCs/>
          <w:color w:val="0070C0"/>
          <w:lang w:val="en-GB"/>
        </w:rPr>
        <w:t xml:space="preserve"> or </w:t>
      </w:r>
      <w:r w:rsidRPr="00B0297F" w:rsidR="00960B1F">
        <w:rPr>
          <w:i/>
          <w:iCs/>
          <w:color w:val="0070C0"/>
          <w:lang w:val="en-GB"/>
        </w:rPr>
        <w:t>include here</w:t>
      </w:r>
      <w:r w:rsidRPr="00B0297F" w:rsidR="00CE4BC6">
        <w:rPr>
          <w:i/>
          <w:iCs/>
          <w:color w:val="0070C0"/>
          <w:lang w:val="en-GB"/>
        </w:rPr>
        <w:t xml:space="preserve"> information about how any mandatory reporting requirements will be managed, as these impact the consent process (see </w:t>
      </w:r>
      <w:r w:rsidRPr="00B0297F" w:rsidR="00CB5A06">
        <w:rPr>
          <w:i/>
          <w:iCs/>
          <w:color w:val="0070C0"/>
          <w:lang w:val="en-GB"/>
        </w:rPr>
        <w:t>section</w:t>
      </w:r>
      <w:r w:rsidRPr="00B0297F" w:rsidR="00CE4BC6">
        <w:rPr>
          <w:i/>
          <w:iCs/>
          <w:color w:val="0070C0"/>
          <w:lang w:val="en-GB"/>
        </w:rPr>
        <w:t xml:space="preserve"> 3.3.3).</w:t>
      </w:r>
    </w:p>
    <w:p w:rsidRPr="00B0297F" w:rsidR="00CE4BC6" w:rsidP="00C3091D" w:rsidRDefault="00CE4BC6" w14:paraId="7E28F957" w14:textId="4E8D7561">
      <w:pPr>
        <w:spacing w:before="120" w:after="120" w:line="300" w:lineRule="atLeast"/>
        <w:jc w:val="both"/>
        <w:rPr>
          <w:i/>
          <w:iCs/>
          <w:color w:val="0070C0"/>
          <w:lang w:val="en-GB"/>
        </w:rPr>
      </w:pPr>
      <w:r w:rsidRPr="00B0297F">
        <w:rPr>
          <w:i/>
          <w:iCs/>
          <w:color w:val="0070C0"/>
          <w:lang w:val="en-GB"/>
        </w:rPr>
        <w:t xml:space="preserve">Outline how information sharing related to service provision (i.e. sharing survivor personal data for the purpose of making a referral) will occur. Information should only be shared based on the referral pathway and a </w:t>
      </w:r>
      <w:r w:rsidRPr="00B0297F" w:rsidR="00315391">
        <w:rPr>
          <w:i/>
          <w:iCs/>
          <w:color w:val="0070C0"/>
          <w:lang w:val="en-GB"/>
        </w:rPr>
        <w:t>“</w:t>
      </w:r>
      <w:r w:rsidRPr="00B0297F">
        <w:rPr>
          <w:i/>
          <w:iCs/>
          <w:color w:val="0070C0"/>
          <w:lang w:val="en-GB"/>
        </w:rPr>
        <w:t>need to know</w:t>
      </w:r>
      <w:r w:rsidRPr="00B0297F" w:rsidR="00315391">
        <w:rPr>
          <w:i/>
          <w:iCs/>
          <w:color w:val="0070C0"/>
          <w:lang w:val="en-GB"/>
        </w:rPr>
        <w:t>”</w:t>
      </w:r>
      <w:r w:rsidRPr="00B0297F">
        <w:rPr>
          <w:i/>
          <w:iCs/>
          <w:color w:val="0070C0"/>
          <w:lang w:val="en-GB"/>
        </w:rPr>
        <w:t xml:space="preserve"> basis. </w:t>
      </w:r>
    </w:p>
    <w:p w:rsidRPr="00B0297F" w:rsidR="00CE4BC6" w:rsidP="00C3091D" w:rsidRDefault="00CE4BC6" w14:paraId="7E28F959" w14:textId="2DD08369">
      <w:pPr>
        <w:spacing w:before="120" w:after="120" w:line="300" w:lineRule="atLeast"/>
        <w:jc w:val="both"/>
        <w:rPr>
          <w:i/>
          <w:iCs/>
          <w:color w:val="0070C0"/>
          <w:lang w:val="en-GB"/>
        </w:rPr>
      </w:pPr>
      <w:r w:rsidRPr="00B0297F">
        <w:rPr>
          <w:i/>
          <w:iCs/>
          <w:color w:val="0070C0"/>
          <w:lang w:val="en-GB"/>
        </w:rPr>
        <w:t>Include copies of the consent form(s) in an annex to the final GBV SOPs.</w:t>
      </w:r>
      <w:r w:rsidRPr="00B0297F" w:rsidR="00B0297F">
        <w:rPr>
          <w:i/>
          <w:iCs/>
          <w:color w:val="0070C0"/>
          <w:lang w:val="en-GB"/>
        </w:rPr>
        <w:t>]</w:t>
      </w:r>
    </w:p>
    <w:p w:rsidRPr="00B0297F" w:rsidR="00CE4BC6" w:rsidP="00C22D9F" w:rsidRDefault="00CE4BC6" w14:paraId="7E28F95B" w14:textId="0B2AF51F">
      <w:pPr>
        <w:pStyle w:val="Heading3"/>
      </w:pPr>
      <w:bookmarkStart w:name="_Toc134906266" w:id="88"/>
      <w:bookmarkStart w:name="_Toc142469138" w:id="89"/>
      <w:r w:rsidRPr="00B0297F">
        <w:t xml:space="preserve">Mandatory </w:t>
      </w:r>
      <w:r w:rsidRPr="00B0297F" w:rsidR="00F05765">
        <w:t>reporting</w:t>
      </w:r>
      <w:bookmarkEnd w:id="88"/>
      <w:bookmarkEnd w:id="89"/>
    </w:p>
    <w:tbl>
      <w:tblPr>
        <w:tblStyle w:val="TableGrid"/>
        <w:tblW w:w="0" w:type="auto"/>
        <w:tblLook w:val="04A0" w:firstRow="1" w:lastRow="0" w:firstColumn="1" w:lastColumn="0" w:noHBand="0" w:noVBand="1"/>
      </w:tblPr>
      <w:tblGrid>
        <w:gridCol w:w="9350"/>
      </w:tblGrid>
      <w:tr w:rsidR="002968F0" w:rsidTr="002968F0" w14:paraId="7830D60B" w14:textId="77777777">
        <w:tc>
          <w:tcPr>
            <w:tcW w:w="9350" w:type="dxa"/>
          </w:tcPr>
          <w:p w:rsidRPr="009F7561" w:rsidR="002968F0" w:rsidP="002968F0" w:rsidRDefault="002968F0" w14:paraId="40A0CCD0" w14:textId="77777777">
            <w:pPr>
              <w:spacing w:before="120" w:after="120" w:line="300" w:lineRule="atLeast"/>
              <w:jc w:val="both"/>
              <w:rPr>
                <w:i/>
                <w:lang w:val="en-GB"/>
              </w:rPr>
            </w:pPr>
            <w:r w:rsidRPr="009F7561">
              <w:rPr>
                <w:b/>
                <w:i/>
                <w:lang w:val="en-GB"/>
              </w:rPr>
              <w:t>Essential issues to consider</w:t>
            </w:r>
            <w:r w:rsidRPr="009F7561">
              <w:rPr>
                <w:i/>
                <w:lang w:val="en-GB"/>
              </w:rPr>
              <w:t>:</w:t>
            </w:r>
          </w:p>
          <w:p w:rsidRPr="009F7561" w:rsidR="002968F0" w:rsidP="002968F0" w:rsidRDefault="002968F0" w14:paraId="73DE3149" w14:textId="77777777">
            <w:pPr>
              <w:spacing w:before="120" w:after="120" w:line="300" w:lineRule="atLeast"/>
              <w:jc w:val="both"/>
              <w:rPr>
                <w:i/>
                <w:lang w:val="en-GB"/>
              </w:rPr>
            </w:pPr>
            <w:r w:rsidRPr="009F7561">
              <w:rPr>
                <w:i/>
                <w:lang w:val="en-GB"/>
              </w:rPr>
              <w:t>Many countries have laws that require service providers to report to police or other authorities any acts that are believed to be criminal offences. In such situations, legal requirements override the survivor’s consent. Survivors (and caregivers) should be made aware of these legal requirements as part of the informed consent process (see section 3.3.2).</w:t>
            </w:r>
          </w:p>
          <w:p w:rsidRPr="009F7561" w:rsidR="002968F0" w:rsidP="002968F0" w:rsidRDefault="002968F0" w14:paraId="0F0E82B8" w14:textId="77777777">
            <w:pPr>
              <w:spacing w:before="120" w:after="120" w:line="300" w:lineRule="atLeast"/>
              <w:jc w:val="both"/>
              <w:rPr>
                <w:i/>
                <w:lang w:val="en-GB"/>
              </w:rPr>
            </w:pPr>
            <w:r w:rsidRPr="009F7561">
              <w:rPr>
                <w:i/>
                <w:lang w:val="en-GB"/>
              </w:rPr>
              <w:t xml:space="preserve">Although mandatory reporting is often intended to protect survivors (particularly children), </w:t>
            </w:r>
            <w:r>
              <w:rPr>
                <w:i/>
                <w:lang w:val="en-GB"/>
              </w:rPr>
              <w:br/>
            </w:r>
            <w:r w:rsidRPr="009F7561">
              <w:rPr>
                <w:i/>
                <w:lang w:val="en-GB"/>
              </w:rPr>
              <w:t xml:space="preserve">in some situations, following mandatory reporting procedures conflicts with the GBV guiding principles. It can also result in actions that are not in the best interests of the survivor. </w:t>
            </w:r>
            <w:r>
              <w:rPr>
                <w:i/>
                <w:lang w:val="en-GB"/>
              </w:rPr>
              <w:br/>
            </w:r>
            <w:r w:rsidRPr="009F7561">
              <w:rPr>
                <w:i/>
                <w:lang w:val="en-GB"/>
              </w:rPr>
              <w:t xml:space="preserve">For example, mandatory reporting of cases of sexual violence or intimate partner violence to </w:t>
            </w:r>
            <w:r>
              <w:rPr>
                <w:i/>
                <w:lang w:val="en-GB"/>
              </w:rPr>
              <w:br/>
            </w:r>
            <w:r w:rsidRPr="009F7561">
              <w:rPr>
                <w:i/>
                <w:lang w:val="en-GB"/>
              </w:rPr>
              <w:t xml:space="preserve">the police can put the survivor at greater risk of harm from the perpetrator, family members or community members, particularly where certain forms of GBV are criminalized (for survivors). </w:t>
            </w:r>
          </w:p>
          <w:p w:rsidRPr="009F7561" w:rsidR="002968F0" w:rsidP="002968F0" w:rsidRDefault="002968F0" w14:paraId="7A3D32CB" w14:textId="77777777">
            <w:pPr>
              <w:spacing w:before="120" w:after="120" w:line="300" w:lineRule="atLeast"/>
              <w:jc w:val="both"/>
              <w:rPr>
                <w:i/>
                <w:lang w:val="en-GB"/>
              </w:rPr>
            </w:pPr>
            <w:r w:rsidRPr="009F7561">
              <w:rPr>
                <w:i/>
                <w:lang w:val="en-GB"/>
              </w:rPr>
              <w:t xml:space="preserve">Given the risks of mandatory reporting, </w:t>
            </w:r>
            <w:r w:rsidRPr="009F7561">
              <w:rPr>
                <w:b/>
                <w:i/>
                <w:lang w:val="en-GB"/>
              </w:rPr>
              <w:t>these GBV SOPs must include at least the following</w:t>
            </w:r>
            <w:r w:rsidRPr="009F7561">
              <w:rPr>
                <w:i/>
                <w:lang w:val="en-GB"/>
              </w:rPr>
              <w:t>:</w:t>
            </w:r>
          </w:p>
          <w:p w:rsidRPr="009F7561" w:rsidR="002968F0" w:rsidP="002968F0" w:rsidRDefault="002968F0" w14:paraId="609BCAC9" w14:textId="595B5EAE">
            <w:pPr>
              <w:spacing w:before="120" w:after="120" w:line="300" w:lineRule="atLeast"/>
              <w:ind w:left="720"/>
              <w:jc w:val="both"/>
              <w:rPr>
                <w:i/>
                <w:lang w:val="en-GB"/>
              </w:rPr>
            </w:pPr>
            <w:r w:rsidRPr="009F7561">
              <w:rPr>
                <w:i/>
                <w:lang w:val="en-GB"/>
              </w:rPr>
              <w:t xml:space="preserve">A common strategy for addressing issues relating to mandatory reporting that could arise in the setting and/or the requirement for each individual actor to develop their </w:t>
            </w:r>
            <w:r>
              <w:rPr>
                <w:i/>
                <w:lang w:val="en-GB"/>
              </w:rPr>
              <w:br/>
            </w:r>
            <w:r w:rsidRPr="009F7561">
              <w:rPr>
                <w:i/>
                <w:lang w:val="en-GB"/>
              </w:rPr>
              <w:t>own mandatory reporting strategy</w:t>
            </w:r>
            <w:r>
              <w:rPr>
                <w:i/>
                <w:lang w:val="en-GB"/>
              </w:rPr>
              <w:t>.</w:t>
            </w:r>
          </w:p>
          <w:p w:rsidRPr="009A46C1" w:rsidR="002968F0" w:rsidP="009A46C1" w:rsidRDefault="002968F0" w14:paraId="05285AD2" w14:textId="582B818C">
            <w:pPr>
              <w:spacing w:before="120" w:after="120" w:line="300" w:lineRule="atLeast"/>
              <w:ind w:left="720"/>
              <w:jc w:val="both"/>
              <w:rPr>
                <w:i/>
                <w:sz w:val="26"/>
                <w:szCs w:val="26"/>
                <w:lang w:val="en-GB"/>
              </w:rPr>
            </w:pPr>
            <w:r w:rsidRPr="009F7561">
              <w:rPr>
                <w:i/>
                <w:lang w:val="en-GB"/>
              </w:rPr>
              <w:t>The requirement for service providers to inform survivors about mandatory reporting policies. This must be included as part of the consent process at the beginning of services, as described in section 3.3.2.</w:t>
            </w:r>
          </w:p>
        </w:tc>
      </w:tr>
    </w:tbl>
    <w:p w:rsidRPr="00D967F6" w:rsidR="00CE4BC6" w:rsidP="00E82689" w:rsidRDefault="00CE4BC6" w14:paraId="7E28F968" w14:textId="4E29FE03">
      <w:pPr>
        <w:pBdr>
          <w:top w:val="nil"/>
          <w:left w:val="nil"/>
          <w:bottom w:val="nil"/>
          <w:right w:val="nil"/>
          <w:between w:val="nil"/>
        </w:pBdr>
        <w:spacing w:before="120" w:after="120" w:line="240" w:lineRule="auto"/>
        <w:jc w:val="both"/>
        <w:rPr>
          <w:iCs/>
          <w:lang w:val="en-GB"/>
        </w:rPr>
      </w:pPr>
    </w:p>
    <w:tbl>
      <w:tblPr>
        <w:tblStyle w:val="TableGrid"/>
        <w:tblW w:w="0" w:type="auto"/>
        <w:tblLook w:val="04A0" w:firstRow="1" w:lastRow="0" w:firstColumn="1" w:lastColumn="0" w:noHBand="0" w:noVBand="1"/>
      </w:tblPr>
      <w:tblGrid>
        <w:gridCol w:w="9350"/>
      </w:tblGrid>
      <w:tr w:rsidR="002968F0" w:rsidTr="002968F0" w14:paraId="5055414D" w14:textId="77777777">
        <w:tc>
          <w:tcPr>
            <w:tcW w:w="9350" w:type="dxa"/>
          </w:tcPr>
          <w:p w:rsidRPr="00585205" w:rsidR="002968F0" w:rsidP="002968F0" w:rsidRDefault="002968F0" w14:paraId="79C81F81" w14:textId="77777777">
            <w:pPr>
              <w:spacing w:before="120" w:after="120" w:line="300" w:lineRule="atLeast"/>
              <w:jc w:val="both"/>
              <w:rPr>
                <w:i/>
                <w:lang w:val="en-GB"/>
              </w:rPr>
            </w:pPr>
            <w:r w:rsidRPr="00585205">
              <w:rPr>
                <w:i/>
                <w:lang w:val="en-GB"/>
              </w:rPr>
              <w:t xml:space="preserve">It is against best practice to require survivors to report to the police before accessing health care. It is strongly recommended that GBV and </w:t>
            </w:r>
            <w:r>
              <w:rPr>
                <w:i/>
                <w:lang w:val="en-GB"/>
              </w:rPr>
              <w:t>health care</w:t>
            </w:r>
            <w:r w:rsidRPr="00585205">
              <w:rPr>
                <w:i/>
                <w:lang w:val="en-GB"/>
              </w:rPr>
              <w:t xml:space="preserve"> actors coordinate with the police to ensure survivors can access health care first and then choose whether to report GBV incidents to the police.</w:t>
            </w:r>
          </w:p>
          <w:p w:rsidRPr="00585205" w:rsidR="002968F0" w:rsidP="002968F0" w:rsidRDefault="002968F0" w14:paraId="3F2224ED" w14:textId="77777777">
            <w:pPr>
              <w:spacing w:before="120" w:after="120" w:line="300" w:lineRule="atLeast"/>
              <w:jc w:val="both"/>
              <w:rPr>
                <w:i/>
                <w:lang w:val="en-GB"/>
              </w:rPr>
            </w:pPr>
            <w:r w:rsidRPr="00585205">
              <w:rPr>
                <w:i/>
                <w:lang w:val="en-GB"/>
              </w:rPr>
              <w:t xml:space="preserve">Mandatory reporting procedures that require survivors to first report to the police delay or obstruct survivors from seeking potentially life-saving medical care. </w:t>
            </w:r>
            <w:r>
              <w:rPr>
                <w:i/>
                <w:lang w:val="en-GB"/>
              </w:rPr>
              <w:t>Health care</w:t>
            </w:r>
            <w:r w:rsidRPr="00585205">
              <w:rPr>
                <w:i/>
                <w:lang w:val="en-GB"/>
              </w:rPr>
              <w:t xml:space="preserve"> services are the first priority and must be provided regardless of the reporting circumstances.</w:t>
            </w:r>
          </w:p>
          <w:p w:rsidRPr="00585205" w:rsidR="002968F0" w:rsidP="002968F0" w:rsidRDefault="002968F0" w14:paraId="49D38E4D" w14:textId="77777777">
            <w:pPr>
              <w:spacing w:before="120" w:after="120" w:line="300" w:lineRule="atLeast"/>
              <w:jc w:val="both"/>
              <w:rPr>
                <w:i/>
                <w:lang w:val="en-GB"/>
              </w:rPr>
            </w:pPr>
            <w:r w:rsidRPr="00585205">
              <w:rPr>
                <w:i/>
                <w:lang w:val="en-GB"/>
              </w:rPr>
              <w:t>GBV standing operating procedures and referral pathways among health, police and GBV programme actors must uphold a survivor’s right to choose where and when to report and facilitate timely access to health care.</w:t>
            </w:r>
          </w:p>
          <w:p w:rsidR="002968F0" w:rsidP="002968F0" w:rsidRDefault="002968F0" w14:paraId="314F7556" w14:textId="733B643F">
            <w:pPr>
              <w:spacing w:before="120" w:after="120" w:line="300" w:lineRule="atLeast"/>
              <w:jc w:val="both"/>
              <w:rPr>
                <w:i/>
                <w:lang w:val="en-GB"/>
              </w:rPr>
            </w:pPr>
            <w:r>
              <w:rPr>
                <w:i/>
                <w:lang w:val="en-GB"/>
              </w:rPr>
              <w:t>Inter-agency</w:t>
            </w:r>
            <w:r w:rsidRPr="00585205">
              <w:rPr>
                <w:i/>
                <w:lang w:val="en-GB"/>
              </w:rPr>
              <w:t xml:space="preserve"> GBV minimum standards, p. 28.</w:t>
            </w:r>
          </w:p>
        </w:tc>
      </w:tr>
    </w:tbl>
    <w:p w:rsidRPr="009F7561" w:rsidR="00CE4BC6" w:rsidP="002968F0" w:rsidRDefault="00CE4BC6" w14:paraId="7E28F974" w14:textId="52215B13">
      <w:pPr>
        <w:spacing w:before="120" w:after="120" w:line="300" w:lineRule="atLeast"/>
        <w:jc w:val="both"/>
        <w:rPr>
          <w:lang w:val="en-GB"/>
        </w:rPr>
      </w:pPr>
      <w:r w:rsidRPr="009F7561">
        <w:rPr>
          <w:lang w:val="en-GB"/>
        </w:rPr>
        <w:t xml:space="preserve">Survivors must be informed as soon as possible about any mandatory reporting procedures that </w:t>
      </w:r>
      <w:r w:rsidRPr="00585205">
        <w:rPr>
          <w:spacing w:val="-2"/>
          <w:lang w:val="en-GB"/>
        </w:rPr>
        <w:t xml:space="preserve">are in place, including what information must be disclosed and what </w:t>
      </w:r>
      <w:r w:rsidR="007039F5">
        <w:rPr>
          <w:spacing w:val="-2"/>
          <w:lang w:val="en-GB"/>
        </w:rPr>
        <w:t>they</w:t>
      </w:r>
      <w:r w:rsidRPr="00585205" w:rsidR="007039F5">
        <w:rPr>
          <w:spacing w:val="-2"/>
          <w:lang w:val="en-GB"/>
        </w:rPr>
        <w:t xml:space="preserve"> </w:t>
      </w:r>
      <w:r w:rsidRPr="00585205">
        <w:rPr>
          <w:spacing w:val="-2"/>
          <w:lang w:val="en-GB"/>
        </w:rPr>
        <w:t>can expect after the report is made. Service providers should not promise confidentiality when it cannot be maintained</w:t>
      </w:r>
      <w:r w:rsidRPr="009F7561">
        <w:rPr>
          <w:lang w:val="en-GB"/>
        </w:rPr>
        <w:t>.</w:t>
      </w:r>
    </w:p>
    <w:p w:rsidRPr="009F7561" w:rsidR="00CE4BC6" w:rsidP="002968F0" w:rsidRDefault="00CE4BC6" w14:paraId="7E28F976" w14:textId="77777777">
      <w:pPr>
        <w:spacing w:before="120" w:after="120" w:line="300" w:lineRule="atLeast"/>
        <w:jc w:val="both"/>
        <w:rPr>
          <w:lang w:val="en-GB"/>
        </w:rPr>
      </w:pPr>
      <w:r w:rsidRPr="009F7561">
        <w:rPr>
          <w:lang w:val="en-GB"/>
        </w:rPr>
        <w:t>Each service provider must have documented procedures for handling mandatory reporting requirements and train staff to:</w:t>
      </w:r>
    </w:p>
    <w:p w:rsidRPr="00585205" w:rsidR="00CE4BC6" w:rsidP="00E96F61" w:rsidRDefault="00CE4BC6" w14:paraId="7E28F977" w14:textId="047CE034">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Inform survivors about the staff</w:t>
      </w:r>
      <w:r w:rsidRPr="00585205" w:rsidR="00315391">
        <w:rPr>
          <w:lang w:val="en-GB"/>
        </w:rPr>
        <w:t>’s</w:t>
      </w:r>
      <w:r w:rsidRPr="00585205">
        <w:rPr>
          <w:lang w:val="en-GB"/>
        </w:rPr>
        <w:t xml:space="preserve"> duty to report certain incidents in accordance with laws or policies</w:t>
      </w:r>
      <w:r w:rsidR="002968F0">
        <w:rPr>
          <w:lang w:val="en-GB"/>
        </w:rPr>
        <w:t>.</w:t>
      </w:r>
    </w:p>
    <w:p w:rsidRPr="00585205" w:rsidR="00CE4BC6" w:rsidP="00E96F61" w:rsidRDefault="00CE4BC6" w14:paraId="7E28F978" w14:textId="77777777">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Explain the reporting mechanism to the survivor; and</w:t>
      </w:r>
    </w:p>
    <w:p w:rsidRPr="00585205" w:rsidR="00CE4BC6" w:rsidP="00E96F61" w:rsidRDefault="00CE4BC6" w14:paraId="7E28F979" w14:textId="77777777">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Explain what the survivor can expect after the report is made.</w:t>
      </w:r>
    </w:p>
    <w:p w:rsidRPr="009F7561" w:rsidR="00CE4BC6" w:rsidP="002968F0" w:rsidRDefault="00CE4BC6" w14:paraId="7E28F97B" w14:textId="4E15F38D">
      <w:pPr>
        <w:spacing w:before="120" w:after="120" w:line="300" w:lineRule="atLeast"/>
        <w:jc w:val="both"/>
        <w:rPr>
          <w:lang w:val="en-GB"/>
        </w:rPr>
      </w:pPr>
      <w:r w:rsidRPr="009F7561">
        <w:rPr>
          <w:lang w:val="en-GB"/>
        </w:rPr>
        <w:t>Procedures for mandatory reporting requirements differ; therefore, it is important that each organ</w:t>
      </w:r>
      <w:r w:rsidRPr="009F7561" w:rsidR="002D1850">
        <w:rPr>
          <w:lang w:val="en-GB"/>
        </w:rPr>
        <w:t>iza</w:t>
      </w:r>
      <w:r w:rsidRPr="009F7561">
        <w:rPr>
          <w:lang w:val="en-GB"/>
        </w:rPr>
        <w:t>tion outline its mandatory reporting procedures. For signatories to the GBV SOPs, each actor</w:t>
      </w:r>
      <w:r w:rsidRPr="009F7561" w:rsidR="00315391">
        <w:rPr>
          <w:lang w:val="en-GB"/>
        </w:rPr>
        <w:t>’s</w:t>
      </w:r>
      <w:r w:rsidRPr="009F7561">
        <w:rPr>
          <w:lang w:val="en-GB"/>
        </w:rPr>
        <w:t xml:space="preserve"> mandatory reporting procedures should include detailed guidance on:</w:t>
      </w:r>
    </w:p>
    <w:p w:rsidRPr="00585205" w:rsidR="00CE4BC6" w:rsidP="00E96F61" w:rsidRDefault="00CE4BC6" w14:paraId="7E28F97D" w14:textId="532A2A21">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How mandatory reporting policies are explained to survivors</w:t>
      </w:r>
      <w:r w:rsidR="002968F0">
        <w:rPr>
          <w:lang w:val="en-GB"/>
        </w:rPr>
        <w:t>.</w:t>
      </w:r>
    </w:p>
    <w:p w:rsidRPr="00585205" w:rsidR="00CE4BC6" w:rsidP="00E96F61" w:rsidRDefault="00CE4BC6" w14:paraId="7E28F97E" w14:textId="5B6BC6F3">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When the caseworker should inform a supervisor of the mandatory reporting disclosure</w:t>
      </w:r>
      <w:r w:rsidR="002968F0">
        <w:rPr>
          <w:lang w:val="en-GB"/>
        </w:rPr>
        <w:t>.</w:t>
      </w:r>
    </w:p>
    <w:p w:rsidRPr="00585205" w:rsidR="00CE4BC6" w:rsidP="00E96F61" w:rsidRDefault="00CE4BC6" w14:paraId="7E28F97F" w14:textId="5FB8D09C">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The responsibility of the supervisor to review the case and agree on the reporting</w:t>
      </w:r>
      <w:r w:rsidR="002968F0">
        <w:rPr>
          <w:lang w:val="en-GB"/>
        </w:rPr>
        <w:t>.</w:t>
      </w:r>
    </w:p>
    <w:p w:rsidRPr="00585205" w:rsidR="00CE4BC6" w:rsidP="00E96F61" w:rsidRDefault="00CE4BC6" w14:paraId="7E28F980" w14:textId="77777777">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To whom the mandatory report will be made; and</w:t>
      </w:r>
    </w:p>
    <w:p w:rsidRPr="00585205" w:rsidR="00CE4BC6" w:rsidP="00E96F61" w:rsidRDefault="00CE4BC6" w14:paraId="7E28F981" w14:textId="77777777">
      <w:pPr>
        <w:numPr>
          <w:ilvl w:val="0"/>
          <w:numId w:val="22"/>
        </w:numPr>
        <w:pBdr>
          <w:top w:val="nil"/>
          <w:left w:val="nil"/>
          <w:bottom w:val="nil"/>
          <w:right w:val="nil"/>
          <w:between w:val="nil"/>
        </w:pBdr>
        <w:spacing w:before="120" w:after="120" w:line="240" w:lineRule="auto"/>
        <w:ind w:left="714" w:hanging="357"/>
        <w:jc w:val="both"/>
        <w:rPr>
          <w:lang w:val="en-GB"/>
        </w:rPr>
      </w:pPr>
      <w:r w:rsidRPr="00585205">
        <w:rPr>
          <w:lang w:val="en-GB"/>
        </w:rPr>
        <w:t>What information will be needed if a mandatory report to an external entity is necessary.</w:t>
      </w:r>
    </w:p>
    <w:p w:rsidRPr="009F7561" w:rsidR="00CE4BC6" w:rsidP="002968F0" w:rsidRDefault="00CE4BC6" w14:paraId="7E28F983" w14:textId="72B0FE96">
      <w:pPr>
        <w:spacing w:before="120" w:after="120" w:line="300" w:lineRule="atLeast"/>
        <w:jc w:val="both"/>
        <w:rPr>
          <w:lang w:val="en-GB"/>
        </w:rPr>
      </w:pPr>
      <w:r w:rsidRPr="00585205">
        <w:rPr>
          <w:spacing w:val="-2"/>
          <w:lang w:val="en-GB"/>
        </w:rPr>
        <w:t>In some countries there are mandatory reporting requirements for cases of trafficking in persons</w:t>
      </w:r>
      <w:r w:rsidRPr="009F7561">
        <w:rPr>
          <w:lang w:val="en-GB"/>
        </w:rPr>
        <w:t xml:space="preserve">. Service providers who believe that a GBV survivor has been subjected to trafficking in person should, </w:t>
      </w:r>
      <w:r w:rsidRPr="009F7561" w:rsidR="0084563D">
        <w:rPr>
          <w:lang w:val="en-GB"/>
        </w:rPr>
        <w:t xml:space="preserve">with the </w:t>
      </w:r>
      <w:r w:rsidRPr="009F7561">
        <w:rPr>
          <w:lang w:val="en-GB"/>
        </w:rPr>
        <w:t>survivor</w:t>
      </w:r>
      <w:r w:rsidRPr="009F7561" w:rsidR="00315391">
        <w:rPr>
          <w:lang w:val="en-GB"/>
        </w:rPr>
        <w:t>’s</w:t>
      </w:r>
      <w:r w:rsidRPr="009F7561">
        <w:rPr>
          <w:lang w:val="en-GB"/>
        </w:rPr>
        <w:t xml:space="preserve"> consent, </w:t>
      </w:r>
      <w:r w:rsidRPr="009F7561" w:rsidR="008F6A18">
        <w:rPr>
          <w:lang w:val="en-GB"/>
        </w:rPr>
        <w:t xml:space="preserve">consult </w:t>
      </w:r>
      <w:r w:rsidRPr="009F7561">
        <w:rPr>
          <w:lang w:val="en-GB"/>
        </w:rPr>
        <w:t>with experts and/or refer the case to specialized anti-trafficking protection actors to determine whether the case falls under the anti-trafficking mandatory reporting laws.</w:t>
      </w:r>
      <w:r w:rsidRPr="009F7561">
        <w:rPr>
          <w:vertAlign w:val="superscript"/>
          <w:lang w:val="en-GB"/>
        </w:rPr>
        <w:footnoteReference w:id="94"/>
      </w:r>
      <w:r w:rsidRPr="009F7561">
        <w:rPr>
          <w:lang w:val="en-GB"/>
        </w:rPr>
        <w:t xml:space="preserve"> </w:t>
      </w:r>
    </w:p>
    <w:p w:rsidRPr="00585205" w:rsidR="00CE4BC6" w:rsidP="00E82689" w:rsidRDefault="00CE4BC6" w14:paraId="7E28F984" w14:textId="77777777">
      <w:pPr>
        <w:spacing w:before="120" w:after="120" w:line="240" w:lineRule="auto"/>
        <w:jc w:val="both"/>
        <w:rPr>
          <w:sz w:val="2"/>
          <w:szCs w:val="2"/>
          <w:lang w:val="en-GB"/>
        </w:rPr>
      </w:pPr>
    </w:p>
    <w:p w:rsidRPr="009F7561" w:rsidR="00CE4BC6" w:rsidP="002968F0" w:rsidRDefault="00CE4BC6" w14:paraId="7E28F985" w14:textId="4C090FD0">
      <w:pPr>
        <w:spacing w:before="120" w:after="120" w:line="300" w:lineRule="atLeast"/>
        <w:jc w:val="both"/>
        <w:rPr>
          <w:b/>
          <w:lang w:val="en-GB"/>
        </w:rPr>
      </w:pPr>
      <w:r w:rsidRPr="009F7561">
        <w:rPr>
          <w:b/>
          <w:lang w:val="en-GB"/>
        </w:rPr>
        <w:t>Reporting requirements related to SEA</w:t>
      </w:r>
    </w:p>
    <w:p w:rsidRPr="009F7561" w:rsidR="00CE4BC6" w:rsidP="002968F0" w:rsidRDefault="00CE4BC6" w14:paraId="7E28F987" w14:textId="3C322914">
      <w:pPr>
        <w:spacing w:before="120" w:after="120" w:line="300" w:lineRule="atLeast"/>
        <w:jc w:val="both"/>
        <w:rPr>
          <w:lang w:val="en-GB"/>
        </w:rPr>
      </w:pPr>
      <w:r w:rsidRPr="009F7561">
        <w:rPr>
          <w:lang w:val="en-GB"/>
        </w:rPr>
        <w:t>In humanitarian settings, all organ</w:t>
      </w:r>
      <w:r w:rsidRPr="009F7561" w:rsidR="002D1850">
        <w:rPr>
          <w:lang w:val="en-GB"/>
        </w:rPr>
        <w:t>iza</w:t>
      </w:r>
      <w:r w:rsidRPr="009F7561">
        <w:rPr>
          <w:lang w:val="en-GB"/>
        </w:rPr>
        <w:t xml:space="preserve">tions are mandated to have protocols in place for responding to sexual exploitation and abuse by humanitarian workers (see also </w:t>
      </w:r>
      <w:r w:rsidRPr="009F7561" w:rsidR="00CB5A06">
        <w:rPr>
          <w:lang w:val="en-GB"/>
        </w:rPr>
        <w:t>section</w:t>
      </w:r>
      <w:r w:rsidRPr="009F7561">
        <w:rPr>
          <w:lang w:val="en-GB"/>
        </w:rPr>
        <w:t xml:space="preserve"> 5 on </w:t>
      </w:r>
      <w:r w:rsidRPr="009F7561" w:rsidR="00D943C4">
        <w:rPr>
          <w:lang w:val="en-GB"/>
        </w:rPr>
        <w:t>protection from sexual exploitation and abuse</w:t>
      </w:r>
      <w:r w:rsidRPr="009F7561">
        <w:rPr>
          <w:lang w:val="en-GB"/>
        </w:rPr>
        <w:t>). Organ</w:t>
      </w:r>
      <w:r w:rsidRPr="009F7561" w:rsidR="002D1850">
        <w:rPr>
          <w:lang w:val="en-GB"/>
        </w:rPr>
        <w:t>iza</w:t>
      </w:r>
      <w:r w:rsidRPr="009F7561">
        <w:rPr>
          <w:lang w:val="en-GB"/>
        </w:rPr>
        <w:t xml:space="preserve">tions need to be clear on the </w:t>
      </w:r>
      <w:r w:rsidR="00D15C40">
        <w:rPr>
          <w:lang w:val="en-GB"/>
        </w:rPr>
        <w:t>inter-agency</w:t>
      </w:r>
      <w:r w:rsidRPr="009F7561" w:rsidDel="001A0D9F" w:rsidR="0075030A">
        <w:rPr>
          <w:lang w:val="en-GB"/>
        </w:rPr>
        <w:t xml:space="preserve"> </w:t>
      </w:r>
      <w:r w:rsidRPr="009F7561">
        <w:rPr>
          <w:lang w:val="en-GB"/>
        </w:rPr>
        <w:t xml:space="preserve">protocol and inform the survivor about limitations of confidentiality, </w:t>
      </w:r>
      <w:r w:rsidRPr="009F7561" w:rsidR="001D014B">
        <w:rPr>
          <w:lang w:val="en-GB"/>
        </w:rPr>
        <w:t xml:space="preserve">such </w:t>
      </w:r>
      <w:r w:rsidRPr="009F7561">
        <w:rPr>
          <w:lang w:val="en-GB"/>
        </w:rPr>
        <w:t xml:space="preserve">as to whom the case </w:t>
      </w:r>
      <w:r w:rsidR="00403679">
        <w:rPr>
          <w:lang w:val="en-GB"/>
        </w:rPr>
        <w:t>will</w:t>
      </w:r>
      <w:r w:rsidRPr="009F7561" w:rsidR="00403679">
        <w:rPr>
          <w:lang w:val="en-GB"/>
        </w:rPr>
        <w:t xml:space="preserve"> </w:t>
      </w:r>
      <w:r w:rsidRPr="009F7561">
        <w:rPr>
          <w:lang w:val="en-GB"/>
        </w:rPr>
        <w:t xml:space="preserve">be reported, what information </w:t>
      </w:r>
      <w:r w:rsidR="00403679">
        <w:rPr>
          <w:lang w:val="en-GB"/>
        </w:rPr>
        <w:t xml:space="preserve">will </w:t>
      </w:r>
      <w:r w:rsidRPr="009F7561">
        <w:rPr>
          <w:lang w:val="en-GB"/>
        </w:rPr>
        <w:t>be shared</w:t>
      </w:r>
      <w:r w:rsidRPr="009F7561" w:rsidR="008A1575">
        <w:rPr>
          <w:lang w:val="en-GB"/>
        </w:rPr>
        <w:t xml:space="preserve"> and </w:t>
      </w:r>
      <w:r w:rsidRPr="009F7561">
        <w:rPr>
          <w:lang w:val="en-GB"/>
        </w:rPr>
        <w:t xml:space="preserve">what the expectations </w:t>
      </w:r>
      <w:r w:rsidR="00403679">
        <w:rPr>
          <w:lang w:val="en-GB"/>
        </w:rPr>
        <w:t>will</w:t>
      </w:r>
      <w:r w:rsidRPr="009F7561">
        <w:rPr>
          <w:lang w:val="en-GB"/>
        </w:rPr>
        <w:t xml:space="preserve"> be regarding the survivor</w:t>
      </w:r>
      <w:r w:rsidRPr="009F7561" w:rsidR="00315391">
        <w:rPr>
          <w:lang w:val="en-GB"/>
        </w:rPr>
        <w:t>’s</w:t>
      </w:r>
      <w:r w:rsidRPr="009F7561">
        <w:rPr>
          <w:lang w:val="en-GB"/>
        </w:rPr>
        <w:t xml:space="preserve"> involvement.</w:t>
      </w:r>
    </w:p>
    <w:p w:rsidRPr="009A46C1" w:rsidR="00CE4BC6" w:rsidP="002968F0" w:rsidRDefault="009A46C1" w14:paraId="7E28F98B" w14:textId="15B05649">
      <w:pPr>
        <w:spacing w:before="120" w:after="120" w:line="300" w:lineRule="atLeast"/>
        <w:jc w:val="both"/>
        <w:rPr>
          <w:b/>
          <w:i/>
          <w:iCs/>
          <w:color w:val="0070C0"/>
          <w:lang w:val="en-GB"/>
        </w:rPr>
      </w:pPr>
      <w:r w:rsidRPr="009A46C1">
        <w:rPr>
          <w:i/>
          <w:iCs/>
          <w:color w:val="0070C0"/>
          <w:lang w:val="en-GB"/>
        </w:rPr>
        <w:t>[</w:t>
      </w:r>
      <w:r w:rsidRPr="009A46C1" w:rsidR="00CE4BC6">
        <w:rPr>
          <w:i/>
          <w:iCs/>
          <w:color w:val="0070C0"/>
          <w:lang w:val="en-GB"/>
        </w:rPr>
        <w:t xml:space="preserve">Insert information here about relevant mandatory reporting laws, policies, protocols and any other requirements in the setting, including reporting mechanisms and investigation procedures. This includes reporting suspected sexual exploitation or abuse perpetrated by any humanitarian workers (see </w:t>
      </w:r>
      <w:r w:rsidRPr="009A46C1" w:rsidR="00CB5A06">
        <w:rPr>
          <w:i/>
          <w:iCs/>
          <w:color w:val="0070C0"/>
          <w:lang w:val="en-GB"/>
        </w:rPr>
        <w:t>section</w:t>
      </w:r>
      <w:r w:rsidRPr="009A46C1" w:rsidR="00CE4BC6">
        <w:rPr>
          <w:i/>
          <w:iCs/>
          <w:color w:val="0070C0"/>
          <w:lang w:val="en-GB"/>
        </w:rPr>
        <w:t xml:space="preserve"> 5).</w:t>
      </w:r>
      <w:r w:rsidRPr="009A46C1">
        <w:rPr>
          <w:i/>
          <w:iCs/>
          <w:color w:val="0070C0"/>
          <w:lang w:val="en-GB"/>
        </w:rPr>
        <w:t>]</w:t>
      </w:r>
    </w:p>
    <w:p w:rsidRPr="007F7C0F" w:rsidR="00CE4BC6" w:rsidP="00C22D9F" w:rsidRDefault="00CE4BC6" w14:paraId="7E28F98D" w14:textId="6BC45665">
      <w:pPr>
        <w:pStyle w:val="Heading3"/>
      </w:pPr>
      <w:bookmarkStart w:name="_Toc134906267" w:id="90"/>
      <w:bookmarkStart w:name="_Toc142469139" w:id="91"/>
      <w:r w:rsidRPr="007F7C0F">
        <w:t xml:space="preserve">Referral </w:t>
      </w:r>
      <w:r w:rsidRPr="007F7C0F" w:rsidR="008D2BC8">
        <w:t>pathway</w:t>
      </w:r>
      <w:bookmarkEnd w:id="90"/>
      <w:bookmarkEnd w:id="91"/>
    </w:p>
    <w:tbl>
      <w:tblPr>
        <w:tblStyle w:val="TableGrid"/>
        <w:tblW w:w="0" w:type="auto"/>
        <w:tblLook w:val="04A0" w:firstRow="1" w:lastRow="0" w:firstColumn="1" w:lastColumn="0" w:noHBand="0" w:noVBand="1"/>
      </w:tblPr>
      <w:tblGrid>
        <w:gridCol w:w="9350"/>
      </w:tblGrid>
      <w:tr w:rsidR="002968F0" w:rsidTr="002968F0" w14:paraId="7B94BAA8" w14:textId="77777777">
        <w:tc>
          <w:tcPr>
            <w:tcW w:w="9350" w:type="dxa"/>
          </w:tcPr>
          <w:p w:rsidRPr="009F7561" w:rsidR="002968F0" w:rsidP="002968F0" w:rsidRDefault="002968F0" w14:paraId="29EC3CD6" w14:textId="77777777">
            <w:pPr>
              <w:spacing w:before="120" w:after="120" w:line="300" w:lineRule="atLeast"/>
              <w:jc w:val="both"/>
              <w:rPr>
                <w:b/>
                <w:i/>
                <w:lang w:val="en-GB"/>
              </w:rPr>
            </w:pPr>
            <w:r w:rsidRPr="009F7561">
              <w:rPr>
                <w:b/>
                <w:i/>
                <w:lang w:val="en-GB"/>
              </w:rPr>
              <w:t>Essential issues to consider</w:t>
            </w:r>
          </w:p>
          <w:p w:rsidRPr="009F7561" w:rsidR="002968F0" w:rsidP="002968F0" w:rsidRDefault="002968F0" w14:paraId="3AC79031" w14:textId="77777777">
            <w:pPr>
              <w:spacing w:before="120" w:after="120" w:line="300" w:lineRule="atLeast"/>
              <w:jc w:val="both"/>
              <w:rPr>
                <w:i/>
                <w:lang w:val="en-GB"/>
              </w:rPr>
            </w:pPr>
            <w:r w:rsidRPr="009F7561">
              <w:rPr>
                <w:i/>
                <w:lang w:val="en-GB"/>
              </w:rPr>
              <w:t>How to establish and update referral pathways</w:t>
            </w:r>
          </w:p>
          <w:p w:rsidRPr="009F7561" w:rsidR="002968F0" w:rsidP="00E96F61" w:rsidRDefault="002968F0" w14:paraId="14F378E0" w14:textId="77777777">
            <w:pPr>
              <w:numPr>
                <w:ilvl w:val="0"/>
                <w:numId w:val="18"/>
              </w:numPr>
              <w:spacing w:before="120" w:after="120"/>
              <w:ind w:left="714" w:hanging="357"/>
              <w:jc w:val="both"/>
              <w:rPr>
                <w:i/>
                <w:lang w:val="en-GB"/>
              </w:rPr>
            </w:pPr>
            <w:r w:rsidRPr="009F7561">
              <w:rPr>
                <w:i/>
                <w:lang w:val="en-GB"/>
              </w:rPr>
              <w:t>Draw on coordinated mapping and/or assessment of available services and capacity in each location to establish the referral pathway. This includes understanding the capacity of each actor that may be included in the referral system.</w:t>
            </w:r>
          </w:p>
          <w:p w:rsidRPr="009F7561" w:rsidR="002968F0" w:rsidP="00E96F61" w:rsidRDefault="002968F0" w14:paraId="5B70F161" w14:textId="77777777">
            <w:pPr>
              <w:numPr>
                <w:ilvl w:val="0"/>
                <w:numId w:val="18"/>
              </w:numPr>
              <w:spacing w:before="120" w:after="120"/>
              <w:ind w:left="714" w:hanging="357"/>
              <w:jc w:val="both"/>
              <w:rPr>
                <w:i/>
                <w:lang w:val="en-GB"/>
              </w:rPr>
            </w:pPr>
            <w:r w:rsidRPr="009F7561">
              <w:rPr>
                <w:i/>
                <w:lang w:val="en-GB"/>
              </w:rPr>
              <w:t>Consult with women, girls and other community members about where and with what organization(s) the “entry point(s)” for GBV response services should be located and what might make these entry points safer and more accessible.</w:t>
            </w:r>
          </w:p>
          <w:p w:rsidRPr="009F7561" w:rsidR="002968F0" w:rsidP="00E96F61" w:rsidRDefault="002968F0" w14:paraId="16E9056F" w14:textId="77777777">
            <w:pPr>
              <w:numPr>
                <w:ilvl w:val="0"/>
                <w:numId w:val="18"/>
              </w:numPr>
              <w:spacing w:before="120" w:after="120"/>
              <w:ind w:left="714" w:hanging="357"/>
              <w:jc w:val="both"/>
              <w:rPr>
                <w:i/>
                <w:lang w:val="en-GB"/>
              </w:rPr>
            </w:pPr>
            <w:r w:rsidRPr="009F7561">
              <w:rPr>
                <w:i/>
                <w:lang w:val="en-GB"/>
              </w:rPr>
              <w:t xml:space="preserve">Establish a clear referral system in each setting so that survivors of an incident know to whom they should </w:t>
            </w:r>
            <w:r>
              <w:rPr>
                <w:i/>
                <w:lang w:val="en-GB"/>
              </w:rPr>
              <w:t>disclose</w:t>
            </w:r>
            <w:r w:rsidRPr="009F7561">
              <w:rPr>
                <w:i/>
                <w:lang w:val="en-GB"/>
              </w:rPr>
              <w:t xml:space="preserve"> and what sort of assistance survivors can expect to receive from the health, psychosocial, case management and other sectors.</w:t>
            </w:r>
          </w:p>
          <w:p w:rsidRPr="009F7561" w:rsidR="002968F0" w:rsidP="00E96F61" w:rsidRDefault="002968F0" w14:paraId="04823C15" w14:textId="77777777">
            <w:pPr>
              <w:numPr>
                <w:ilvl w:val="0"/>
                <w:numId w:val="18"/>
              </w:numPr>
              <w:spacing w:before="120" w:after="120"/>
              <w:ind w:left="714" w:hanging="357"/>
              <w:jc w:val="both"/>
              <w:rPr>
                <w:i/>
                <w:lang w:val="en-GB"/>
              </w:rPr>
            </w:pPr>
            <w:r w:rsidRPr="009F7561">
              <w:rPr>
                <w:i/>
                <w:lang w:val="en-GB"/>
              </w:rPr>
              <w:t xml:space="preserve">Include easy-to-understand terms explaining what to do and where to go for immediate service delivery. The people who are most likely to refer survivors to services need to understand the referral pathway. </w:t>
            </w:r>
          </w:p>
          <w:p w:rsidRPr="009F7561" w:rsidR="002968F0" w:rsidP="00E96F61" w:rsidRDefault="002968F0" w14:paraId="1347B36B" w14:textId="77777777">
            <w:pPr>
              <w:numPr>
                <w:ilvl w:val="0"/>
                <w:numId w:val="2"/>
              </w:numPr>
              <w:spacing w:before="120" w:after="120"/>
              <w:ind w:left="714" w:hanging="357"/>
              <w:jc w:val="both"/>
              <w:rPr>
                <w:i/>
                <w:lang w:val="en-GB"/>
              </w:rPr>
            </w:pPr>
            <w:r>
              <w:rPr>
                <w:i/>
                <w:lang w:val="en-GB"/>
              </w:rPr>
              <w:t xml:space="preserve">Document </w:t>
            </w:r>
            <w:r w:rsidRPr="009F7561">
              <w:rPr>
                <w:i/>
                <w:lang w:val="en-GB"/>
              </w:rPr>
              <w:t>the quality of services and monitor</w:t>
            </w:r>
            <w:r>
              <w:rPr>
                <w:i/>
                <w:lang w:val="en-GB"/>
              </w:rPr>
              <w:t xml:space="preserve"> this</w:t>
            </w:r>
            <w:r w:rsidRPr="009F7561">
              <w:rPr>
                <w:i/>
                <w:lang w:val="en-GB"/>
              </w:rPr>
              <w:t xml:space="preserve"> over time to ensure they are functional and meet minimum standards of care in line with GBV guiding principles.</w:t>
            </w:r>
            <w:r w:rsidRPr="009F7561">
              <w:rPr>
                <w:i/>
                <w:vertAlign w:val="superscript"/>
                <w:lang w:val="en-GB"/>
              </w:rPr>
              <w:footnoteReference w:id="95"/>
            </w:r>
          </w:p>
          <w:p w:rsidRPr="009F7561" w:rsidR="002968F0" w:rsidP="00E96F61" w:rsidRDefault="002968F0" w14:paraId="40BAD5C8" w14:textId="77777777">
            <w:pPr>
              <w:numPr>
                <w:ilvl w:val="0"/>
                <w:numId w:val="2"/>
              </w:numPr>
              <w:spacing w:before="120" w:after="120"/>
              <w:ind w:left="714" w:hanging="357"/>
              <w:jc w:val="both"/>
              <w:rPr>
                <w:i/>
                <w:lang w:val="en-GB"/>
              </w:rPr>
            </w:pPr>
            <w:r w:rsidRPr="009F7561">
              <w:rPr>
                <w:i/>
                <w:lang w:val="en-GB"/>
              </w:rPr>
              <w:t>Update referral pathways when service providers change. Agree amongst service providers how to share the referral pathway so that it reaches key community members.</w:t>
            </w:r>
          </w:p>
          <w:p w:rsidRPr="009F7561" w:rsidR="002968F0" w:rsidP="002968F0" w:rsidRDefault="002968F0" w14:paraId="7EC163DA" w14:textId="77777777">
            <w:pPr>
              <w:spacing w:before="120" w:after="120" w:line="300" w:lineRule="atLeast"/>
              <w:jc w:val="both"/>
              <w:rPr>
                <w:i/>
                <w:lang w:val="en-GB"/>
              </w:rPr>
            </w:pPr>
            <w:r w:rsidRPr="009F7561">
              <w:rPr>
                <w:i/>
                <w:lang w:val="en-GB"/>
              </w:rPr>
              <w:t>Key information and accessibility considerations</w:t>
            </w:r>
          </w:p>
          <w:p w:rsidRPr="009F7561" w:rsidR="002968F0" w:rsidP="00E96F61" w:rsidRDefault="002968F0" w14:paraId="6B958E47" w14:textId="77777777">
            <w:pPr>
              <w:numPr>
                <w:ilvl w:val="0"/>
                <w:numId w:val="16"/>
              </w:numPr>
              <w:spacing w:before="120" w:after="120"/>
              <w:ind w:left="714" w:hanging="357"/>
              <w:jc w:val="both"/>
              <w:rPr>
                <w:i/>
                <w:lang w:val="en-GB"/>
              </w:rPr>
            </w:pPr>
            <w:r w:rsidRPr="009F7561">
              <w:rPr>
                <w:i/>
                <w:lang w:val="en-GB"/>
              </w:rPr>
              <w:t xml:space="preserve">In settings where it is safe to include more detailed information about entry points, the referral pathway should include both (1) the name of the organization and (2) its GBV focal point, with the contact phone number and/or address. </w:t>
            </w:r>
          </w:p>
          <w:p w:rsidRPr="009F7561" w:rsidR="002968F0" w:rsidP="00E96F61" w:rsidRDefault="002968F0" w14:paraId="63803520" w14:textId="77777777">
            <w:pPr>
              <w:numPr>
                <w:ilvl w:val="0"/>
                <w:numId w:val="16"/>
              </w:numPr>
              <w:spacing w:before="120" w:after="120"/>
              <w:ind w:left="714" w:hanging="357"/>
              <w:jc w:val="both"/>
              <w:rPr>
                <w:i/>
                <w:lang w:val="en-GB"/>
              </w:rPr>
            </w:pPr>
            <w:r w:rsidRPr="009F7561">
              <w:rPr>
                <w:i/>
                <w:lang w:val="en-GB"/>
              </w:rPr>
              <w:t>Involve representatives and members of groups who face barriers to access in the development of the GBV SOPS and referral pathway to ensure appropriate adaptations and increase marginalized groups</w:t>
            </w:r>
            <w:r>
              <w:rPr>
                <w:i/>
                <w:lang w:val="en-GB"/>
              </w:rPr>
              <w:t>’</w:t>
            </w:r>
            <w:r w:rsidRPr="009F7561">
              <w:rPr>
                <w:i/>
                <w:lang w:val="en-GB"/>
              </w:rPr>
              <w:t xml:space="preserve"> safe access to services.</w:t>
            </w:r>
          </w:p>
          <w:p w:rsidRPr="009F7561" w:rsidR="002968F0" w:rsidP="00E96F61" w:rsidRDefault="002968F0" w14:paraId="4882E5DD" w14:textId="77777777">
            <w:pPr>
              <w:numPr>
                <w:ilvl w:val="0"/>
                <w:numId w:val="16"/>
              </w:numPr>
              <w:spacing w:before="120" w:after="120"/>
              <w:ind w:left="714" w:hanging="357"/>
              <w:jc w:val="both"/>
              <w:rPr>
                <w:i/>
                <w:lang w:val="en-GB"/>
              </w:rPr>
            </w:pPr>
            <w:r w:rsidRPr="009F7561">
              <w:rPr>
                <w:i/>
                <w:lang w:val="en-GB"/>
              </w:rPr>
              <w:t>Implement specific access adaptations to the referral pathway for groups of persons who face additional barriers to access, including survivors with disabilities and older women.</w:t>
            </w:r>
          </w:p>
          <w:p w:rsidRPr="002968F0" w:rsidR="002968F0" w:rsidP="002968F0" w:rsidRDefault="002968F0" w14:paraId="37A2CCBA" w14:textId="530C1893">
            <w:pPr>
              <w:spacing w:before="120" w:after="120" w:line="300" w:lineRule="atLeast"/>
              <w:jc w:val="both"/>
              <w:rPr>
                <w:lang w:val="en-GB"/>
              </w:rPr>
            </w:pPr>
            <w:r w:rsidRPr="009F7561">
              <w:rPr>
                <w:lang w:val="en-GB"/>
              </w:rPr>
              <w:t>See Annex 10 for sample referral pathways and a sample description of referral methods in a specific location.</w:t>
            </w:r>
          </w:p>
        </w:tc>
      </w:tr>
    </w:tbl>
    <w:p w:rsidRPr="009F7561" w:rsidR="00CE4BC6" w:rsidP="002968F0" w:rsidRDefault="00CE4BC6" w14:paraId="7E28F9A1" w14:textId="5DAD22FE">
      <w:pPr>
        <w:spacing w:before="120" w:after="120" w:line="300" w:lineRule="atLeast"/>
        <w:jc w:val="both"/>
        <w:rPr>
          <w:lang w:val="en-GB"/>
        </w:rPr>
      </w:pPr>
      <w:r w:rsidRPr="009F7561">
        <w:rPr>
          <w:lang w:val="en-GB"/>
        </w:rPr>
        <w:t>A referral system is a flexible mechanism that safely links survivors to services such as health, psychosocial support, case management, safety/security</w:t>
      </w:r>
      <w:r w:rsidRPr="009F7561" w:rsidR="008A1575">
        <w:rPr>
          <w:lang w:val="en-GB"/>
        </w:rPr>
        <w:t xml:space="preserve"> and </w:t>
      </w:r>
      <w:r w:rsidRPr="009F7561">
        <w:rPr>
          <w:lang w:val="en-GB"/>
        </w:rPr>
        <w:t>justice and legal aid. A functional referral system of survivor-centred, multisectoral service providers supports survivors</w:t>
      </w:r>
      <w:r w:rsidRPr="009F7561" w:rsidR="00E80B47">
        <w:rPr>
          <w:lang w:val="en-GB"/>
        </w:rPr>
        <w:t>’</w:t>
      </w:r>
      <w:r w:rsidRPr="009F7561">
        <w:rPr>
          <w:lang w:val="en-GB"/>
        </w:rPr>
        <w:t xml:space="preserve"> health, healing and empowerment. A referral system should include all </w:t>
      </w:r>
      <w:r w:rsidRPr="009F7561" w:rsidR="005E1813">
        <w:rPr>
          <w:lang w:val="en-GB"/>
        </w:rPr>
        <w:t xml:space="preserve">GBV </w:t>
      </w:r>
      <w:r w:rsidRPr="009F7561">
        <w:rPr>
          <w:lang w:val="en-GB"/>
        </w:rPr>
        <w:t xml:space="preserve">specialized services that are available in the setting. </w:t>
      </w:r>
    </w:p>
    <w:p w:rsidRPr="009F7561" w:rsidR="00CE4BC6" w:rsidP="002968F0" w:rsidRDefault="00CE4BC6" w14:paraId="7E28F9A3" w14:textId="5624496E">
      <w:pPr>
        <w:spacing w:before="120" w:after="120" w:line="300" w:lineRule="atLeast"/>
        <w:jc w:val="both"/>
        <w:rPr>
          <w:lang w:val="en-GB"/>
        </w:rPr>
      </w:pPr>
      <w:r w:rsidRPr="009F7561">
        <w:rPr>
          <w:lang w:val="en-GB"/>
        </w:rPr>
        <w:t>A referral pathway documents the referral system that is in place, describing the GBV and other service providers in a context, how survivors can access these services</w:t>
      </w:r>
      <w:r w:rsidRPr="009F7561" w:rsidR="008A1575">
        <w:rPr>
          <w:lang w:val="en-GB"/>
        </w:rPr>
        <w:t xml:space="preserve"> and </w:t>
      </w:r>
      <w:r w:rsidRPr="009F7561">
        <w:rPr>
          <w:lang w:val="en-GB"/>
        </w:rPr>
        <w:t xml:space="preserve">how referrals are made between service providers. </w:t>
      </w:r>
    </w:p>
    <w:p w:rsidRPr="0037182E" w:rsidR="00CE4BC6" w:rsidP="0037182E" w:rsidRDefault="00CE4BC6" w14:paraId="7E28F9A5" w14:textId="234D199C">
      <w:pPr>
        <w:rPr>
          <w:highlight w:val="cyan"/>
          <w:u w:val="single"/>
        </w:rPr>
      </w:pPr>
      <w:r w:rsidRPr="0037182E">
        <w:rPr>
          <w:u w:val="single"/>
        </w:rPr>
        <w:t xml:space="preserve">Referral </w:t>
      </w:r>
      <w:r w:rsidRPr="0037182E" w:rsidR="00B16388">
        <w:rPr>
          <w:u w:val="single"/>
        </w:rPr>
        <w:t>system</w:t>
      </w:r>
    </w:p>
    <w:p w:rsidRPr="009F7561" w:rsidR="00CE4BC6" w:rsidP="00E96F61" w:rsidRDefault="00CE4BC6" w14:paraId="7E28F9A7" w14:textId="4921F506">
      <w:pPr>
        <w:numPr>
          <w:ilvl w:val="0"/>
          <w:numId w:val="19"/>
        </w:numPr>
        <w:spacing w:before="120" w:after="120" w:line="300" w:lineRule="atLeast"/>
        <w:jc w:val="both"/>
        <w:rPr>
          <w:lang w:val="en-GB"/>
        </w:rPr>
      </w:pPr>
      <w:r w:rsidRPr="009F7561">
        <w:rPr>
          <w:lang w:val="en-GB"/>
        </w:rPr>
        <w:t>A referral is made only with the informed consent and/or assent of the survivor and/or caregiver. A survivor should not be urged or forced to take a particular course of action. The wishes of the survivor must always be respected</w:t>
      </w:r>
      <w:r w:rsidRPr="009F7561" w:rsidR="00B16388">
        <w:rPr>
          <w:lang w:val="en-GB"/>
        </w:rPr>
        <w:t>.</w:t>
      </w:r>
    </w:p>
    <w:p w:rsidRPr="009F7561" w:rsidR="00CE4BC6" w:rsidP="00E96F61" w:rsidRDefault="00CE4BC6" w14:paraId="7E28F9A8" w14:textId="36C1CEE2">
      <w:pPr>
        <w:numPr>
          <w:ilvl w:val="0"/>
          <w:numId w:val="19"/>
        </w:numPr>
        <w:spacing w:before="120" w:after="120" w:line="300" w:lineRule="atLeast"/>
        <w:jc w:val="both"/>
        <w:rPr>
          <w:lang w:val="en-GB"/>
        </w:rPr>
      </w:pPr>
      <w:r w:rsidRPr="009F7561">
        <w:rPr>
          <w:lang w:val="en-GB"/>
        </w:rPr>
        <w:t>If the survivor does not want to access services, provide them with details of service providers in your area in case they want to use them in future</w:t>
      </w:r>
      <w:r w:rsidRPr="009F7561" w:rsidR="00B16388">
        <w:rPr>
          <w:lang w:val="en-GB"/>
        </w:rPr>
        <w:t>.</w:t>
      </w:r>
    </w:p>
    <w:p w:rsidRPr="009F7561" w:rsidR="00CE4BC6" w:rsidP="00E96F61" w:rsidRDefault="00CE4BC6" w14:paraId="7E28F9A9" w14:textId="6A2E452C">
      <w:pPr>
        <w:numPr>
          <w:ilvl w:val="0"/>
          <w:numId w:val="19"/>
        </w:numPr>
        <w:spacing w:before="120" w:after="120" w:line="300" w:lineRule="atLeast"/>
        <w:jc w:val="both"/>
        <w:rPr>
          <w:lang w:val="en-GB"/>
        </w:rPr>
      </w:pPr>
      <w:r w:rsidRPr="009F7561">
        <w:rPr>
          <w:lang w:val="en-GB"/>
        </w:rPr>
        <w:t xml:space="preserve">If the survivor agrees to access services, contact the primary focal point on the GBV referral pathway for your location and facilitate contact between service providers and survivors to arrange for follow-up care. Follow the information given in the referral pathway </w:t>
      </w:r>
      <w:r w:rsidRPr="00585205">
        <w:rPr>
          <w:lang w:val="en-GB"/>
        </w:rPr>
        <w:t xml:space="preserve">[on Page </w:t>
      </w:r>
      <w:r w:rsidR="00250EB8">
        <w:rPr>
          <w:lang w:val="en-GB"/>
        </w:rPr>
        <w:t>52</w:t>
      </w:r>
      <w:r w:rsidRPr="00585205" w:rsidR="00B16388">
        <w:rPr>
          <w:lang w:val="en-GB"/>
        </w:rPr>
        <w:t>].</w:t>
      </w:r>
    </w:p>
    <w:p w:rsidRPr="009F7561" w:rsidR="00CE4BC6" w:rsidP="00E96F61" w:rsidRDefault="00CE4BC6" w14:paraId="7E28F9AA" w14:textId="095B5A95">
      <w:pPr>
        <w:numPr>
          <w:ilvl w:val="0"/>
          <w:numId w:val="19"/>
        </w:numPr>
        <w:spacing w:before="120" w:after="120" w:line="300" w:lineRule="atLeast"/>
        <w:jc w:val="both"/>
        <w:rPr>
          <w:lang w:val="en-GB"/>
        </w:rPr>
      </w:pPr>
      <w:r w:rsidRPr="009F7561">
        <w:rPr>
          <w:lang w:val="en-GB"/>
        </w:rPr>
        <w:t>Ask survivor</w:t>
      </w:r>
      <w:r w:rsidR="007D7805">
        <w:rPr>
          <w:lang w:val="en-GB"/>
        </w:rPr>
        <w:t>s</w:t>
      </w:r>
      <w:r w:rsidRPr="009F7561">
        <w:rPr>
          <w:lang w:val="en-GB"/>
        </w:rPr>
        <w:t xml:space="preserve"> if </w:t>
      </w:r>
      <w:r w:rsidR="007D7805">
        <w:rPr>
          <w:lang w:val="en-GB"/>
        </w:rPr>
        <w:t xml:space="preserve">they </w:t>
      </w:r>
      <w:r w:rsidRPr="009F7561">
        <w:rPr>
          <w:lang w:val="en-GB"/>
        </w:rPr>
        <w:t xml:space="preserve">would like to be accompanied to the agency to which </w:t>
      </w:r>
      <w:r w:rsidR="007D7805">
        <w:rPr>
          <w:lang w:val="en-GB"/>
        </w:rPr>
        <w:t xml:space="preserve">they are </w:t>
      </w:r>
      <w:r w:rsidRPr="009F7561">
        <w:rPr>
          <w:lang w:val="en-GB"/>
        </w:rPr>
        <w:t>being referred and talk through potential safety concerns</w:t>
      </w:r>
      <w:r w:rsidRPr="009F7561" w:rsidR="00B16388">
        <w:rPr>
          <w:lang w:val="en-GB"/>
        </w:rPr>
        <w:t>.</w:t>
      </w:r>
    </w:p>
    <w:p w:rsidRPr="009F7561" w:rsidR="00CE4BC6" w:rsidP="00E96F61" w:rsidRDefault="00CE4BC6" w14:paraId="7E28F9AB" w14:textId="7C06DE35">
      <w:pPr>
        <w:numPr>
          <w:ilvl w:val="0"/>
          <w:numId w:val="19"/>
        </w:numPr>
        <w:spacing w:before="120" w:after="120" w:line="300" w:lineRule="atLeast"/>
        <w:jc w:val="both"/>
        <w:rPr>
          <w:lang w:val="en-GB"/>
        </w:rPr>
      </w:pPr>
      <w:r w:rsidRPr="009F7561">
        <w:rPr>
          <w:lang w:val="en-GB"/>
        </w:rPr>
        <w:t>Information about referrals should be kept to a minimum; do not discuss sensitive information with anyone but the recipient of the referral, including other staff from your organization</w:t>
      </w:r>
      <w:r w:rsidRPr="009F7561" w:rsidR="00B16388">
        <w:rPr>
          <w:lang w:val="en-GB"/>
        </w:rPr>
        <w:t>.</w:t>
      </w:r>
    </w:p>
    <w:p w:rsidRPr="009F7561" w:rsidR="00CE4BC6" w:rsidP="00E96F61" w:rsidRDefault="00CE4BC6" w14:paraId="7E28F9AC" w14:textId="7F52544F">
      <w:pPr>
        <w:numPr>
          <w:ilvl w:val="0"/>
          <w:numId w:val="19"/>
        </w:numPr>
        <w:spacing w:before="120" w:after="120" w:line="300" w:lineRule="atLeast"/>
        <w:jc w:val="both"/>
        <w:rPr>
          <w:lang w:val="en-GB"/>
        </w:rPr>
      </w:pPr>
      <w:r w:rsidRPr="009F7561">
        <w:rPr>
          <w:lang w:val="en-GB"/>
        </w:rPr>
        <w:t xml:space="preserve">Use the coded </w:t>
      </w:r>
      <w:r w:rsidR="00DB2AEC">
        <w:rPr>
          <w:lang w:val="en-GB"/>
        </w:rPr>
        <w:t>i</w:t>
      </w:r>
      <w:r w:rsidR="00D15C40">
        <w:rPr>
          <w:lang w:val="en-GB"/>
        </w:rPr>
        <w:t>nter-agency</w:t>
      </w:r>
      <w:r w:rsidRPr="009F7561">
        <w:rPr>
          <w:lang w:val="en-GB"/>
        </w:rPr>
        <w:t xml:space="preserve"> GBV Referral Form</w:t>
      </w:r>
      <w:r w:rsidR="00214591">
        <w:rPr>
          <w:lang w:val="en-GB"/>
        </w:rPr>
        <w:t xml:space="preserve"> </w:t>
      </w:r>
      <w:r w:rsidRPr="009F7561">
        <w:rPr>
          <w:lang w:val="en-GB"/>
        </w:rPr>
        <w:t>that does not include the name, address</w:t>
      </w:r>
      <w:r w:rsidRPr="009F7561" w:rsidR="00461384">
        <w:rPr>
          <w:lang w:val="en-GB"/>
        </w:rPr>
        <w:t xml:space="preserve"> or </w:t>
      </w:r>
      <w:r w:rsidRPr="009F7561">
        <w:rPr>
          <w:lang w:val="en-GB"/>
        </w:rPr>
        <w:t>any other information that might identify the survivor</w:t>
      </w:r>
      <w:r w:rsidRPr="009F7561" w:rsidR="000F7EE1">
        <w:rPr>
          <w:lang w:val="en-GB"/>
        </w:rPr>
        <w:t>.</w:t>
      </w:r>
    </w:p>
    <w:p w:rsidRPr="009F7561" w:rsidR="00CE4BC6" w:rsidP="00E96F61" w:rsidRDefault="00CE4BC6" w14:paraId="7E28F9AD" w14:textId="30398497">
      <w:pPr>
        <w:numPr>
          <w:ilvl w:val="0"/>
          <w:numId w:val="19"/>
        </w:numPr>
        <w:spacing w:before="120" w:after="120" w:line="300" w:lineRule="atLeast"/>
        <w:jc w:val="both"/>
        <w:rPr>
          <w:lang w:val="en-GB"/>
        </w:rPr>
      </w:pPr>
      <w:r w:rsidRPr="009F7561">
        <w:rPr>
          <w:lang w:val="en-GB"/>
        </w:rPr>
        <w:t xml:space="preserve">Avoid sending referral forms by email, if possible. If needed, ensure that the referral form is </w:t>
      </w:r>
      <w:r w:rsidRPr="009F7561" w:rsidR="000F7EE1">
        <w:rPr>
          <w:lang w:val="en-GB"/>
        </w:rPr>
        <w:t>password-</w:t>
      </w:r>
      <w:r w:rsidRPr="009F7561">
        <w:rPr>
          <w:lang w:val="en-GB"/>
        </w:rPr>
        <w:t>protected and only selected focal points know the passwords</w:t>
      </w:r>
      <w:r w:rsidRPr="009F7561" w:rsidR="000F7EE1">
        <w:rPr>
          <w:lang w:val="en-GB"/>
        </w:rPr>
        <w:t>.</w:t>
      </w:r>
      <w:r w:rsidRPr="009F7561">
        <w:rPr>
          <w:vertAlign w:val="superscript"/>
          <w:lang w:val="en-GB"/>
        </w:rPr>
        <w:footnoteReference w:id="96"/>
      </w:r>
      <w:r w:rsidRPr="009F7561">
        <w:rPr>
          <w:lang w:val="en-GB"/>
        </w:rPr>
        <w:t xml:space="preserve"> </w:t>
      </w:r>
    </w:p>
    <w:p w:rsidR="00CE4BC6" w:rsidP="00E96F61" w:rsidRDefault="00CE4BC6" w14:paraId="7E28F9AE" w14:textId="5E96E57D">
      <w:pPr>
        <w:numPr>
          <w:ilvl w:val="0"/>
          <w:numId w:val="19"/>
        </w:numPr>
        <w:spacing w:before="120" w:after="120" w:line="300" w:lineRule="atLeast"/>
        <w:jc w:val="both"/>
        <w:rPr>
          <w:lang w:val="en-GB"/>
        </w:rPr>
      </w:pPr>
      <w:r w:rsidRPr="00585205">
        <w:rPr>
          <w:lang w:val="en-GB"/>
        </w:rPr>
        <w:t>A referral is only complete once survivor</w:t>
      </w:r>
      <w:r w:rsidR="00901026">
        <w:rPr>
          <w:lang w:val="en-GB"/>
        </w:rPr>
        <w:t>s</w:t>
      </w:r>
      <w:r w:rsidRPr="00585205">
        <w:rPr>
          <w:lang w:val="en-GB"/>
        </w:rPr>
        <w:t xml:space="preserve"> </w:t>
      </w:r>
      <w:r w:rsidR="00901026">
        <w:rPr>
          <w:lang w:val="en-GB"/>
        </w:rPr>
        <w:t xml:space="preserve">have </w:t>
      </w:r>
      <w:r w:rsidRPr="00585205">
        <w:rPr>
          <w:lang w:val="en-GB"/>
        </w:rPr>
        <w:t xml:space="preserve">received the service to which </w:t>
      </w:r>
      <w:r w:rsidR="00901026">
        <w:rPr>
          <w:lang w:val="en-GB"/>
        </w:rPr>
        <w:t xml:space="preserve">they were </w:t>
      </w:r>
      <w:r w:rsidRPr="00585205">
        <w:rPr>
          <w:lang w:val="en-GB"/>
        </w:rPr>
        <w:t xml:space="preserve">referred. In other words, </w:t>
      </w:r>
      <w:r w:rsidRPr="00585205" w:rsidR="00630F62">
        <w:rPr>
          <w:lang w:val="en-GB"/>
        </w:rPr>
        <w:t xml:space="preserve">merely </w:t>
      </w:r>
      <w:r w:rsidRPr="00585205">
        <w:rPr>
          <w:lang w:val="en-GB"/>
        </w:rPr>
        <w:t>referring survivor</w:t>
      </w:r>
      <w:r w:rsidR="00901026">
        <w:rPr>
          <w:lang w:val="en-GB"/>
        </w:rPr>
        <w:t>s</w:t>
      </w:r>
      <w:r w:rsidRPr="00585205">
        <w:rPr>
          <w:lang w:val="en-GB"/>
        </w:rPr>
        <w:t xml:space="preserve"> to another service provider does not constitute a “referral”.</w:t>
      </w:r>
      <w:r w:rsidRPr="00585205">
        <w:rPr>
          <w:vertAlign w:val="superscript"/>
          <w:lang w:val="en-GB"/>
        </w:rPr>
        <w:footnoteReference w:id="97"/>
      </w:r>
      <w:r w:rsidRPr="00585205">
        <w:rPr>
          <w:lang w:val="en-GB"/>
        </w:rPr>
        <w:t xml:space="preserve"> </w:t>
      </w:r>
    </w:p>
    <w:p w:rsidRPr="009F7561" w:rsidR="00CE4BC6" w:rsidP="00E96F61" w:rsidRDefault="00CE4BC6" w14:paraId="7E28F9AF" w14:textId="05BA95C0">
      <w:pPr>
        <w:numPr>
          <w:ilvl w:val="0"/>
          <w:numId w:val="19"/>
        </w:numPr>
        <w:spacing w:before="120" w:after="120" w:line="300" w:lineRule="atLeast"/>
        <w:jc w:val="both"/>
        <w:rPr>
          <w:lang w:val="en-GB"/>
        </w:rPr>
      </w:pPr>
      <w:r w:rsidRPr="009F7561">
        <w:rPr>
          <w:lang w:val="en-GB"/>
        </w:rPr>
        <w:t xml:space="preserve">No referrals can be made if a service provider/non-specialized actor </w:t>
      </w:r>
      <w:r w:rsidR="008E4047">
        <w:rPr>
          <w:lang w:val="en-GB"/>
        </w:rPr>
        <w:t xml:space="preserve">receives </w:t>
      </w:r>
      <w:r w:rsidRPr="009F7561">
        <w:rPr>
          <w:lang w:val="en-GB"/>
        </w:rPr>
        <w:t>a report about a GBV incident affecting a third party (</w:t>
      </w:r>
      <w:r w:rsidRPr="009F7561" w:rsidR="00AC129C">
        <w:rPr>
          <w:lang w:val="en-GB"/>
        </w:rPr>
        <w:t>e.g.</w:t>
      </w:r>
      <w:r w:rsidRPr="009F7561">
        <w:rPr>
          <w:lang w:val="en-GB"/>
        </w:rPr>
        <w:t xml:space="preserve"> the sister of a beneficiary or a </w:t>
      </w:r>
      <w:r w:rsidRPr="009F7561" w:rsidR="00730E4C">
        <w:rPr>
          <w:lang w:val="en-GB"/>
        </w:rPr>
        <w:t>neighbour</w:t>
      </w:r>
      <w:r w:rsidRPr="009F7561">
        <w:rPr>
          <w:lang w:val="en-GB"/>
        </w:rPr>
        <w:t xml:space="preserve"> etc.) or if they suspect a case of GBV based on their own observations</w:t>
      </w:r>
      <w:r w:rsidR="008E4047">
        <w:rPr>
          <w:lang w:val="en-GB"/>
        </w:rPr>
        <w:t xml:space="preserve"> because </w:t>
      </w:r>
      <w:r w:rsidRPr="009F7561">
        <w:rPr>
          <w:lang w:val="en-GB"/>
        </w:rPr>
        <w:t>the direct consent of the survivor is necessary. Frontline workers should limit themselves to providing accurate information about services available and contact details of service providers and encourage the beneficiary to pass this information along to GBV survivor</w:t>
      </w:r>
      <w:r w:rsidR="008E4047">
        <w:rPr>
          <w:lang w:val="en-GB"/>
        </w:rPr>
        <w:t>s</w:t>
      </w:r>
      <w:r w:rsidRPr="009F7561">
        <w:rPr>
          <w:lang w:val="en-GB"/>
        </w:rPr>
        <w:t xml:space="preserve"> or </w:t>
      </w:r>
      <w:r w:rsidRPr="009F7561" w:rsidR="008E4047">
        <w:rPr>
          <w:lang w:val="en-GB"/>
        </w:rPr>
        <w:t>wom</w:t>
      </w:r>
      <w:r w:rsidR="008E4047">
        <w:rPr>
          <w:lang w:val="en-GB"/>
        </w:rPr>
        <w:t>e</w:t>
      </w:r>
      <w:r w:rsidRPr="009F7561" w:rsidR="008E4047">
        <w:rPr>
          <w:lang w:val="en-GB"/>
        </w:rPr>
        <w:t>n</w:t>
      </w:r>
      <w:r w:rsidRPr="009F7561">
        <w:rPr>
          <w:lang w:val="en-GB"/>
        </w:rPr>
        <w:t>/girl</w:t>
      </w:r>
      <w:r w:rsidR="008E4047">
        <w:rPr>
          <w:lang w:val="en-GB"/>
        </w:rPr>
        <w:t>s</w:t>
      </w:r>
      <w:r w:rsidRPr="009F7561">
        <w:rPr>
          <w:lang w:val="en-GB"/>
        </w:rPr>
        <w:t xml:space="preserve"> at risk and support </w:t>
      </w:r>
      <w:r w:rsidR="008E4047">
        <w:rPr>
          <w:lang w:val="en-GB"/>
        </w:rPr>
        <w:t xml:space="preserve">them </w:t>
      </w:r>
      <w:r w:rsidRPr="009F7561">
        <w:rPr>
          <w:lang w:val="en-GB"/>
        </w:rPr>
        <w:t xml:space="preserve">in </w:t>
      </w:r>
      <w:r w:rsidR="008E4047">
        <w:rPr>
          <w:lang w:val="en-GB"/>
        </w:rPr>
        <w:t xml:space="preserve">their </w:t>
      </w:r>
      <w:r w:rsidRPr="009F7561">
        <w:rPr>
          <w:lang w:val="en-GB"/>
        </w:rPr>
        <w:t xml:space="preserve">decision to seek help. This limitation can be frustrating in urgent cases but referrals made without the consent of the person directly affected can cause further harm and stigma. </w:t>
      </w:r>
    </w:p>
    <w:p w:rsidRPr="00E44123" w:rsidR="00CE4BC6" w:rsidP="00E96F61" w:rsidRDefault="0037182E" w14:paraId="7E28F9B0" w14:textId="2BE43C78">
      <w:pPr>
        <w:numPr>
          <w:ilvl w:val="0"/>
          <w:numId w:val="19"/>
        </w:numPr>
        <w:spacing w:before="120" w:after="120" w:line="300" w:lineRule="atLeast"/>
        <w:jc w:val="both"/>
        <w:rPr>
          <w:i/>
          <w:iCs/>
          <w:color w:val="0070C0"/>
          <w:lang w:val="en-GB"/>
        </w:rPr>
      </w:pPr>
      <w:r w:rsidRPr="00E44123">
        <w:rPr>
          <w:i/>
          <w:iCs/>
          <w:color w:val="0070C0"/>
          <w:lang w:val="en-GB"/>
        </w:rPr>
        <w:t>[</w:t>
      </w:r>
      <w:r w:rsidRPr="00E44123" w:rsidR="00CE4BC6">
        <w:rPr>
          <w:i/>
          <w:iCs/>
          <w:color w:val="0070C0"/>
          <w:lang w:val="en-GB"/>
        </w:rPr>
        <w:t>Complete this list with any setting-specific guidance on referrals.</w:t>
      </w:r>
      <w:r w:rsidRPr="00E44123" w:rsidR="00E44123">
        <w:rPr>
          <w:i/>
          <w:iCs/>
          <w:color w:val="0070C0"/>
          <w:lang w:val="en-GB"/>
        </w:rPr>
        <w:t>]</w:t>
      </w:r>
    </w:p>
    <w:p w:rsidRPr="00585205" w:rsidR="00CE4BC6" w:rsidP="002968F0" w:rsidRDefault="00CE4BC6" w14:paraId="7E28F9B2" w14:textId="5C5F3FCA">
      <w:pPr>
        <w:spacing w:before="120" w:after="120" w:line="300" w:lineRule="atLeast"/>
        <w:jc w:val="both"/>
        <w:rPr>
          <w:lang w:val="en-GB"/>
        </w:rPr>
      </w:pPr>
      <w:r w:rsidRPr="009F7561">
        <w:rPr>
          <w:u w:val="single"/>
          <w:lang w:val="en-GB"/>
        </w:rPr>
        <w:t xml:space="preserve">Referral </w:t>
      </w:r>
      <w:r w:rsidRPr="009F7561" w:rsidR="004C1727">
        <w:rPr>
          <w:u w:val="single"/>
          <w:lang w:val="en-GB"/>
        </w:rPr>
        <w:t>pathway</w:t>
      </w:r>
    </w:p>
    <w:p w:rsidRPr="009F7561" w:rsidR="00CE4BC6" w:rsidP="002968F0" w:rsidRDefault="00CE4BC6" w14:paraId="7E28F9B4" w14:textId="4847A6B4">
      <w:pPr>
        <w:spacing w:before="120" w:after="120" w:line="300" w:lineRule="atLeast"/>
        <w:jc w:val="both"/>
        <w:rPr>
          <w:highlight w:val="magenta"/>
          <w:lang w:val="en-GB"/>
        </w:rPr>
      </w:pPr>
      <w:r w:rsidRPr="009F7561">
        <w:rPr>
          <w:lang w:val="en-GB"/>
        </w:rPr>
        <w:t xml:space="preserve">The following page displays agreed entry points for receiving </w:t>
      </w:r>
      <w:r w:rsidR="00D23B2A">
        <w:rPr>
          <w:lang w:val="en-GB"/>
        </w:rPr>
        <w:t>disclosure</w:t>
      </w:r>
      <w:r w:rsidRPr="009F7561">
        <w:rPr>
          <w:lang w:val="en-GB"/>
        </w:rPr>
        <w:t xml:space="preserve"> of GBV incidents and pathway for referrals and follow</w:t>
      </w:r>
      <w:r w:rsidR="00AD70C6">
        <w:rPr>
          <w:lang w:val="en-GB"/>
        </w:rPr>
        <w:t>-</w:t>
      </w:r>
      <w:r w:rsidRPr="009F7561">
        <w:rPr>
          <w:lang w:val="en-GB"/>
        </w:rPr>
        <w:t xml:space="preserve">up. This is summary information only; details and procedures </w:t>
      </w:r>
      <w:r w:rsidR="00F8753E">
        <w:rPr>
          <w:lang w:val="en-GB"/>
        </w:rPr>
        <w:br/>
      </w:r>
      <w:r w:rsidRPr="009F7561">
        <w:rPr>
          <w:lang w:val="en-GB"/>
        </w:rPr>
        <w:t xml:space="preserve">on specialized services are described in </w:t>
      </w:r>
      <w:r w:rsidRPr="009F7561" w:rsidR="00CB5A06">
        <w:rPr>
          <w:lang w:val="en-GB"/>
        </w:rPr>
        <w:t>section</w:t>
      </w:r>
      <w:r w:rsidRPr="009F7561">
        <w:rPr>
          <w:lang w:val="en-GB"/>
        </w:rPr>
        <w:t xml:space="preserve"> 3.4. </w:t>
      </w:r>
    </w:p>
    <w:p w:rsidRPr="004731E4" w:rsidR="00CE4BC6" w:rsidP="002968F0" w:rsidRDefault="004731E4" w14:paraId="7E28F9B6" w14:textId="353AD23D">
      <w:pPr>
        <w:spacing w:before="120" w:after="120" w:line="300" w:lineRule="atLeast"/>
        <w:jc w:val="both"/>
        <w:rPr>
          <w:i/>
          <w:iCs/>
          <w:color w:val="0070C0"/>
          <w:lang w:val="en-GB"/>
        </w:rPr>
      </w:pPr>
      <w:r w:rsidRPr="004731E4">
        <w:rPr>
          <w:i/>
          <w:iCs/>
          <w:color w:val="0070C0"/>
          <w:lang w:val="en-GB"/>
        </w:rPr>
        <w:t>[</w:t>
      </w:r>
      <w:r w:rsidRPr="004731E4" w:rsidR="00CE4BC6">
        <w:rPr>
          <w:i/>
          <w:iCs/>
          <w:color w:val="0070C0"/>
          <w:lang w:val="en-GB"/>
        </w:rPr>
        <w:t>Complete with information from the setting</w:t>
      </w:r>
      <w:r w:rsidRPr="004731E4" w:rsidR="00AD70C6">
        <w:rPr>
          <w:i/>
          <w:iCs/>
          <w:color w:val="0070C0"/>
          <w:lang w:val="en-GB"/>
        </w:rPr>
        <w:t>,</w:t>
      </w:r>
      <w:r w:rsidRPr="004731E4" w:rsidR="00CE4BC6">
        <w:rPr>
          <w:i/>
          <w:iCs/>
          <w:color w:val="0070C0"/>
          <w:lang w:val="en-GB"/>
        </w:rPr>
        <w:t xml:space="preserve"> add the existing referral pathway to this template or provide links to electronic referral pathways if relevant. Ensure that the referral pathway lists specific information about each service</w:t>
      </w:r>
      <w:r w:rsidRPr="004731E4" w:rsidR="00AD70C6">
        <w:rPr>
          <w:i/>
          <w:iCs/>
          <w:color w:val="0070C0"/>
          <w:lang w:val="en-GB"/>
        </w:rPr>
        <w:t>,</w:t>
      </w:r>
      <w:r w:rsidRPr="004731E4" w:rsidR="00CE4BC6">
        <w:rPr>
          <w:i/>
          <w:iCs/>
          <w:color w:val="0070C0"/>
          <w:lang w:val="en-GB"/>
        </w:rPr>
        <w:t xml:space="preserve"> including but not limited to:</w:t>
      </w:r>
    </w:p>
    <w:p w:rsidRPr="004731E4" w:rsidR="00CE4BC6" w:rsidP="00E96F61" w:rsidRDefault="00CE4BC6" w14:paraId="7E28F9B7" w14:textId="51F8B0C3">
      <w:pPr>
        <w:numPr>
          <w:ilvl w:val="0"/>
          <w:numId w:val="8"/>
        </w:numPr>
        <w:spacing w:before="120" w:after="120" w:line="300" w:lineRule="atLeast"/>
        <w:jc w:val="both"/>
        <w:rPr>
          <w:i/>
          <w:iCs/>
          <w:color w:val="0070C0"/>
          <w:lang w:val="en-GB"/>
        </w:rPr>
      </w:pPr>
      <w:r w:rsidRPr="004731E4">
        <w:rPr>
          <w:i/>
          <w:iCs/>
          <w:color w:val="0070C0"/>
          <w:lang w:val="en-GB"/>
        </w:rPr>
        <w:t>How to access the service</w:t>
      </w:r>
      <w:r w:rsidRPr="004731E4" w:rsidR="002968F0">
        <w:rPr>
          <w:i/>
          <w:iCs/>
          <w:color w:val="0070C0"/>
          <w:lang w:val="en-GB"/>
        </w:rPr>
        <w:t>.</w:t>
      </w:r>
    </w:p>
    <w:p w:rsidRPr="004731E4" w:rsidR="00CE4BC6" w:rsidP="00E96F61" w:rsidRDefault="00CE4BC6" w14:paraId="7E28F9B8" w14:textId="01755A8C">
      <w:pPr>
        <w:numPr>
          <w:ilvl w:val="0"/>
          <w:numId w:val="8"/>
        </w:numPr>
        <w:spacing w:before="120" w:after="120" w:line="300" w:lineRule="atLeast"/>
        <w:jc w:val="both"/>
        <w:rPr>
          <w:i/>
          <w:iCs/>
          <w:color w:val="0070C0"/>
          <w:lang w:val="en-GB"/>
        </w:rPr>
      </w:pPr>
      <w:r w:rsidRPr="004731E4">
        <w:rPr>
          <w:i/>
          <w:iCs/>
          <w:color w:val="0070C0"/>
          <w:lang w:val="en-GB"/>
        </w:rPr>
        <w:t>The service delivery focal points</w:t>
      </w:r>
      <w:r w:rsidRPr="004731E4" w:rsidR="002968F0">
        <w:rPr>
          <w:i/>
          <w:iCs/>
          <w:color w:val="0070C0"/>
          <w:lang w:val="en-GB"/>
        </w:rPr>
        <w:t>.</w:t>
      </w:r>
    </w:p>
    <w:p w:rsidRPr="004731E4" w:rsidR="00CE4BC6" w:rsidP="00E96F61" w:rsidRDefault="00CE4BC6" w14:paraId="7E28F9B9" w14:textId="639D41FA">
      <w:pPr>
        <w:numPr>
          <w:ilvl w:val="0"/>
          <w:numId w:val="8"/>
        </w:numPr>
        <w:spacing w:before="120" w:after="120" w:line="300" w:lineRule="atLeast"/>
        <w:jc w:val="both"/>
        <w:rPr>
          <w:i/>
          <w:iCs/>
          <w:color w:val="0070C0"/>
          <w:lang w:val="en-GB"/>
        </w:rPr>
      </w:pPr>
      <w:r w:rsidRPr="004731E4">
        <w:rPr>
          <w:i/>
          <w:iCs/>
          <w:color w:val="0070C0"/>
          <w:lang w:val="en-GB"/>
        </w:rPr>
        <w:t>The hours of operation and service availability</w:t>
      </w:r>
      <w:r w:rsidRPr="004731E4" w:rsidR="002968F0">
        <w:rPr>
          <w:i/>
          <w:iCs/>
          <w:color w:val="0070C0"/>
          <w:lang w:val="en-GB"/>
        </w:rPr>
        <w:t>.</w:t>
      </w:r>
    </w:p>
    <w:p w:rsidRPr="004731E4" w:rsidR="00CE4BC6" w:rsidP="00E96F61" w:rsidRDefault="00CE4BC6" w14:paraId="7E28F9BA" w14:textId="438CE4E9">
      <w:pPr>
        <w:numPr>
          <w:ilvl w:val="0"/>
          <w:numId w:val="8"/>
        </w:numPr>
        <w:spacing w:before="120" w:after="120" w:line="300" w:lineRule="atLeast"/>
        <w:jc w:val="both"/>
        <w:rPr>
          <w:i/>
          <w:iCs/>
          <w:color w:val="0070C0"/>
          <w:lang w:val="en-GB"/>
        </w:rPr>
      </w:pPr>
      <w:r w:rsidRPr="004731E4">
        <w:rPr>
          <w:i/>
          <w:iCs/>
          <w:color w:val="0070C0"/>
          <w:lang w:val="en-GB"/>
        </w:rPr>
        <w:t>If the service costs money and how much</w:t>
      </w:r>
      <w:r w:rsidRPr="004731E4" w:rsidR="002968F0">
        <w:rPr>
          <w:i/>
          <w:iCs/>
          <w:color w:val="0070C0"/>
          <w:lang w:val="en-GB"/>
        </w:rPr>
        <w:t>.</w:t>
      </w:r>
    </w:p>
    <w:p w:rsidRPr="004731E4" w:rsidR="00CE4BC6" w:rsidP="00E96F61" w:rsidRDefault="00CE4BC6" w14:paraId="7E28F9BB" w14:textId="62D40F31">
      <w:pPr>
        <w:numPr>
          <w:ilvl w:val="0"/>
          <w:numId w:val="8"/>
        </w:numPr>
        <w:spacing w:before="120" w:after="120" w:line="300" w:lineRule="atLeast"/>
        <w:jc w:val="both"/>
        <w:rPr>
          <w:i/>
          <w:iCs/>
          <w:color w:val="0070C0"/>
          <w:lang w:val="en-GB"/>
        </w:rPr>
      </w:pPr>
      <w:r w:rsidRPr="004731E4">
        <w:rPr>
          <w:i/>
          <w:iCs/>
          <w:color w:val="0070C0"/>
          <w:lang w:val="en-GB"/>
        </w:rPr>
        <w:t>Any specific approaches or needs to ensure access for particular groups</w:t>
      </w:r>
      <w:r w:rsidRPr="004731E4" w:rsidR="00AD5F71">
        <w:rPr>
          <w:i/>
          <w:iCs/>
          <w:color w:val="0070C0"/>
          <w:lang w:val="en-GB"/>
        </w:rPr>
        <w:t>,</w:t>
      </w:r>
      <w:r w:rsidRPr="004731E4" w:rsidR="0024376F">
        <w:rPr>
          <w:i/>
          <w:iCs/>
          <w:color w:val="0070C0"/>
          <w:lang w:val="en-GB"/>
        </w:rPr>
        <w:t xml:space="preserve"> including in what language/s the service is available.</w:t>
      </w:r>
    </w:p>
    <w:p w:rsidRPr="004731E4" w:rsidR="001D323A" w:rsidP="002968F0" w:rsidRDefault="00CE2830" w14:paraId="7E28F9BD" w14:textId="5C995D0B">
      <w:pPr>
        <w:spacing w:before="120" w:after="120" w:line="300" w:lineRule="atLeast"/>
        <w:jc w:val="both"/>
        <w:rPr>
          <w:i/>
          <w:iCs/>
          <w:color w:val="0070C0"/>
          <w:lang w:val="en-GB"/>
        </w:rPr>
      </w:pPr>
      <w:r w:rsidRPr="004731E4">
        <w:rPr>
          <w:i/>
          <w:iCs/>
          <w:color w:val="0070C0"/>
          <w:lang w:val="en-GB"/>
        </w:rPr>
        <w:t xml:space="preserve">Illustrate the entry points and include basic information about reporting and referrals in the local </w:t>
      </w:r>
      <w:r w:rsidRPr="004731E4" w:rsidR="0024376F">
        <w:rPr>
          <w:i/>
          <w:iCs/>
          <w:color w:val="0070C0"/>
          <w:lang w:val="en-GB"/>
        </w:rPr>
        <w:t xml:space="preserve">and relevant </w:t>
      </w:r>
      <w:r w:rsidRPr="004731E4">
        <w:rPr>
          <w:i/>
          <w:iCs/>
          <w:color w:val="0070C0"/>
          <w:lang w:val="en-GB"/>
        </w:rPr>
        <w:t>language(s) and/or as a pictorial presentation.</w:t>
      </w:r>
    </w:p>
    <w:p w:rsidRPr="004731E4" w:rsidR="00CE4BC6" w:rsidP="002968F0" w:rsidRDefault="00CE4BC6" w14:paraId="7E28F9BF" w14:textId="67014B93">
      <w:pPr>
        <w:spacing w:before="120" w:after="120" w:line="300" w:lineRule="atLeast"/>
        <w:jc w:val="both"/>
        <w:rPr>
          <w:i/>
          <w:iCs/>
          <w:color w:val="0070C0"/>
          <w:lang w:val="en-GB"/>
        </w:rPr>
      </w:pPr>
      <w:r w:rsidRPr="004731E4">
        <w:rPr>
          <w:i/>
          <w:iCs/>
          <w:color w:val="0070C0"/>
          <w:lang w:val="en-GB"/>
        </w:rPr>
        <w:t xml:space="preserve">Describe any other </w:t>
      </w:r>
      <w:r w:rsidRPr="004731E4" w:rsidR="00A92C42">
        <w:rPr>
          <w:i/>
          <w:iCs/>
          <w:color w:val="0070C0"/>
          <w:lang w:val="en-GB"/>
        </w:rPr>
        <w:t xml:space="preserve">referral </w:t>
      </w:r>
      <w:r w:rsidRPr="004731E4">
        <w:rPr>
          <w:i/>
          <w:iCs/>
          <w:color w:val="0070C0"/>
          <w:lang w:val="en-GB"/>
        </w:rPr>
        <w:t>methods available in the setting (e.g. GBVIMS+,/Primero</w:t>
      </w:r>
      <w:r w:rsidRPr="004731E4" w:rsidR="003C7694">
        <w:rPr>
          <w:i/>
          <w:iCs/>
          <w:color w:val="0070C0"/>
          <w:lang w:val="en-GB"/>
        </w:rPr>
        <w:t xml:space="preserve">, </w:t>
      </w:r>
      <w:proofErr w:type="spellStart"/>
      <w:r w:rsidRPr="004731E4" w:rsidR="00B00A24">
        <w:rPr>
          <w:i/>
          <w:iCs/>
          <w:color w:val="0070C0"/>
          <w:lang w:val="en-GB"/>
        </w:rPr>
        <w:t>p</w:t>
      </w:r>
      <w:r w:rsidR="004731E4">
        <w:rPr>
          <w:i/>
          <w:iCs/>
          <w:color w:val="0070C0"/>
          <w:lang w:val="en-GB"/>
        </w:rPr>
        <w:t>r</w:t>
      </w:r>
      <w:r w:rsidRPr="004731E4" w:rsidR="00F8753E">
        <w:rPr>
          <w:i/>
          <w:iCs/>
          <w:color w:val="0070C0"/>
          <w:lang w:val="en-GB"/>
        </w:rPr>
        <w:t>o</w:t>
      </w:r>
      <w:r w:rsidRPr="004731E4" w:rsidR="00B00A24">
        <w:rPr>
          <w:i/>
          <w:iCs/>
          <w:color w:val="0070C0"/>
          <w:lang w:val="en-GB"/>
        </w:rPr>
        <w:t>G</w:t>
      </w:r>
      <w:r w:rsidRPr="004731E4" w:rsidR="00F8753E">
        <w:rPr>
          <w:i/>
          <w:iCs/>
          <w:color w:val="0070C0"/>
          <w:lang w:val="en-GB"/>
        </w:rPr>
        <w:t>res</w:t>
      </w:r>
      <w:proofErr w:type="spellEnd"/>
      <w:r w:rsidRPr="004731E4">
        <w:rPr>
          <w:i/>
          <w:iCs/>
          <w:color w:val="0070C0"/>
          <w:lang w:val="en-GB"/>
        </w:rPr>
        <w:t xml:space="preserve"> /Electronic referral pathways)</w:t>
      </w:r>
      <w:r w:rsidRPr="004731E4" w:rsidR="00FF46F0">
        <w:rPr>
          <w:i/>
          <w:iCs/>
          <w:color w:val="0070C0"/>
          <w:lang w:val="en-GB"/>
        </w:rPr>
        <w:t>.</w:t>
      </w:r>
    </w:p>
    <w:p w:rsidRPr="004731E4" w:rsidR="00CE4BC6" w:rsidP="002968F0" w:rsidRDefault="00CE4BC6" w14:paraId="7E28F9C1" w14:textId="1B7B5F3C">
      <w:pPr>
        <w:spacing w:before="120" w:after="120" w:line="300" w:lineRule="atLeast"/>
        <w:jc w:val="both"/>
        <w:rPr>
          <w:i/>
          <w:iCs/>
          <w:color w:val="0070C0"/>
          <w:lang w:val="en-GB"/>
        </w:rPr>
      </w:pPr>
      <w:r w:rsidRPr="004731E4">
        <w:rPr>
          <w:i/>
          <w:iCs/>
          <w:color w:val="0070C0"/>
          <w:lang w:val="en-GB"/>
        </w:rPr>
        <w:t>Explain how you will seek feedback on the referral pathway to ensure it is understandable, accessible and available in the main languages of the population(s) of concern.</w:t>
      </w:r>
      <w:r w:rsidRPr="004731E4" w:rsidR="004731E4">
        <w:rPr>
          <w:i/>
          <w:iCs/>
          <w:color w:val="0070C0"/>
          <w:lang w:val="en-GB"/>
        </w:rPr>
        <w:t>]</w:t>
      </w:r>
    </w:p>
    <w:tbl>
      <w:tblPr>
        <w:tblStyle w:val="TableGrid"/>
        <w:tblW w:w="0" w:type="auto"/>
        <w:tblLook w:val="04A0" w:firstRow="1" w:lastRow="0" w:firstColumn="1" w:lastColumn="0" w:noHBand="0" w:noVBand="1"/>
      </w:tblPr>
      <w:tblGrid>
        <w:gridCol w:w="9350"/>
      </w:tblGrid>
      <w:tr w:rsidR="002968F0" w:rsidTr="002968F0" w14:paraId="2EE41908" w14:textId="77777777">
        <w:tc>
          <w:tcPr>
            <w:tcW w:w="9350" w:type="dxa"/>
          </w:tcPr>
          <w:p w:rsidRPr="009F7561" w:rsidR="002968F0" w:rsidP="002968F0" w:rsidRDefault="002968F0" w14:paraId="187D84F5" w14:textId="77777777">
            <w:pPr>
              <w:spacing w:before="120" w:after="120" w:line="300" w:lineRule="atLeast"/>
              <w:jc w:val="both"/>
              <w:rPr>
                <w:b/>
                <w:i/>
                <w:lang w:val="en-GB"/>
              </w:rPr>
            </w:pPr>
            <w:r w:rsidRPr="009F7561">
              <w:rPr>
                <w:b/>
                <w:i/>
                <w:lang w:val="en-GB"/>
              </w:rPr>
              <w:t>Disseminating referral pathways</w:t>
            </w:r>
          </w:p>
          <w:p w:rsidRPr="009F7561" w:rsidR="002968F0" w:rsidP="00E96F61" w:rsidRDefault="002968F0" w14:paraId="22626FB7" w14:textId="77777777">
            <w:pPr>
              <w:numPr>
                <w:ilvl w:val="0"/>
                <w:numId w:val="20"/>
              </w:numPr>
              <w:spacing w:before="120" w:after="120"/>
              <w:ind w:left="714" w:hanging="357"/>
              <w:jc w:val="both"/>
              <w:rPr>
                <w:i/>
                <w:lang w:val="en-GB"/>
              </w:rPr>
            </w:pPr>
            <w:r w:rsidRPr="009F7561">
              <w:rPr>
                <w:i/>
                <w:lang w:val="en-GB"/>
              </w:rPr>
              <w:t>Conduct targeted outreach campaigns to disseminate information on referral pathways and GBV response service entry points to diverse community members so that as many people as possible are aware of where to go for help and what to expect.</w:t>
            </w:r>
          </w:p>
          <w:p w:rsidR="002968F0" w:rsidP="00E96F61" w:rsidRDefault="002968F0" w14:paraId="3564889D" w14:textId="77777777">
            <w:pPr>
              <w:numPr>
                <w:ilvl w:val="0"/>
                <w:numId w:val="15"/>
              </w:numPr>
              <w:spacing w:before="120" w:after="120"/>
              <w:ind w:left="714" w:hanging="357"/>
              <w:jc w:val="both"/>
              <w:rPr>
                <w:i/>
                <w:lang w:val="en-GB"/>
              </w:rPr>
            </w:pPr>
            <w:r w:rsidRPr="00585205">
              <w:rPr>
                <w:i/>
                <w:spacing w:val="-2"/>
                <w:lang w:val="en-GB"/>
              </w:rPr>
              <w:t>Balance protection risks to survivors and service providers with accessibility. For example</w:t>
            </w:r>
            <w:r w:rsidRPr="009F7561">
              <w:rPr>
                <w:i/>
                <w:lang w:val="en-GB"/>
              </w:rPr>
              <w:t>, in certain contexts, a referral pathway that contains contact information could pose risks to service providers if the information is publicly shared.</w:t>
            </w:r>
          </w:p>
          <w:p w:rsidRPr="009F7561" w:rsidR="002968F0" w:rsidP="00E96F61" w:rsidRDefault="002968F0" w14:paraId="6CD9AD4C" w14:textId="77777777">
            <w:pPr>
              <w:numPr>
                <w:ilvl w:val="0"/>
                <w:numId w:val="12"/>
              </w:numPr>
              <w:spacing w:before="120" w:after="120"/>
              <w:ind w:left="714" w:hanging="357"/>
              <w:jc w:val="both"/>
              <w:rPr>
                <w:i/>
                <w:lang w:val="en-GB"/>
              </w:rPr>
            </w:pPr>
            <w:r w:rsidRPr="009F7561">
              <w:rPr>
                <w:i/>
                <w:lang w:val="en-GB"/>
              </w:rPr>
              <w:t xml:space="preserve">Proceed with extreme caution in settings where public discussion about the establishment or existence of GBV services poses security risks. In these cases, </w:t>
            </w:r>
            <w:r>
              <w:rPr>
                <w:i/>
                <w:lang w:val="en-GB"/>
              </w:rPr>
              <w:br/>
            </w:r>
            <w:r w:rsidRPr="009F7561">
              <w:rPr>
                <w:i/>
                <w:lang w:val="en-GB"/>
              </w:rPr>
              <w:t xml:space="preserve">a referral pathway with accompanying basic protocols for survivors may be distributed only to those who fully understand the GBV guiding principles. </w:t>
            </w:r>
          </w:p>
          <w:p w:rsidRPr="009F7561" w:rsidR="002968F0" w:rsidP="00E96F61" w:rsidRDefault="002968F0" w14:paraId="75DA3AA3" w14:textId="77777777">
            <w:pPr>
              <w:numPr>
                <w:ilvl w:val="0"/>
                <w:numId w:val="12"/>
              </w:numPr>
              <w:spacing w:before="120" w:after="120"/>
              <w:ind w:left="714" w:hanging="357"/>
              <w:jc w:val="both"/>
              <w:rPr>
                <w:i/>
                <w:lang w:val="en-GB"/>
              </w:rPr>
            </w:pPr>
            <w:r w:rsidRPr="009F7561">
              <w:rPr>
                <w:i/>
                <w:lang w:val="en-GB"/>
              </w:rPr>
              <w:t xml:space="preserve">In some contexts, it may be possible to use electronic systems to document and disseminate referral pathways. </w:t>
            </w:r>
          </w:p>
          <w:p w:rsidRPr="002968F0" w:rsidR="002968F0" w:rsidP="002968F0" w:rsidRDefault="002968F0" w14:paraId="2676994E" w14:textId="717197EE">
            <w:pPr>
              <w:spacing w:before="120" w:after="120" w:line="300" w:lineRule="atLeast"/>
              <w:jc w:val="both"/>
              <w:rPr>
                <w:lang w:val="en-GB"/>
              </w:rPr>
            </w:pPr>
            <w:r w:rsidRPr="009F7561">
              <w:rPr>
                <w:lang w:val="en-GB"/>
              </w:rPr>
              <w:t xml:space="preserve">See also section 3.7 on raising awareness. </w:t>
            </w:r>
          </w:p>
        </w:tc>
      </w:tr>
    </w:tbl>
    <w:p w:rsidRPr="0029335F" w:rsidR="00CE4BC6" w:rsidP="003166F7" w:rsidRDefault="00CE4BC6" w14:paraId="7E28F9FC" w14:textId="73244C03">
      <w:pPr>
        <w:pStyle w:val="Heading2"/>
      </w:pPr>
      <w:bookmarkStart w:name="_Toc134906268" w:id="92"/>
      <w:bookmarkStart w:name="_Toc142469140" w:id="93"/>
      <w:r w:rsidRPr="0029335F">
        <w:t>Special</w:t>
      </w:r>
      <w:r w:rsidRPr="0029335F" w:rsidR="005E1813">
        <w:t>ize</w:t>
      </w:r>
      <w:r w:rsidRPr="0029335F">
        <w:t xml:space="preserve">d GBV </w:t>
      </w:r>
      <w:r w:rsidRPr="0029335F" w:rsidR="000E777F">
        <w:t>service providers</w:t>
      </w:r>
      <w:bookmarkEnd w:id="92"/>
      <w:bookmarkEnd w:id="93"/>
    </w:p>
    <w:p w:rsidRPr="009F7561" w:rsidR="00CE4BC6" w:rsidP="0014632C" w:rsidRDefault="00CE4BC6" w14:paraId="7E28F9FE" w14:textId="04DC71A8">
      <w:pPr>
        <w:spacing w:before="120" w:after="120" w:line="300" w:lineRule="atLeast"/>
        <w:jc w:val="both"/>
        <w:rPr>
          <w:lang w:val="en-GB"/>
        </w:rPr>
      </w:pPr>
      <w:r w:rsidRPr="009F7561">
        <w:rPr>
          <w:lang w:val="en-GB"/>
        </w:rPr>
        <w:t>The following sections will explain the role, function and services provided by each GBV specialized service provider in the setting</w:t>
      </w:r>
      <w:r w:rsidRPr="009F7561" w:rsidR="00315391">
        <w:rPr>
          <w:lang w:val="en-GB"/>
        </w:rPr>
        <w:t>’s</w:t>
      </w:r>
      <w:r w:rsidRPr="009F7561">
        <w:rPr>
          <w:lang w:val="en-GB"/>
        </w:rPr>
        <w:t xml:space="preserve"> referral pathway. </w:t>
      </w:r>
    </w:p>
    <w:p w:rsidRPr="00C95EC1" w:rsidR="00CE4BC6" w:rsidP="00C22D9F" w:rsidRDefault="00CE4BC6" w14:paraId="7E28F9FF" w14:textId="550A6908">
      <w:pPr>
        <w:pStyle w:val="Heading3"/>
      </w:pPr>
      <w:bookmarkStart w:name="_Toc134906269" w:id="94"/>
      <w:bookmarkStart w:name="_Toc142469141" w:id="95"/>
      <w:r w:rsidRPr="00C95EC1">
        <w:t xml:space="preserve">Health </w:t>
      </w:r>
      <w:r w:rsidRPr="00C95EC1" w:rsidR="008D4C2E">
        <w:t xml:space="preserve">care </w:t>
      </w:r>
      <w:r w:rsidRPr="00C95EC1">
        <w:t xml:space="preserve">for GBV </w:t>
      </w:r>
      <w:r w:rsidRPr="00C95EC1" w:rsidR="008D4C2E">
        <w:t>s</w:t>
      </w:r>
      <w:r w:rsidRPr="00C95EC1">
        <w:t>urvivors</w:t>
      </w:r>
      <w:bookmarkEnd w:id="94"/>
      <w:bookmarkEnd w:id="95"/>
      <w:r w:rsidRPr="00C95EC1" w:rsidR="003C264D">
        <w:t xml:space="preserve"> </w:t>
      </w:r>
    </w:p>
    <w:p w:rsidRPr="009F7561" w:rsidR="00CE4BC6" w:rsidP="0014632C" w:rsidRDefault="00CE4BC6" w14:paraId="7E28FA05" w14:textId="722D6378">
      <w:pPr>
        <w:spacing w:before="120" w:after="120" w:line="300" w:lineRule="atLeast"/>
        <w:jc w:val="both"/>
        <w:rPr>
          <w:lang w:val="en-GB"/>
        </w:rPr>
      </w:pPr>
      <w:r w:rsidRPr="009F7561">
        <w:rPr>
          <w:lang w:val="en-GB"/>
        </w:rPr>
        <w:t xml:space="preserve">Access to quality, confidential, age-appropriate and compassionate </w:t>
      </w:r>
      <w:r w:rsidR="00794E79">
        <w:rPr>
          <w:lang w:val="en-GB"/>
        </w:rPr>
        <w:t>health care</w:t>
      </w:r>
      <w:r w:rsidRPr="009F7561">
        <w:rPr>
          <w:lang w:val="en-GB"/>
        </w:rPr>
        <w:t xml:space="preserve"> services</w:t>
      </w:r>
      <w:r w:rsidR="00F8753E">
        <w:rPr>
          <w:lang w:val="en-GB"/>
        </w:rPr>
        <w:t xml:space="preserve"> </w:t>
      </w:r>
      <w:r w:rsidRPr="009F7561">
        <w:rPr>
          <w:lang w:val="en-GB"/>
        </w:rPr>
        <w:t>is a critical component of a multisectoral response to GBV in emergencies. Adequate</w:t>
      </w:r>
      <w:r w:rsidR="00F8753E">
        <w:rPr>
          <w:lang w:val="en-GB"/>
        </w:rPr>
        <w:t xml:space="preserve"> </w:t>
      </w:r>
      <w:r w:rsidRPr="009F7561">
        <w:rPr>
          <w:lang w:val="en-GB"/>
        </w:rPr>
        <w:t>health services are not only vital to ensuring life-saving care for women, girls and</w:t>
      </w:r>
      <w:r w:rsidR="00F8753E">
        <w:rPr>
          <w:lang w:val="en-GB"/>
        </w:rPr>
        <w:t xml:space="preserve"> </w:t>
      </w:r>
      <w:r w:rsidRPr="009F7561">
        <w:rPr>
          <w:lang w:val="en-GB"/>
        </w:rPr>
        <w:t>other at-risk groups, they are also essential for a society to overcome the devastation</w:t>
      </w:r>
      <w:r w:rsidR="00F8753E">
        <w:rPr>
          <w:lang w:val="en-GB"/>
        </w:rPr>
        <w:t xml:space="preserve"> </w:t>
      </w:r>
      <w:r w:rsidRPr="009F7561">
        <w:rPr>
          <w:lang w:val="en-GB"/>
        </w:rPr>
        <w:t>of a humanitarian emergency. Health service delivery systems should be equipped to ensure clinical management of rape, intimate partner violence</w:t>
      </w:r>
      <w:r w:rsidRPr="009F7561" w:rsidR="008A1575">
        <w:rPr>
          <w:lang w:val="en-GB"/>
        </w:rPr>
        <w:t xml:space="preserve"> and </w:t>
      </w:r>
      <w:r w:rsidRPr="009F7561">
        <w:rPr>
          <w:lang w:val="en-GB"/>
        </w:rPr>
        <w:t>the consequences of other forms of GBV.</w:t>
      </w:r>
      <w:r w:rsidRPr="009F7561">
        <w:rPr>
          <w:vertAlign w:val="superscript"/>
          <w:lang w:val="en-GB"/>
        </w:rPr>
        <w:footnoteReference w:id="98"/>
      </w:r>
      <w:r w:rsidRPr="009F7561">
        <w:rPr>
          <w:lang w:val="en-GB"/>
        </w:rPr>
        <w:t xml:space="preserve"> </w:t>
      </w:r>
    </w:p>
    <w:p w:rsidRPr="009F7561" w:rsidR="00CE4BC6" w:rsidP="0014632C" w:rsidRDefault="00CE4BC6" w14:paraId="7E28FA07" w14:textId="042DB6C5">
      <w:pPr>
        <w:spacing w:before="120" w:after="120" w:line="300" w:lineRule="atLeast"/>
        <w:jc w:val="both"/>
        <w:rPr>
          <w:lang w:val="en-GB"/>
        </w:rPr>
      </w:pPr>
      <w:r w:rsidRPr="009F7561">
        <w:rPr>
          <w:lang w:val="en-GB"/>
        </w:rPr>
        <w:t>Health care providers should also be able to address the health needs of survivors of early/</w:t>
      </w:r>
      <w:r w:rsidR="00F8753E">
        <w:rPr>
          <w:lang w:val="en-GB"/>
        </w:rPr>
        <w:t xml:space="preserve"> </w:t>
      </w:r>
      <w:r w:rsidRPr="009F7561">
        <w:rPr>
          <w:lang w:val="en-GB"/>
        </w:rPr>
        <w:t xml:space="preserve">forced marriage (e.g. high-risk pregnancy, health effects of forced sexual activity, fistula repair) and complications related to female genital mutilation/cutting (e.g. pain, bleeding, urinary and vaginal infections, menstrual problems, childbirth complications, etc.). </w:t>
      </w:r>
    </w:p>
    <w:p w:rsidRPr="009F7561" w:rsidR="00CE4BC6" w:rsidP="0014632C" w:rsidRDefault="00CE4BC6" w14:paraId="7E28FA09" w14:textId="12AD81BB">
      <w:pPr>
        <w:spacing w:before="120" w:after="120" w:line="300" w:lineRule="atLeast"/>
        <w:jc w:val="both"/>
        <w:rPr>
          <w:lang w:val="en-GB"/>
        </w:rPr>
      </w:pPr>
      <w:r w:rsidRPr="009F7561">
        <w:rPr>
          <w:lang w:val="en-GB"/>
        </w:rPr>
        <w:t xml:space="preserve">Male survivors have specific needs regarding treatment and care that should be addressed by </w:t>
      </w:r>
      <w:r w:rsidR="00794E79">
        <w:rPr>
          <w:lang w:val="en-GB"/>
        </w:rPr>
        <w:t>health care</w:t>
      </w:r>
      <w:r w:rsidRPr="009F7561">
        <w:rPr>
          <w:lang w:val="en-GB"/>
        </w:rPr>
        <w:t xml:space="preserve"> providers who </w:t>
      </w:r>
      <w:r w:rsidR="00403679">
        <w:rPr>
          <w:lang w:val="en-GB"/>
        </w:rPr>
        <w:t>are</w:t>
      </w:r>
      <w:r w:rsidRPr="009F7561">
        <w:rPr>
          <w:lang w:val="en-GB"/>
        </w:rPr>
        <w:t xml:space="preserve"> trained to identify indications of sexual violence in men and boys</w:t>
      </w:r>
      <w:r w:rsidRPr="009F7561" w:rsidR="008A1575">
        <w:rPr>
          <w:lang w:val="en-GB"/>
        </w:rPr>
        <w:t xml:space="preserve"> and </w:t>
      </w:r>
      <w:r w:rsidRPr="009F7561">
        <w:rPr>
          <w:lang w:val="en-GB"/>
        </w:rPr>
        <w:t>offer care that is survivor-centred, non-stigmatizing and non-discriminatory.</w:t>
      </w:r>
    </w:p>
    <w:p w:rsidRPr="008C2BD9" w:rsidR="00CE4BC6" w:rsidP="0014632C" w:rsidRDefault="008C2BD9" w14:paraId="7E28FA0B" w14:textId="61C662DC">
      <w:pPr>
        <w:spacing w:before="120" w:after="120" w:line="300" w:lineRule="atLeast"/>
        <w:jc w:val="both"/>
        <w:rPr>
          <w:i/>
          <w:iCs/>
          <w:color w:val="0070C0"/>
          <w:lang w:val="en-GB"/>
        </w:rPr>
      </w:pPr>
      <w:r w:rsidRPr="008C2BD9">
        <w:rPr>
          <w:i/>
          <w:iCs/>
          <w:color w:val="0070C0"/>
          <w:lang w:val="en-GB"/>
        </w:rPr>
        <w:t>[</w:t>
      </w:r>
      <w:r w:rsidRPr="008C2BD9" w:rsidR="00CE4BC6">
        <w:rPr>
          <w:i/>
          <w:iCs/>
          <w:color w:val="0070C0"/>
          <w:lang w:val="en-GB"/>
        </w:rPr>
        <w:t xml:space="preserve">Include here specific information about available </w:t>
      </w:r>
      <w:r w:rsidRPr="008C2BD9" w:rsidR="00794E79">
        <w:rPr>
          <w:i/>
          <w:iCs/>
          <w:color w:val="0070C0"/>
          <w:lang w:val="en-GB"/>
        </w:rPr>
        <w:t>health care</w:t>
      </w:r>
      <w:r w:rsidRPr="008C2BD9" w:rsidR="00CE4BC6">
        <w:rPr>
          <w:i/>
          <w:iCs/>
          <w:color w:val="0070C0"/>
          <w:lang w:val="en-GB"/>
        </w:rPr>
        <w:t xml:space="preserve"> services for GBV survivors in the setting, including but not limited to:</w:t>
      </w:r>
    </w:p>
    <w:p w:rsidRPr="008C2BD9" w:rsidR="00CE4BC6" w:rsidP="00E96F61" w:rsidRDefault="00CE4BC6" w14:paraId="7E28FA0D" w14:textId="5571718B">
      <w:pPr>
        <w:numPr>
          <w:ilvl w:val="0"/>
          <w:numId w:val="7"/>
        </w:numPr>
        <w:spacing w:before="120" w:after="120" w:line="300" w:lineRule="atLeast"/>
        <w:jc w:val="both"/>
        <w:rPr>
          <w:i/>
          <w:iCs/>
          <w:color w:val="0070C0"/>
          <w:lang w:val="en-GB"/>
        </w:rPr>
      </w:pPr>
      <w:r w:rsidRPr="008C2BD9">
        <w:rPr>
          <w:i/>
          <w:iCs/>
          <w:color w:val="0070C0"/>
          <w:lang w:val="en-GB"/>
        </w:rPr>
        <w:t xml:space="preserve">A list of names of </w:t>
      </w:r>
      <w:r w:rsidRPr="008C2BD9" w:rsidR="00794E79">
        <w:rPr>
          <w:i/>
          <w:iCs/>
          <w:color w:val="0070C0"/>
          <w:lang w:val="en-GB"/>
        </w:rPr>
        <w:t>health care</w:t>
      </w:r>
      <w:r w:rsidRPr="008C2BD9">
        <w:rPr>
          <w:i/>
          <w:iCs/>
          <w:color w:val="0070C0"/>
          <w:lang w:val="en-GB"/>
        </w:rPr>
        <w:t xml:space="preserve"> organ</w:t>
      </w:r>
      <w:r w:rsidRPr="008C2BD9" w:rsidR="002D1850">
        <w:rPr>
          <w:i/>
          <w:iCs/>
          <w:color w:val="0070C0"/>
          <w:lang w:val="en-GB"/>
        </w:rPr>
        <w:t>iza</w:t>
      </w:r>
      <w:r w:rsidRPr="008C2BD9">
        <w:rPr>
          <w:i/>
          <w:iCs/>
          <w:color w:val="0070C0"/>
          <w:lang w:val="en-GB"/>
        </w:rPr>
        <w:t>tions providing services for GBV survivors,</w:t>
      </w:r>
      <w:r w:rsidRPr="008C2BD9" w:rsidR="003C264D">
        <w:rPr>
          <w:i/>
          <w:iCs/>
          <w:color w:val="0070C0"/>
          <w:lang w:val="en-GB"/>
        </w:rPr>
        <w:t xml:space="preserve"> </w:t>
      </w:r>
      <w:r w:rsidRPr="008C2BD9">
        <w:rPr>
          <w:i/>
          <w:iCs/>
          <w:color w:val="0070C0"/>
          <w:lang w:val="en-GB"/>
        </w:rPr>
        <w:t xml:space="preserve">specifying the types of services provided by each </w:t>
      </w:r>
      <w:r w:rsidRPr="008C2BD9" w:rsidR="00794E79">
        <w:rPr>
          <w:i/>
          <w:iCs/>
          <w:color w:val="0070C0"/>
          <w:lang w:val="en-GB"/>
        </w:rPr>
        <w:t>health care</w:t>
      </w:r>
      <w:r w:rsidRPr="008C2BD9">
        <w:rPr>
          <w:i/>
          <w:iCs/>
          <w:color w:val="0070C0"/>
          <w:lang w:val="en-GB"/>
        </w:rPr>
        <w:t xml:space="preserve"> provider</w:t>
      </w:r>
      <w:r w:rsidR="008C2BD9">
        <w:rPr>
          <w:i/>
          <w:iCs/>
          <w:color w:val="0070C0"/>
          <w:lang w:val="en-GB"/>
        </w:rPr>
        <w:t>.</w:t>
      </w:r>
    </w:p>
    <w:p w:rsidRPr="008C2BD9" w:rsidR="00CE4BC6" w:rsidP="00E96F61" w:rsidRDefault="00CE4BC6" w14:paraId="7E28FA0E" w14:textId="1E94024B">
      <w:pPr>
        <w:numPr>
          <w:ilvl w:val="0"/>
          <w:numId w:val="7"/>
        </w:numPr>
        <w:spacing w:before="120" w:after="120" w:line="300" w:lineRule="atLeast"/>
        <w:jc w:val="both"/>
        <w:rPr>
          <w:i/>
          <w:iCs/>
          <w:color w:val="0070C0"/>
          <w:lang w:val="en-GB"/>
        </w:rPr>
      </w:pPr>
      <w:r w:rsidRPr="008C2BD9">
        <w:rPr>
          <w:i/>
          <w:iCs/>
          <w:color w:val="0070C0"/>
          <w:lang w:val="en-GB"/>
        </w:rPr>
        <w:t>Additional information about specific entry points to health care for GBV survivors, including making referrals and organizing transport for hospital care, surgery, etc</w:t>
      </w:r>
      <w:r w:rsidR="008C2BD9">
        <w:rPr>
          <w:i/>
          <w:iCs/>
          <w:color w:val="0070C0"/>
          <w:lang w:val="en-GB"/>
        </w:rPr>
        <w:t>.</w:t>
      </w:r>
      <w:r w:rsidRPr="008C2BD9">
        <w:rPr>
          <w:i/>
          <w:iCs/>
          <w:color w:val="0070C0"/>
          <w:lang w:val="en-GB"/>
        </w:rPr>
        <w:t xml:space="preserve"> </w:t>
      </w:r>
    </w:p>
    <w:p w:rsidRPr="008C2BD9" w:rsidR="00CE4BC6" w:rsidP="00E96F61" w:rsidRDefault="00CE4BC6" w14:paraId="7E28FA0F" w14:textId="468648BE">
      <w:pPr>
        <w:numPr>
          <w:ilvl w:val="0"/>
          <w:numId w:val="7"/>
        </w:numPr>
        <w:spacing w:before="120" w:after="120" w:line="300" w:lineRule="atLeast"/>
        <w:jc w:val="both"/>
        <w:rPr>
          <w:i/>
          <w:iCs/>
          <w:color w:val="0070C0"/>
          <w:lang w:val="en-GB"/>
        </w:rPr>
      </w:pPr>
      <w:r w:rsidRPr="008C2BD9">
        <w:rPr>
          <w:i/>
          <w:iCs/>
          <w:color w:val="0070C0"/>
          <w:lang w:val="en-GB"/>
        </w:rPr>
        <w:t>Any limitations to accessing health</w:t>
      </w:r>
      <w:r w:rsidRPr="008C2BD9" w:rsidR="00DB7BA9">
        <w:rPr>
          <w:i/>
          <w:iCs/>
          <w:color w:val="0070C0"/>
          <w:lang w:val="en-GB"/>
        </w:rPr>
        <w:t xml:space="preserve"> </w:t>
      </w:r>
      <w:r w:rsidRPr="008C2BD9">
        <w:rPr>
          <w:i/>
          <w:iCs/>
          <w:color w:val="0070C0"/>
          <w:lang w:val="en-GB"/>
        </w:rPr>
        <w:t>care including requirements to have police reports</w:t>
      </w:r>
      <w:r w:rsidRPr="008C2BD9" w:rsidR="008A1575">
        <w:rPr>
          <w:i/>
          <w:iCs/>
          <w:color w:val="0070C0"/>
          <w:lang w:val="en-GB"/>
        </w:rPr>
        <w:t xml:space="preserve"> and </w:t>
      </w:r>
      <w:r w:rsidRPr="008C2BD9">
        <w:rPr>
          <w:i/>
          <w:iCs/>
          <w:color w:val="0070C0"/>
          <w:lang w:val="en-GB"/>
        </w:rPr>
        <w:t>strategies to address these limitations</w:t>
      </w:r>
      <w:r w:rsidR="008C2BD9">
        <w:rPr>
          <w:i/>
          <w:iCs/>
          <w:color w:val="0070C0"/>
          <w:lang w:val="en-GB"/>
        </w:rPr>
        <w:t>.</w:t>
      </w:r>
    </w:p>
    <w:p w:rsidRPr="008C2BD9" w:rsidR="00CE4BC6" w:rsidP="00E96F61" w:rsidRDefault="00CE4BC6" w14:paraId="7E28FA10" w14:textId="12CB7B33">
      <w:pPr>
        <w:numPr>
          <w:ilvl w:val="0"/>
          <w:numId w:val="7"/>
        </w:numPr>
        <w:spacing w:before="120" w:after="120" w:line="300" w:lineRule="atLeast"/>
        <w:jc w:val="both"/>
        <w:rPr>
          <w:i/>
          <w:iCs/>
          <w:color w:val="0070C0"/>
          <w:lang w:val="en-GB"/>
        </w:rPr>
      </w:pPr>
      <w:r w:rsidRPr="008C2BD9">
        <w:rPr>
          <w:i/>
          <w:iCs/>
          <w:color w:val="0070C0"/>
          <w:lang w:val="en-GB"/>
        </w:rPr>
        <w:t>Who the services are for (i.e. if limited to specific populations).</w:t>
      </w:r>
      <w:r w:rsidRPr="008C2BD9" w:rsidR="008C2BD9">
        <w:rPr>
          <w:i/>
          <w:iCs/>
          <w:color w:val="0070C0"/>
          <w:lang w:val="en-GB"/>
        </w:rPr>
        <w:t>]</w:t>
      </w:r>
    </w:p>
    <w:p w:rsidRPr="00C95EC1" w:rsidR="00CE4BC6" w:rsidP="00C22D9F" w:rsidRDefault="00CE4BC6" w14:paraId="7E28FA11" w14:textId="196B6627">
      <w:pPr>
        <w:pStyle w:val="Heading3"/>
      </w:pPr>
      <w:bookmarkStart w:name="_Toc134906270" w:id="96"/>
      <w:bookmarkStart w:name="_Toc142469142" w:id="97"/>
      <w:r w:rsidRPr="00C95EC1">
        <w:t xml:space="preserve">Psychosocial </w:t>
      </w:r>
      <w:r w:rsidRPr="00C95EC1" w:rsidR="00BC163C">
        <w:t>support</w:t>
      </w:r>
      <w:bookmarkEnd w:id="96"/>
      <w:bookmarkEnd w:id="97"/>
    </w:p>
    <w:p w:rsidRPr="009F7561" w:rsidR="00CE4BC6" w:rsidP="0014632C" w:rsidRDefault="00CE4BC6" w14:paraId="7E28FA13" w14:textId="2434E894">
      <w:pPr>
        <w:spacing w:before="120" w:after="120" w:line="300" w:lineRule="atLeast"/>
        <w:jc w:val="both"/>
        <w:rPr>
          <w:lang w:val="en-GB"/>
        </w:rPr>
      </w:pPr>
      <w:r w:rsidRPr="009F7561">
        <w:rPr>
          <w:lang w:val="en-GB"/>
        </w:rPr>
        <w:t xml:space="preserve">The term </w:t>
      </w:r>
      <w:r w:rsidRPr="009F7561" w:rsidR="00315391">
        <w:rPr>
          <w:lang w:val="en-GB"/>
        </w:rPr>
        <w:t>“</w:t>
      </w:r>
      <w:r w:rsidRPr="009F7561">
        <w:rPr>
          <w:lang w:val="en-GB"/>
        </w:rPr>
        <w:t>psychosocial</w:t>
      </w:r>
      <w:r w:rsidRPr="009F7561" w:rsidR="00315391">
        <w:rPr>
          <w:lang w:val="en-GB"/>
        </w:rPr>
        <w:t>”</w:t>
      </w:r>
      <w:r w:rsidRPr="009F7561">
        <w:rPr>
          <w:lang w:val="en-GB"/>
        </w:rPr>
        <w:t xml:space="preserve"> emphas</w:t>
      </w:r>
      <w:r w:rsidRPr="009F7561" w:rsidR="005E1813">
        <w:rPr>
          <w:lang w:val="en-GB"/>
        </w:rPr>
        <w:t>ize</w:t>
      </w:r>
      <w:r w:rsidRPr="009F7561">
        <w:rPr>
          <w:lang w:val="en-GB"/>
        </w:rPr>
        <w:t xml:space="preserve">s how </w:t>
      </w:r>
      <w:r w:rsidRPr="009F7561" w:rsidR="00315391">
        <w:rPr>
          <w:lang w:val="en-GB"/>
        </w:rPr>
        <w:t>“</w:t>
      </w:r>
      <w:r w:rsidRPr="009F7561">
        <w:rPr>
          <w:lang w:val="en-GB"/>
        </w:rPr>
        <w:t>psychological</w:t>
      </w:r>
      <w:r w:rsidRPr="009F7561" w:rsidR="00315391">
        <w:rPr>
          <w:lang w:val="en-GB"/>
        </w:rPr>
        <w:t>”</w:t>
      </w:r>
      <w:r w:rsidRPr="009F7561">
        <w:rPr>
          <w:lang w:val="en-GB"/>
        </w:rPr>
        <w:t xml:space="preserve"> and </w:t>
      </w:r>
      <w:r w:rsidRPr="009F7561" w:rsidR="00315391">
        <w:rPr>
          <w:lang w:val="en-GB"/>
        </w:rPr>
        <w:t>“</w:t>
      </w:r>
      <w:r w:rsidRPr="009F7561">
        <w:rPr>
          <w:lang w:val="en-GB"/>
        </w:rPr>
        <w:t>social</w:t>
      </w:r>
      <w:r w:rsidRPr="009F7561" w:rsidR="00315391">
        <w:rPr>
          <w:lang w:val="en-GB"/>
        </w:rPr>
        <w:t>”</w:t>
      </w:r>
      <w:r w:rsidRPr="009F7561">
        <w:rPr>
          <w:lang w:val="en-GB"/>
        </w:rPr>
        <w:t xml:space="preserve"> aspects influence one another and recognizes that individual human beings are influenced and impacted by the environments in which they live. GBV psychosocial support includes programming geared towards all women and girls</w:t>
      </w:r>
      <w:r w:rsidR="00101D69">
        <w:rPr>
          <w:lang w:val="en-GB"/>
        </w:rPr>
        <w:t xml:space="preserve"> and</w:t>
      </w:r>
      <w:r w:rsidRPr="009F7561">
        <w:rPr>
          <w:lang w:val="en-GB"/>
        </w:rPr>
        <w:t xml:space="preserve"> specific services for GBV survivors. Quality </w:t>
      </w:r>
      <w:r w:rsidRPr="009F7561" w:rsidR="00624BBD">
        <w:rPr>
          <w:lang w:val="en-GB"/>
        </w:rPr>
        <w:t xml:space="preserve">psychosocial </w:t>
      </w:r>
      <w:r w:rsidRPr="009F7561">
        <w:rPr>
          <w:lang w:val="en-GB"/>
        </w:rPr>
        <w:t>support (PSS) services are survivor-centred, age-appropriate, build individual and community resilience</w:t>
      </w:r>
      <w:r w:rsidR="00101D69">
        <w:rPr>
          <w:lang w:val="en-GB"/>
        </w:rPr>
        <w:t xml:space="preserve"> and</w:t>
      </w:r>
      <w:r w:rsidRPr="009F7561">
        <w:rPr>
          <w:lang w:val="en-GB"/>
        </w:rPr>
        <w:t xml:space="preserve"> support positive coping mechanisms. They include opportunities for </w:t>
      </w:r>
      <w:r w:rsidRPr="00585205">
        <w:rPr>
          <w:spacing w:val="-2"/>
          <w:lang w:val="en-GB"/>
        </w:rPr>
        <w:t>social networking and solidarity-building among women and girls. It is important that psychosocial</w:t>
      </w:r>
      <w:r w:rsidRPr="009F7561">
        <w:rPr>
          <w:lang w:val="en-GB"/>
        </w:rPr>
        <w:t xml:space="preserve"> support for women and girls is informed by an understanding of their experiences of violence and discriminatio</w:t>
      </w:r>
      <w:r w:rsidRPr="009F7561">
        <w:rPr>
          <w:sz w:val="20"/>
          <w:szCs w:val="20"/>
          <w:lang w:val="en-GB"/>
        </w:rPr>
        <w:t>n.</w:t>
      </w:r>
      <w:r w:rsidRPr="009F7561">
        <w:rPr>
          <w:vertAlign w:val="superscript"/>
          <w:lang w:val="en-GB"/>
        </w:rPr>
        <w:footnoteReference w:id="99"/>
      </w:r>
      <w:r w:rsidRPr="009F7561">
        <w:rPr>
          <w:lang w:val="en-GB"/>
        </w:rPr>
        <w:t xml:space="preserve"> </w:t>
      </w:r>
    </w:p>
    <w:p w:rsidRPr="009F7561" w:rsidR="00CE4BC6" w:rsidP="0014632C" w:rsidRDefault="00CE4BC6" w14:paraId="7E28FA15" w14:textId="23263C48">
      <w:pPr>
        <w:spacing w:before="120" w:after="120" w:line="300" w:lineRule="atLeast"/>
        <w:jc w:val="both"/>
        <w:rPr>
          <w:lang w:val="en-GB"/>
        </w:rPr>
      </w:pPr>
      <w:r w:rsidRPr="009F7561">
        <w:rPr>
          <w:lang w:val="en-GB"/>
        </w:rPr>
        <w:t>PSS includes a variety of approaches delivered by different types of organ</w:t>
      </w:r>
      <w:r w:rsidRPr="009F7561" w:rsidR="002D1850">
        <w:rPr>
          <w:lang w:val="en-GB"/>
        </w:rPr>
        <w:t>iza</w:t>
      </w:r>
      <w:r w:rsidRPr="009F7561">
        <w:rPr>
          <w:lang w:val="en-GB"/>
        </w:rPr>
        <w:t>tions, including community-based and women-led organ</w:t>
      </w:r>
      <w:r w:rsidRPr="009F7561" w:rsidR="002D1850">
        <w:rPr>
          <w:lang w:val="en-GB"/>
        </w:rPr>
        <w:t>iza</w:t>
      </w:r>
      <w:r w:rsidRPr="009F7561">
        <w:rPr>
          <w:lang w:val="en-GB"/>
        </w:rPr>
        <w:t xml:space="preserve">tions. GBV </w:t>
      </w:r>
      <w:r w:rsidRPr="009F7561" w:rsidR="00294F8A">
        <w:rPr>
          <w:lang w:val="en-GB"/>
        </w:rPr>
        <w:t xml:space="preserve">case management </w:t>
      </w:r>
      <w:r w:rsidRPr="009F7561">
        <w:rPr>
          <w:lang w:val="en-GB"/>
        </w:rPr>
        <w:t>is considered a form of PSS, as well as a means of ensuring access to other services and support.</w:t>
      </w:r>
    </w:p>
    <w:p w:rsidRPr="009F7561" w:rsidR="00CE4BC6" w:rsidP="0014632C" w:rsidRDefault="00CE4BC6" w14:paraId="7E28FA19" w14:textId="16DE7D29">
      <w:pPr>
        <w:spacing w:before="120" w:after="120" w:line="300" w:lineRule="atLeast"/>
        <w:jc w:val="both"/>
        <w:rPr>
          <w:lang w:val="en-GB"/>
        </w:rPr>
      </w:pPr>
      <w:r w:rsidRPr="009F7561">
        <w:rPr>
          <w:lang w:val="en-GB"/>
        </w:rPr>
        <w:t>All PSS providers must understand the consequences of GBV and be able to</w:t>
      </w:r>
      <w:r w:rsidR="0014632C">
        <w:rPr>
          <w:lang w:val="en-GB"/>
        </w:rPr>
        <w:t xml:space="preserve"> </w:t>
      </w:r>
      <w:r w:rsidRPr="009F7561">
        <w:rPr>
          <w:lang w:val="en-GB"/>
        </w:rPr>
        <w:t>provide compassionate support to survivors, whether or not survivors disclose. In emergencies</w:t>
      </w:r>
      <w:r w:rsidR="0014632C">
        <w:rPr>
          <w:lang w:val="en-GB"/>
        </w:rPr>
        <w:t xml:space="preserve">, </w:t>
      </w:r>
      <w:r w:rsidRPr="009F7561">
        <w:rPr>
          <w:lang w:val="en-GB"/>
        </w:rPr>
        <w:t xml:space="preserve">as health is often an entry point for other services, GBV programme actors can support </w:t>
      </w:r>
      <w:r w:rsidR="00794E79">
        <w:rPr>
          <w:lang w:val="en-GB"/>
        </w:rPr>
        <w:t>health care</w:t>
      </w:r>
      <w:r w:rsidRPr="009F7561">
        <w:rPr>
          <w:lang w:val="en-GB"/>
        </w:rPr>
        <w:t xml:space="preserve"> providers to offer emotional support understand the potential psychological, social and medical impacts of GBV and refer survivors to appropriate services in a safe and timely manner.</w:t>
      </w:r>
    </w:p>
    <w:p w:rsidRPr="00827C8D" w:rsidR="00CE4BC6" w:rsidP="0014632C" w:rsidRDefault="008C2BD9" w14:paraId="7E28FA1B" w14:textId="74068821">
      <w:pPr>
        <w:spacing w:before="120" w:after="120" w:line="300" w:lineRule="atLeast"/>
        <w:jc w:val="both"/>
        <w:rPr>
          <w:i/>
          <w:iCs/>
          <w:color w:val="0070C0"/>
          <w:lang w:val="en-GB"/>
        </w:rPr>
      </w:pPr>
      <w:r w:rsidRPr="00827C8D">
        <w:rPr>
          <w:i/>
          <w:iCs/>
          <w:color w:val="0070C0"/>
          <w:lang w:val="en-GB"/>
        </w:rPr>
        <w:t>[</w:t>
      </w:r>
      <w:r w:rsidRPr="00827C8D" w:rsidR="00CE4BC6">
        <w:rPr>
          <w:i/>
          <w:iCs/>
          <w:color w:val="0070C0"/>
          <w:lang w:val="en-GB"/>
        </w:rPr>
        <w:t>List all organ</w:t>
      </w:r>
      <w:r w:rsidRPr="00827C8D" w:rsidR="002D1850">
        <w:rPr>
          <w:i/>
          <w:iCs/>
          <w:color w:val="0070C0"/>
          <w:lang w:val="en-GB"/>
        </w:rPr>
        <w:t>iza</w:t>
      </w:r>
      <w:r w:rsidRPr="00827C8D" w:rsidR="00CE4BC6">
        <w:rPr>
          <w:i/>
          <w:iCs/>
          <w:color w:val="0070C0"/>
          <w:lang w:val="en-GB"/>
        </w:rPr>
        <w:t>tions providing psychosocial support including information about community-based support provided by women-led organ</w:t>
      </w:r>
      <w:r w:rsidRPr="00827C8D" w:rsidR="002D1850">
        <w:rPr>
          <w:i/>
          <w:iCs/>
          <w:color w:val="0070C0"/>
          <w:lang w:val="en-GB"/>
        </w:rPr>
        <w:t>iza</w:t>
      </w:r>
      <w:r w:rsidRPr="00827C8D" w:rsidR="00CE4BC6">
        <w:rPr>
          <w:i/>
          <w:iCs/>
          <w:color w:val="0070C0"/>
          <w:lang w:val="en-GB"/>
        </w:rPr>
        <w:t>tions</w:t>
      </w:r>
      <w:r w:rsidRPr="00827C8D" w:rsidR="008A1575">
        <w:rPr>
          <w:i/>
          <w:iCs/>
          <w:color w:val="0070C0"/>
          <w:lang w:val="en-GB"/>
        </w:rPr>
        <w:t xml:space="preserve"> and </w:t>
      </w:r>
      <w:r w:rsidRPr="00827C8D" w:rsidR="00CE4BC6">
        <w:rPr>
          <w:i/>
          <w:iCs/>
          <w:color w:val="0070C0"/>
          <w:lang w:val="en-GB"/>
        </w:rPr>
        <w:t>indicate the types of services available for GBV survivors.</w:t>
      </w:r>
      <w:r w:rsidRPr="00827C8D" w:rsidR="00827C8D">
        <w:rPr>
          <w:i/>
          <w:iCs/>
          <w:color w:val="0070C0"/>
          <w:lang w:val="en-GB"/>
        </w:rPr>
        <w:t>]</w:t>
      </w:r>
    </w:p>
    <w:p w:rsidRPr="00C95EC1" w:rsidR="00CE4BC6" w:rsidP="00C22D9F" w:rsidRDefault="00CE4BC6" w14:paraId="7E28FA1E" w14:textId="10054BDA">
      <w:pPr>
        <w:pStyle w:val="Heading3"/>
      </w:pPr>
      <w:bookmarkStart w:name="_Toc134906271" w:id="98"/>
      <w:bookmarkStart w:name="_Toc142469143" w:id="99"/>
      <w:r w:rsidRPr="00C95EC1">
        <w:t xml:space="preserve">Case </w:t>
      </w:r>
      <w:r w:rsidRPr="00C95EC1" w:rsidR="00244404">
        <w:t xml:space="preserve">management </w:t>
      </w:r>
      <w:r w:rsidRPr="00C95EC1">
        <w:t xml:space="preserve">(see also </w:t>
      </w:r>
      <w:r w:rsidRPr="00C95EC1" w:rsidR="00CB5A06">
        <w:t>section</w:t>
      </w:r>
      <w:r w:rsidRPr="00C95EC1">
        <w:t xml:space="preserve"> 4 </w:t>
      </w:r>
      <w:r w:rsidRPr="00C95EC1" w:rsidR="00AF55EC">
        <w:t xml:space="preserve">on </w:t>
      </w:r>
      <w:r w:rsidRPr="00C95EC1" w:rsidR="00244404">
        <w:t>documentation considerations for case management providers</w:t>
      </w:r>
      <w:r w:rsidRPr="00C95EC1">
        <w:t>)</w:t>
      </w:r>
      <w:bookmarkEnd w:id="98"/>
      <w:bookmarkEnd w:id="99"/>
    </w:p>
    <w:p w:rsidRPr="009F7561" w:rsidR="00CE4BC6" w:rsidP="0014632C" w:rsidRDefault="00CE4BC6" w14:paraId="7E28FA20" w14:textId="6B8348FD">
      <w:pPr>
        <w:spacing w:before="120" w:after="120" w:line="300" w:lineRule="atLeast"/>
        <w:jc w:val="both"/>
        <w:rPr>
          <w:lang w:val="en-GB"/>
        </w:rPr>
      </w:pPr>
      <w:r w:rsidRPr="009F7561">
        <w:rPr>
          <w:lang w:val="en-GB"/>
        </w:rPr>
        <w:t>GBV case management involves a trained psychosocial support or social services actor</w:t>
      </w:r>
      <w:r w:rsidR="00AF55EC">
        <w:rPr>
          <w:lang w:val="en-GB"/>
        </w:rPr>
        <w:t xml:space="preserve"> who</w:t>
      </w:r>
      <w:r w:rsidRPr="009F7561">
        <w:rPr>
          <w:lang w:val="en-GB"/>
        </w:rPr>
        <w:t xml:space="preserve">: (1) </w:t>
      </w:r>
      <w:r w:rsidRPr="009F7561" w:rsidR="00AF55EC">
        <w:rPr>
          <w:lang w:val="en-GB"/>
        </w:rPr>
        <w:t>ensur</w:t>
      </w:r>
      <w:r w:rsidR="00AF55EC">
        <w:rPr>
          <w:lang w:val="en-GB"/>
        </w:rPr>
        <w:t>es</w:t>
      </w:r>
      <w:r w:rsidRPr="009F7561" w:rsidR="00AF55EC">
        <w:rPr>
          <w:lang w:val="en-GB"/>
        </w:rPr>
        <w:t xml:space="preserve"> </w:t>
      </w:r>
      <w:r w:rsidRPr="009F7561">
        <w:rPr>
          <w:lang w:val="en-GB"/>
        </w:rPr>
        <w:t xml:space="preserve">that survivors are informed of all the options available to them and referring them to relevant services based on consent; (2) </w:t>
      </w:r>
      <w:r w:rsidRPr="009F7561" w:rsidR="00AF55EC">
        <w:rPr>
          <w:lang w:val="en-GB"/>
        </w:rPr>
        <w:t>identif</w:t>
      </w:r>
      <w:r w:rsidR="00AF55EC">
        <w:rPr>
          <w:lang w:val="en-GB"/>
        </w:rPr>
        <w:t>ies</w:t>
      </w:r>
      <w:r w:rsidRPr="009F7561" w:rsidR="00AF55EC">
        <w:rPr>
          <w:lang w:val="en-GB"/>
        </w:rPr>
        <w:t xml:space="preserve"> </w:t>
      </w:r>
      <w:r w:rsidRPr="009F7561">
        <w:rPr>
          <w:lang w:val="en-GB"/>
        </w:rPr>
        <w:t xml:space="preserve">and </w:t>
      </w:r>
      <w:r w:rsidRPr="009F7561" w:rsidR="00AF55EC">
        <w:rPr>
          <w:lang w:val="en-GB"/>
        </w:rPr>
        <w:t>follow</w:t>
      </w:r>
      <w:r w:rsidR="00AF55EC">
        <w:rPr>
          <w:lang w:val="en-GB"/>
        </w:rPr>
        <w:t>s</w:t>
      </w:r>
      <w:r w:rsidRPr="009F7561" w:rsidR="00AF55EC">
        <w:rPr>
          <w:lang w:val="en-GB"/>
        </w:rPr>
        <w:t xml:space="preserve"> </w:t>
      </w:r>
      <w:r w:rsidRPr="009F7561">
        <w:rPr>
          <w:lang w:val="en-GB"/>
        </w:rPr>
        <w:t>up on issues that survivor</w:t>
      </w:r>
      <w:r w:rsidR="00AF55EC">
        <w:rPr>
          <w:lang w:val="en-GB"/>
        </w:rPr>
        <w:t>s</w:t>
      </w:r>
      <w:r w:rsidRPr="009F7561">
        <w:rPr>
          <w:lang w:val="en-GB"/>
        </w:rPr>
        <w:t xml:space="preserve"> (and </w:t>
      </w:r>
      <w:r w:rsidR="00AF55EC">
        <w:rPr>
          <w:lang w:val="en-GB"/>
        </w:rPr>
        <w:t xml:space="preserve">their </w:t>
      </w:r>
      <w:r w:rsidRPr="009F7561" w:rsidR="00AF55EC">
        <w:rPr>
          <w:lang w:val="en-GB"/>
        </w:rPr>
        <w:t>famil</w:t>
      </w:r>
      <w:r w:rsidR="00AF55EC">
        <w:rPr>
          <w:lang w:val="en-GB"/>
        </w:rPr>
        <w:t>ies</w:t>
      </w:r>
      <w:r w:rsidRPr="009F7561">
        <w:rPr>
          <w:lang w:val="en-GB"/>
        </w:rPr>
        <w:t xml:space="preserve">, if relevant) </w:t>
      </w:r>
      <w:r w:rsidR="00AF55EC">
        <w:rPr>
          <w:lang w:val="en-GB"/>
        </w:rPr>
        <w:t xml:space="preserve">are </w:t>
      </w:r>
      <w:r w:rsidRPr="009F7561">
        <w:rPr>
          <w:lang w:val="en-GB"/>
        </w:rPr>
        <w:t xml:space="preserve">facing in a coordinated way; and (3) </w:t>
      </w:r>
      <w:r w:rsidRPr="009F7561" w:rsidR="00AF55EC">
        <w:rPr>
          <w:lang w:val="en-GB"/>
        </w:rPr>
        <w:t>provid</w:t>
      </w:r>
      <w:r w:rsidR="00AF55EC">
        <w:rPr>
          <w:lang w:val="en-GB"/>
        </w:rPr>
        <w:t>es</w:t>
      </w:r>
      <w:r w:rsidRPr="009F7561" w:rsidR="00AF55EC">
        <w:rPr>
          <w:lang w:val="en-GB"/>
        </w:rPr>
        <w:t xml:space="preserve"> </w:t>
      </w:r>
      <w:r w:rsidRPr="009F7561">
        <w:rPr>
          <w:lang w:val="en-GB"/>
        </w:rPr>
        <w:t xml:space="preserve">the survivor with </w:t>
      </w:r>
      <w:r w:rsidRPr="009F7561">
        <w:rPr>
          <w:lang w:val="en-GB"/>
        </w:rPr>
        <w:t xml:space="preserve">emotional support throughout the process. Refer to </w:t>
      </w:r>
      <w:r w:rsidR="00EF0003">
        <w:rPr>
          <w:lang w:val="en-GB"/>
        </w:rPr>
        <w:t xml:space="preserve">the </w:t>
      </w:r>
      <w:hyperlink r:id="rId17">
        <w:r w:rsidR="009D526B">
          <w:rPr>
            <w:color w:val="0000FF"/>
            <w:u w:val="single"/>
            <w:lang w:val="en-GB"/>
          </w:rPr>
          <w:t>I</w:t>
        </w:r>
        <w:r w:rsidR="00D15C40">
          <w:rPr>
            <w:color w:val="0000FF"/>
            <w:u w:val="single"/>
            <w:lang w:val="en-GB"/>
          </w:rPr>
          <w:t>nter-</w:t>
        </w:r>
        <w:r w:rsidR="009D526B">
          <w:rPr>
            <w:color w:val="0000FF"/>
            <w:u w:val="single"/>
            <w:lang w:val="en-GB"/>
          </w:rPr>
          <w:t>A</w:t>
        </w:r>
        <w:r w:rsidR="00D15C40">
          <w:rPr>
            <w:color w:val="0000FF"/>
            <w:u w:val="single"/>
            <w:lang w:val="en-GB"/>
          </w:rPr>
          <w:t>gency</w:t>
        </w:r>
        <w:r w:rsidRPr="004B0D74" w:rsidR="00BB06E5">
          <w:rPr>
            <w:color w:val="0000FF"/>
            <w:u w:val="single"/>
            <w:lang w:val="en-GB"/>
          </w:rPr>
          <w:t xml:space="preserve"> GBV case management guidelines</w:t>
        </w:r>
      </w:hyperlink>
      <w:r w:rsidRPr="009F7561" w:rsidR="004B0D74">
        <w:rPr>
          <w:lang w:val="en-GB"/>
        </w:rPr>
        <w:t xml:space="preserve"> </w:t>
      </w:r>
      <w:r w:rsidRPr="009F7561">
        <w:rPr>
          <w:lang w:val="en-GB"/>
        </w:rPr>
        <w:t xml:space="preserve">for more information on the steps of GBV </w:t>
      </w:r>
      <w:r w:rsidRPr="009F7561" w:rsidR="004B0D74">
        <w:rPr>
          <w:lang w:val="en-GB"/>
        </w:rPr>
        <w:t>case management</w:t>
      </w:r>
      <w:r w:rsidRPr="009F7561">
        <w:rPr>
          <w:lang w:val="en-GB"/>
        </w:rPr>
        <w:t>.</w:t>
      </w:r>
    </w:p>
    <w:p w:rsidRPr="009F7561" w:rsidR="00CE4BC6" w:rsidP="0014632C" w:rsidRDefault="00CE4BC6" w14:paraId="7E28FA22" w14:textId="6D634FBB">
      <w:pPr>
        <w:spacing w:before="120" w:after="120" w:line="300" w:lineRule="atLeast"/>
        <w:jc w:val="both"/>
        <w:rPr>
          <w:lang w:val="en-GB"/>
        </w:rPr>
      </w:pPr>
      <w:r w:rsidRPr="009F7561">
        <w:rPr>
          <w:lang w:val="en-GB"/>
        </w:rPr>
        <w:t>GBV case management</w:t>
      </w:r>
      <w:r w:rsidRPr="009F7561">
        <w:rPr>
          <w:vertAlign w:val="superscript"/>
          <w:lang w:val="en-GB"/>
        </w:rPr>
        <w:footnoteReference w:id="100"/>
      </w:r>
      <w:r w:rsidRPr="009F7561">
        <w:rPr>
          <w:lang w:val="en-GB"/>
        </w:rPr>
        <w:t xml:space="preserve"> has become the primary entry point for GBV survivors to receive crisis and </w:t>
      </w:r>
      <w:r w:rsidRPr="009F7561" w:rsidR="0014632C">
        <w:rPr>
          <w:lang w:val="en-GB"/>
        </w:rPr>
        <w:t>longer-term</w:t>
      </w:r>
      <w:r w:rsidRPr="009F7561">
        <w:rPr>
          <w:lang w:val="en-GB"/>
        </w:rPr>
        <w:t xml:space="preserve"> psychosocial support because of the lack of more established health and social support service providers in humanitarian settings.</w:t>
      </w:r>
      <w:r w:rsidRPr="009F7561">
        <w:rPr>
          <w:vertAlign w:val="superscript"/>
          <w:lang w:val="en-GB"/>
        </w:rPr>
        <w:footnoteReference w:id="101"/>
      </w:r>
    </w:p>
    <w:p w:rsidRPr="00827C8D" w:rsidR="00CE4BC6" w:rsidP="0014632C" w:rsidRDefault="00827C8D" w14:paraId="7E28FA24" w14:textId="7BF73399">
      <w:pPr>
        <w:spacing w:before="120" w:after="120" w:line="300" w:lineRule="atLeast"/>
        <w:jc w:val="both"/>
        <w:rPr>
          <w:i/>
          <w:iCs/>
          <w:color w:val="0070C0"/>
          <w:lang w:val="en-GB"/>
        </w:rPr>
      </w:pPr>
      <w:r w:rsidRPr="00827C8D">
        <w:rPr>
          <w:i/>
          <w:iCs/>
          <w:color w:val="0070C0"/>
          <w:lang w:val="en-GB"/>
        </w:rPr>
        <w:t>[</w:t>
      </w:r>
      <w:r w:rsidRPr="00827C8D" w:rsidR="00CE4BC6">
        <w:rPr>
          <w:i/>
          <w:iCs/>
          <w:color w:val="0070C0"/>
          <w:lang w:val="en-GB"/>
        </w:rPr>
        <w:t>List the organ</w:t>
      </w:r>
      <w:r w:rsidRPr="00827C8D" w:rsidR="002D1850">
        <w:rPr>
          <w:i/>
          <w:iCs/>
          <w:color w:val="0070C0"/>
          <w:lang w:val="en-GB"/>
        </w:rPr>
        <w:t>iza</w:t>
      </w:r>
      <w:r w:rsidRPr="00827C8D" w:rsidR="00CE4BC6">
        <w:rPr>
          <w:i/>
          <w:iCs/>
          <w:color w:val="0070C0"/>
          <w:lang w:val="en-GB"/>
        </w:rPr>
        <w:t>tion(s) providing GBV case management services in your setting.</w:t>
      </w:r>
      <w:r w:rsidRPr="00827C8D">
        <w:rPr>
          <w:i/>
          <w:iCs/>
          <w:color w:val="0070C0"/>
          <w:lang w:val="en-GB"/>
        </w:rPr>
        <w:t>]</w:t>
      </w:r>
      <w:r w:rsidRPr="00827C8D" w:rsidR="00CE4BC6">
        <w:rPr>
          <w:i/>
          <w:iCs/>
          <w:color w:val="0070C0"/>
          <w:lang w:val="en-GB"/>
        </w:rPr>
        <w:t xml:space="preserve"> </w:t>
      </w:r>
    </w:p>
    <w:p w:rsidRPr="00D967F6" w:rsidR="00CE4BC6" w:rsidP="000670F9" w:rsidRDefault="00CE4BC6" w14:paraId="7E28FA27" w14:textId="7D54BF68">
      <w:pPr>
        <w:pStyle w:val="Heading4"/>
      </w:pPr>
      <w:bookmarkStart w:name="_Toc134906272" w:id="100"/>
      <w:r w:rsidRPr="00362594">
        <w:t xml:space="preserve">Remote GBV </w:t>
      </w:r>
      <w:r w:rsidRPr="00362594" w:rsidR="002238B5">
        <w:t>case management</w:t>
      </w:r>
      <w:bookmarkEnd w:id="100"/>
      <w:r w:rsidR="00D967F6">
        <w:rPr>
          <w:rStyle w:val="FootnoteReference"/>
        </w:rPr>
        <w:footnoteReference w:id="102"/>
      </w:r>
    </w:p>
    <w:p w:rsidRPr="009F7561" w:rsidR="00CE4BC6" w:rsidP="00D967F6" w:rsidRDefault="00CE4BC6" w14:paraId="7E28FA29" w14:textId="371A95AA">
      <w:pPr>
        <w:spacing w:before="120" w:after="120" w:line="300" w:lineRule="atLeast"/>
        <w:jc w:val="both"/>
        <w:rPr>
          <w:lang w:val="en-GB"/>
        </w:rPr>
      </w:pPr>
      <w:r w:rsidRPr="009F7561">
        <w:rPr>
          <w:lang w:val="en-GB"/>
        </w:rPr>
        <w:t xml:space="preserve">Remote case management is the provision of case management services </w:t>
      </w:r>
      <w:r w:rsidR="00131FE5">
        <w:rPr>
          <w:lang w:val="en-GB"/>
        </w:rPr>
        <w:t xml:space="preserve">at a </w:t>
      </w:r>
      <w:r w:rsidRPr="009F7561">
        <w:rPr>
          <w:lang w:val="en-GB"/>
        </w:rPr>
        <w:t>distance, usually by phone or internet. Remote case management is an adaptation of in-person case management services so that survivors can access and receive safe and confidential services. Remote case management services also support the health and wellbeing of GBV case workers.</w:t>
      </w:r>
    </w:p>
    <w:p w:rsidRPr="00585205" w:rsidR="00CE4BC6" w:rsidP="00D967F6" w:rsidRDefault="00CE4BC6" w14:paraId="7E28FA2D" w14:textId="3BF2C496">
      <w:pPr>
        <w:spacing w:before="120" w:after="120" w:line="300" w:lineRule="atLeast"/>
        <w:jc w:val="both"/>
        <w:rPr>
          <w:lang w:val="en-GB"/>
        </w:rPr>
      </w:pPr>
      <w:r w:rsidRPr="009F7561">
        <w:rPr>
          <w:lang w:val="en-GB"/>
        </w:rPr>
        <w:t xml:space="preserve">In some instances, service providers may suddenly have restricted access (e.g. due to armed conflict, contact restrictions during a health pandemic) and need to adapt in-person services to remote </w:t>
      </w:r>
      <w:r w:rsidRPr="009F7561" w:rsidR="00730E4C">
        <w:rPr>
          <w:lang w:val="en-GB"/>
        </w:rPr>
        <w:t>services. Two</w:t>
      </w:r>
      <w:r w:rsidRPr="009F7561">
        <w:rPr>
          <w:lang w:val="en-GB"/>
        </w:rPr>
        <w:t xml:space="preserve"> key considerations must be taken into account before moving forward: Is it possible to enable access to technology and a phone network</w:t>
      </w:r>
      <w:r w:rsidRPr="009F7561" w:rsidR="008A1575">
        <w:rPr>
          <w:lang w:val="en-GB"/>
        </w:rPr>
        <w:t xml:space="preserve"> and </w:t>
      </w:r>
      <w:r w:rsidRPr="009F7561">
        <w:rPr>
          <w:lang w:val="en-GB"/>
        </w:rPr>
        <w:t>to ensure the safety and privacy of the survivor</w:t>
      </w:r>
      <w:r w:rsidRPr="009F7561" w:rsidR="00DC2A84">
        <w:t>?</w:t>
      </w:r>
      <w:r w:rsidRPr="009F7561">
        <w:rPr>
          <w:vertAlign w:val="superscript"/>
        </w:rPr>
        <w:footnoteReference w:id="103"/>
      </w:r>
    </w:p>
    <w:p w:rsidRPr="000670F9" w:rsidR="00CE4BC6" w:rsidP="00D967F6" w:rsidRDefault="000670F9" w14:paraId="7E28FA2F" w14:textId="3FF889CC">
      <w:pPr>
        <w:spacing w:before="120" w:after="120" w:line="300" w:lineRule="atLeast"/>
        <w:jc w:val="both"/>
        <w:rPr>
          <w:i/>
          <w:iCs/>
          <w:color w:val="0070C0"/>
          <w:lang w:val="en-GB"/>
        </w:rPr>
      </w:pPr>
      <w:r w:rsidRPr="000670F9">
        <w:rPr>
          <w:i/>
          <w:iCs/>
          <w:color w:val="0070C0"/>
          <w:lang w:val="en-GB"/>
        </w:rPr>
        <w:t>[</w:t>
      </w:r>
      <w:r w:rsidRPr="000670F9" w:rsidR="00CE4BC6">
        <w:rPr>
          <w:i/>
          <w:iCs/>
          <w:color w:val="0070C0"/>
          <w:lang w:val="en-GB"/>
        </w:rPr>
        <w:t>Conduct risk analysis and describe mitigation measures related to this service provision when adapting case management services to remote modalities.</w:t>
      </w:r>
      <w:r w:rsidRPr="000670F9" w:rsidR="00CE4BC6">
        <w:rPr>
          <w:i/>
          <w:iCs/>
          <w:color w:val="0070C0"/>
          <w:vertAlign w:val="superscript"/>
          <w:lang w:val="en-GB"/>
        </w:rPr>
        <w:footnoteReference w:id="104"/>
      </w:r>
      <w:r w:rsidRPr="000670F9" w:rsidR="00CE4BC6">
        <w:rPr>
          <w:i/>
          <w:iCs/>
          <w:color w:val="0070C0"/>
          <w:lang w:val="en-GB"/>
        </w:rPr>
        <w:t xml:space="preserve"> </w:t>
      </w:r>
    </w:p>
    <w:p w:rsidRPr="000670F9" w:rsidR="00CE4BC6" w:rsidP="00D967F6" w:rsidRDefault="00CE4BC6" w14:paraId="7E28FA31" w14:textId="3CCB3E70">
      <w:pPr>
        <w:spacing w:before="120" w:after="120" w:line="300" w:lineRule="atLeast"/>
        <w:jc w:val="both"/>
        <w:rPr>
          <w:i/>
          <w:iCs/>
          <w:color w:val="0070C0"/>
          <w:lang w:val="en-GB"/>
        </w:rPr>
      </w:pPr>
      <w:r w:rsidRPr="000670F9">
        <w:rPr>
          <w:i/>
          <w:iCs/>
          <w:color w:val="0070C0"/>
          <w:lang w:val="en-GB"/>
        </w:rPr>
        <w:t>List the organ</w:t>
      </w:r>
      <w:r w:rsidRPr="000670F9" w:rsidR="002D1850">
        <w:rPr>
          <w:i/>
          <w:iCs/>
          <w:color w:val="0070C0"/>
          <w:lang w:val="en-GB"/>
        </w:rPr>
        <w:t>iza</w:t>
      </w:r>
      <w:r w:rsidRPr="000670F9">
        <w:rPr>
          <w:i/>
          <w:iCs/>
          <w:color w:val="0070C0"/>
          <w:lang w:val="en-GB"/>
        </w:rPr>
        <w:t xml:space="preserve">tion(s) providing remote case management services in your setting, including </w:t>
      </w:r>
      <w:r w:rsidRPr="000670F9" w:rsidR="00D57203">
        <w:rPr>
          <w:i/>
          <w:iCs/>
          <w:color w:val="0070C0"/>
          <w:lang w:val="en-GB"/>
        </w:rPr>
        <w:t>by tele</w:t>
      </w:r>
      <w:r w:rsidRPr="000670F9">
        <w:rPr>
          <w:i/>
          <w:iCs/>
          <w:color w:val="0070C0"/>
          <w:lang w:val="en-GB"/>
        </w:rPr>
        <w:t xml:space="preserve">phone or internet. </w:t>
      </w:r>
      <w:r w:rsidRPr="000670F9" w:rsidR="000670F9">
        <w:rPr>
          <w:i/>
          <w:iCs/>
          <w:color w:val="0070C0"/>
          <w:lang w:val="en-GB"/>
        </w:rPr>
        <w:t>]</w:t>
      </w:r>
    </w:p>
    <w:p w:rsidRPr="00395961" w:rsidR="00CE4BC6" w:rsidP="007F69F6" w:rsidRDefault="00D15C40" w14:paraId="7E28FA34" w14:textId="69ED7E5A">
      <w:pPr>
        <w:pStyle w:val="Heading4"/>
        <w:rPr>
          <w:lang w:val="en-GB"/>
        </w:rPr>
      </w:pPr>
      <w:bookmarkStart w:name="_Toc134906273" w:id="101"/>
      <w:r w:rsidRPr="00395961">
        <w:rPr>
          <w:lang w:val="en-GB"/>
        </w:rPr>
        <w:t>Inter-agency</w:t>
      </w:r>
      <w:r w:rsidRPr="00395961" w:rsidR="00CE4BC6">
        <w:rPr>
          <w:lang w:val="en-GB"/>
        </w:rPr>
        <w:t xml:space="preserve"> </w:t>
      </w:r>
      <w:r w:rsidRPr="00395961" w:rsidR="001174C2">
        <w:rPr>
          <w:lang w:val="en-GB"/>
        </w:rPr>
        <w:t>case conferences</w:t>
      </w:r>
      <w:bookmarkEnd w:id="101"/>
    </w:p>
    <w:p w:rsidRPr="00585205" w:rsidR="00CE4BC6" w:rsidP="00395961" w:rsidRDefault="00CE4BC6" w14:paraId="7E28FA35" w14:textId="2B27EEC2">
      <w:pPr>
        <w:spacing w:before="120" w:after="120" w:line="300" w:lineRule="atLeast"/>
        <w:jc w:val="both"/>
        <w:rPr>
          <w:lang w:val="en-GB"/>
        </w:rPr>
      </w:pPr>
      <w:r w:rsidRPr="009F7561">
        <w:rPr>
          <w:lang w:val="en-GB"/>
        </w:rPr>
        <w:t>A case conference is a planned, structured meeting convened by the caseworker to discuss a particular case with other service providers involved in the survivor</w:t>
      </w:r>
      <w:r w:rsidRPr="009F7561" w:rsidR="00315391">
        <w:rPr>
          <w:lang w:val="en-GB"/>
        </w:rPr>
        <w:t>’s</w:t>
      </w:r>
      <w:r w:rsidRPr="009F7561">
        <w:rPr>
          <w:lang w:val="en-GB"/>
        </w:rPr>
        <w:t xml:space="preserve"> care and treatment. Case conferences allow you to: (1) review activities, including progress and barriers towards goals; (2) map roles and responsibilities; (3) resolve conflicts and strategize solutions; (4) adjust current action plans</w:t>
      </w:r>
      <w:r w:rsidRPr="009F7561" w:rsidR="001174C2">
        <w:rPr>
          <w:lang w:val="en-GB"/>
        </w:rPr>
        <w:t>.</w:t>
      </w:r>
      <w:r w:rsidRPr="00585205">
        <w:rPr>
          <w:vertAlign w:val="superscript"/>
          <w:lang w:val="en-GB"/>
        </w:rPr>
        <w:footnoteReference w:id="105"/>
      </w:r>
      <w:r w:rsidRPr="009F7561">
        <w:rPr>
          <w:lang w:val="en-GB"/>
        </w:rPr>
        <w:t xml:space="preserve"> Case conferences can be effective venues for addressing any problems with services not being provided in a timely way</w:t>
      </w:r>
      <w:r w:rsidRPr="009F7561" w:rsidR="00461384">
        <w:rPr>
          <w:lang w:val="en-GB"/>
        </w:rPr>
        <w:t xml:space="preserve"> or </w:t>
      </w:r>
      <w:r w:rsidRPr="009F7561">
        <w:rPr>
          <w:lang w:val="en-GB"/>
        </w:rPr>
        <w:t xml:space="preserve">to get clarity on who is doing what to avoid duplication of efforts in complex cases involving many actors. </w:t>
      </w:r>
      <w:r w:rsidR="00845A05">
        <w:rPr>
          <w:lang w:val="en-GB"/>
        </w:rPr>
        <w:t>C</w:t>
      </w:r>
      <w:r w:rsidRPr="009F7561">
        <w:rPr>
          <w:lang w:val="en-GB"/>
        </w:rPr>
        <w:t>onsent from the survivor before holding a case conference</w:t>
      </w:r>
      <w:r w:rsidR="00845A05">
        <w:rPr>
          <w:lang w:val="en-GB"/>
        </w:rPr>
        <w:t xml:space="preserve"> should always be obtained</w:t>
      </w:r>
      <w:r w:rsidRPr="009F7561">
        <w:rPr>
          <w:lang w:val="en-GB"/>
        </w:rPr>
        <w:t>. Case conferencing is done on an ad hoc basis and is distinct from ongoing service coordination and other coordination forums.</w:t>
      </w:r>
      <w:r w:rsidRPr="00585205">
        <w:rPr>
          <w:lang w:val="en-GB"/>
        </w:rPr>
        <w:t xml:space="preserve"> </w:t>
      </w:r>
    </w:p>
    <w:p w:rsidRPr="00585205" w:rsidR="00CE4BC6" w:rsidP="00395961" w:rsidRDefault="00CE4BC6" w14:paraId="7E28FA37" w14:textId="60021654">
      <w:pPr>
        <w:spacing w:before="120" w:after="120" w:line="300" w:lineRule="atLeast"/>
        <w:jc w:val="both"/>
        <w:rPr>
          <w:lang w:val="en-GB"/>
        </w:rPr>
      </w:pPr>
      <w:r w:rsidRPr="00585205">
        <w:rPr>
          <w:lang w:val="en-GB"/>
        </w:rPr>
        <w:t xml:space="preserve">Information </w:t>
      </w:r>
      <w:r w:rsidR="007C519A">
        <w:rPr>
          <w:lang w:val="en-GB"/>
        </w:rPr>
        <w:t xml:space="preserve">is </w:t>
      </w:r>
      <w:r w:rsidRPr="00585205">
        <w:rPr>
          <w:lang w:val="en-GB"/>
        </w:rPr>
        <w:t>shared on a need-to-know basis in case conferences</w:t>
      </w:r>
      <w:r w:rsidRPr="00585205" w:rsidR="008A1575">
        <w:rPr>
          <w:lang w:val="en-GB"/>
        </w:rPr>
        <w:t xml:space="preserve"> and </w:t>
      </w:r>
      <w:r w:rsidRPr="00585205">
        <w:rPr>
          <w:lang w:val="en-GB"/>
        </w:rPr>
        <w:t xml:space="preserve">information </w:t>
      </w:r>
      <w:r w:rsidR="00F8753E">
        <w:rPr>
          <w:lang w:val="en-GB"/>
        </w:rPr>
        <w:br/>
      </w:r>
      <w:r w:rsidRPr="00585205">
        <w:rPr>
          <w:lang w:val="en-GB"/>
        </w:rPr>
        <w:t xml:space="preserve">that is not relevant to the work of a particular service provider </w:t>
      </w:r>
      <w:r w:rsidR="007C519A">
        <w:rPr>
          <w:lang w:val="en-GB"/>
        </w:rPr>
        <w:t xml:space="preserve">is </w:t>
      </w:r>
      <w:r w:rsidRPr="00585205">
        <w:rPr>
          <w:lang w:val="en-GB"/>
        </w:rPr>
        <w:t xml:space="preserve">not shared with them. </w:t>
      </w:r>
      <w:r w:rsidR="00F8753E">
        <w:rPr>
          <w:lang w:val="en-GB"/>
        </w:rPr>
        <w:br/>
      </w:r>
      <w:r w:rsidRPr="00585205">
        <w:rPr>
          <w:lang w:val="en-GB"/>
        </w:rPr>
        <w:t xml:space="preserve">For example, a </w:t>
      </w:r>
      <w:r w:rsidR="00794E79">
        <w:rPr>
          <w:lang w:val="en-GB"/>
        </w:rPr>
        <w:t>health care</w:t>
      </w:r>
      <w:r w:rsidRPr="00585205">
        <w:rPr>
          <w:lang w:val="en-GB"/>
        </w:rPr>
        <w:t xml:space="preserve"> provider does not need to know perpetrator details or how the case is being handled. To ensure that this principle is respected, specific service providers attend only </w:t>
      </w:r>
      <w:r w:rsidR="00EB7E07">
        <w:rPr>
          <w:lang w:val="en-GB"/>
        </w:rPr>
        <w:t xml:space="preserve">that </w:t>
      </w:r>
      <w:r w:rsidRPr="00585205">
        <w:rPr>
          <w:lang w:val="en-GB"/>
        </w:rPr>
        <w:t>part of the case conference where issues related to their work are discussed.</w:t>
      </w:r>
      <w:r w:rsidRPr="00585205">
        <w:rPr>
          <w:vertAlign w:val="superscript"/>
          <w:lang w:val="en-GB"/>
        </w:rPr>
        <w:footnoteReference w:id="106"/>
      </w:r>
    </w:p>
    <w:p w:rsidRPr="00585205" w:rsidR="00CE4BC6" w:rsidP="00E96F61" w:rsidRDefault="00CE4BC6" w14:paraId="7E28FA3A" w14:textId="61AF6D60">
      <w:pPr>
        <w:numPr>
          <w:ilvl w:val="0"/>
          <w:numId w:val="7"/>
        </w:numPr>
        <w:spacing w:before="120" w:after="120" w:line="300" w:lineRule="atLeast"/>
        <w:jc w:val="both"/>
        <w:rPr>
          <w:lang w:val="en-GB"/>
        </w:rPr>
      </w:pPr>
      <w:r w:rsidRPr="00585205">
        <w:rPr>
          <w:lang w:val="en-GB"/>
        </w:rPr>
        <w:t xml:space="preserve">For children, consent/assent should be provided </w:t>
      </w:r>
      <w:r w:rsidR="00403679">
        <w:rPr>
          <w:lang w:val="en-GB"/>
        </w:rPr>
        <w:t xml:space="preserve">before </w:t>
      </w:r>
      <w:r w:rsidRPr="00585205" w:rsidR="00403679">
        <w:rPr>
          <w:lang w:val="en-GB"/>
        </w:rPr>
        <w:t>shar</w:t>
      </w:r>
      <w:r w:rsidR="00403679">
        <w:rPr>
          <w:lang w:val="en-GB"/>
        </w:rPr>
        <w:t>ing</w:t>
      </w:r>
      <w:r w:rsidRPr="00585205" w:rsidR="00403679">
        <w:rPr>
          <w:lang w:val="en-GB"/>
        </w:rPr>
        <w:t xml:space="preserve"> </w:t>
      </w:r>
      <w:r w:rsidRPr="00585205">
        <w:rPr>
          <w:lang w:val="en-GB"/>
        </w:rPr>
        <w:t xml:space="preserve">information with participants </w:t>
      </w:r>
      <w:r w:rsidR="00403679">
        <w:rPr>
          <w:lang w:val="en-GB"/>
        </w:rPr>
        <w:t>in</w:t>
      </w:r>
      <w:r w:rsidRPr="00585205" w:rsidR="00403679">
        <w:rPr>
          <w:lang w:val="en-GB"/>
        </w:rPr>
        <w:t xml:space="preserve"> </w:t>
      </w:r>
      <w:r w:rsidRPr="00585205">
        <w:rPr>
          <w:lang w:val="en-GB"/>
        </w:rPr>
        <w:t xml:space="preserve">a case conference (see </w:t>
      </w:r>
      <w:r w:rsidRPr="00585205" w:rsidR="00CB5A06">
        <w:rPr>
          <w:lang w:val="en-GB"/>
        </w:rPr>
        <w:t>section</w:t>
      </w:r>
      <w:r w:rsidRPr="00585205">
        <w:rPr>
          <w:lang w:val="en-GB"/>
        </w:rPr>
        <w:t xml:space="preserve"> 3.3.2). In some circumstances, if it is in the best interests of the child, information may be shared on a need-to-know basis without the consent of the child or their caregiver.</w:t>
      </w:r>
      <w:r w:rsidRPr="00585205">
        <w:rPr>
          <w:vertAlign w:val="superscript"/>
          <w:lang w:val="en-GB"/>
        </w:rPr>
        <w:footnoteReference w:id="107"/>
      </w:r>
    </w:p>
    <w:p w:rsidRPr="00585205" w:rsidR="00CE4BC6" w:rsidP="00E96F61" w:rsidRDefault="00CE4BC6" w14:paraId="7E28FA3C" w14:textId="6AC83524">
      <w:pPr>
        <w:numPr>
          <w:ilvl w:val="0"/>
          <w:numId w:val="7"/>
        </w:numPr>
        <w:spacing w:before="120" w:after="120" w:line="300" w:lineRule="atLeast"/>
        <w:jc w:val="both"/>
        <w:rPr>
          <w:lang w:val="en-GB"/>
        </w:rPr>
      </w:pPr>
      <w:r w:rsidRPr="00585205">
        <w:rPr>
          <w:spacing w:val="-2"/>
          <w:lang w:val="en-GB"/>
        </w:rPr>
        <w:t xml:space="preserve">All meeting </w:t>
      </w:r>
      <w:r w:rsidR="007F1E03">
        <w:rPr>
          <w:spacing w:val="-2"/>
          <w:lang w:val="en-GB"/>
        </w:rPr>
        <w:t xml:space="preserve">participants </w:t>
      </w:r>
      <w:r w:rsidRPr="00585205">
        <w:rPr>
          <w:spacing w:val="-2"/>
          <w:lang w:val="en-GB"/>
        </w:rPr>
        <w:t>are responsible for ensuring that the dignity and confidentiality</w:t>
      </w:r>
      <w:r w:rsidRPr="00585205">
        <w:rPr>
          <w:lang w:val="en-GB"/>
        </w:rPr>
        <w:t xml:space="preserve"> of survivors are maintained and that </w:t>
      </w:r>
      <w:r w:rsidR="00955934">
        <w:rPr>
          <w:lang w:val="en-GB"/>
        </w:rPr>
        <w:t xml:space="preserve">the </w:t>
      </w:r>
      <w:r w:rsidRPr="00585205">
        <w:rPr>
          <w:lang w:val="en-GB"/>
        </w:rPr>
        <w:t xml:space="preserve">information discussed is </w:t>
      </w:r>
      <w:r w:rsidR="00955934">
        <w:rPr>
          <w:lang w:val="en-GB"/>
        </w:rPr>
        <w:t xml:space="preserve">limited to </w:t>
      </w:r>
      <w:r w:rsidRPr="00585205">
        <w:rPr>
          <w:lang w:val="en-GB"/>
        </w:rPr>
        <w:t>that which is needed to resolve problems and coordinate actions.</w:t>
      </w:r>
    </w:p>
    <w:p w:rsidRPr="00585205" w:rsidR="00CE4BC6" w:rsidP="00395961" w:rsidRDefault="00CE4BC6" w14:paraId="7E28FA3E" w14:textId="7F7C3904">
      <w:pPr>
        <w:spacing w:before="120" w:after="120" w:line="300" w:lineRule="atLeast"/>
        <w:jc w:val="both"/>
        <w:rPr>
          <w:b/>
          <w:lang w:val="en-GB"/>
        </w:rPr>
      </w:pPr>
      <w:r w:rsidRPr="00585205">
        <w:rPr>
          <w:lang w:val="en-GB"/>
        </w:rPr>
        <w:t>It is the responsibility of the relevant caseworkers to discuss any plans with the survivor (and concerned support people in the person</w:t>
      </w:r>
      <w:r w:rsidRPr="00585205" w:rsidR="00315391">
        <w:rPr>
          <w:lang w:val="en-GB"/>
        </w:rPr>
        <w:t>’s</w:t>
      </w:r>
      <w:r w:rsidRPr="00585205">
        <w:rPr>
          <w:lang w:val="en-GB"/>
        </w:rPr>
        <w:t xml:space="preserve"> life as appropriate, i.e. if the survivor is a</w:t>
      </w:r>
      <w:r w:rsidR="00845A05">
        <w:rPr>
          <w:lang w:val="en-GB"/>
        </w:rPr>
        <w:t xml:space="preserve"> child</w:t>
      </w:r>
      <w:r w:rsidRPr="00585205">
        <w:rPr>
          <w:lang w:val="en-GB"/>
        </w:rPr>
        <w:t xml:space="preserve">) in advance and ensure that </w:t>
      </w:r>
      <w:r w:rsidR="00955934">
        <w:rPr>
          <w:lang w:val="en-GB"/>
        </w:rPr>
        <w:t>all</w:t>
      </w:r>
      <w:r w:rsidRPr="00585205" w:rsidR="00955934">
        <w:rPr>
          <w:lang w:val="en-GB"/>
        </w:rPr>
        <w:t xml:space="preserve"> </w:t>
      </w:r>
      <w:r w:rsidRPr="00585205">
        <w:rPr>
          <w:lang w:val="en-GB"/>
        </w:rPr>
        <w:t>survivor</w:t>
      </w:r>
      <w:r w:rsidR="00955934">
        <w:rPr>
          <w:lang w:val="en-GB"/>
        </w:rPr>
        <w:t>s</w:t>
      </w:r>
      <w:r w:rsidRPr="00585205">
        <w:rPr>
          <w:lang w:val="en-GB"/>
        </w:rPr>
        <w:t xml:space="preserve"> </w:t>
      </w:r>
      <w:r w:rsidR="00955934">
        <w:rPr>
          <w:lang w:val="en-GB"/>
        </w:rPr>
        <w:t xml:space="preserve">have </w:t>
      </w:r>
      <w:r w:rsidRPr="00585205">
        <w:rPr>
          <w:lang w:val="en-GB"/>
        </w:rPr>
        <w:t xml:space="preserve">given consent for information related to </w:t>
      </w:r>
      <w:r w:rsidR="00955934">
        <w:rPr>
          <w:lang w:val="en-GB"/>
        </w:rPr>
        <w:t xml:space="preserve">their </w:t>
      </w:r>
      <w:r w:rsidRPr="00585205">
        <w:rPr>
          <w:lang w:val="en-GB"/>
        </w:rPr>
        <w:t xml:space="preserve">case to be shared, as well as to update </w:t>
      </w:r>
      <w:r w:rsidR="00955934">
        <w:rPr>
          <w:lang w:val="en-GB"/>
        </w:rPr>
        <w:t>them</w:t>
      </w:r>
      <w:r w:rsidRPr="00585205" w:rsidR="00955934">
        <w:rPr>
          <w:lang w:val="en-GB"/>
        </w:rPr>
        <w:t xml:space="preserve"> </w:t>
      </w:r>
      <w:r w:rsidRPr="00585205">
        <w:rPr>
          <w:lang w:val="en-GB"/>
        </w:rPr>
        <w:t xml:space="preserve">about the discussion. </w:t>
      </w:r>
    </w:p>
    <w:p w:rsidRPr="007F69F6" w:rsidR="00CE4BC6" w:rsidP="00395961" w:rsidRDefault="007F69F6" w14:paraId="7E28FA40" w14:textId="0E70AFDF">
      <w:pPr>
        <w:spacing w:before="120" w:after="120" w:line="300" w:lineRule="atLeast"/>
        <w:jc w:val="both"/>
        <w:rPr>
          <w:i/>
          <w:iCs/>
          <w:color w:val="0070C0"/>
          <w:lang w:val="en-GB"/>
        </w:rPr>
      </w:pPr>
      <w:r w:rsidRPr="007F69F6">
        <w:rPr>
          <w:i/>
          <w:iCs/>
          <w:color w:val="0070C0"/>
          <w:lang w:val="en-GB"/>
        </w:rPr>
        <w:t>[</w:t>
      </w:r>
      <w:r w:rsidRPr="007F69F6" w:rsidR="00CE4BC6">
        <w:rPr>
          <w:i/>
          <w:iCs/>
          <w:color w:val="0070C0"/>
          <w:lang w:val="en-GB"/>
        </w:rPr>
        <w:t>List here any information about how and by whom case conferences can be convened.</w:t>
      </w:r>
      <w:r w:rsidRPr="007F69F6">
        <w:rPr>
          <w:i/>
          <w:iCs/>
          <w:color w:val="0070C0"/>
          <w:lang w:val="en-GB"/>
        </w:rPr>
        <w:t>]</w:t>
      </w:r>
      <w:r w:rsidRPr="007F69F6" w:rsidR="00CE4BC6">
        <w:rPr>
          <w:i/>
          <w:iCs/>
          <w:color w:val="0070C0"/>
          <w:lang w:val="en-GB"/>
        </w:rPr>
        <w:t xml:space="preserve"> </w:t>
      </w:r>
    </w:p>
    <w:p w:rsidRPr="009257E8" w:rsidR="00CE4BC6" w:rsidP="00817208" w:rsidRDefault="00CE4BC6" w14:paraId="7E28FA42" w14:textId="0936A310">
      <w:pPr>
        <w:pStyle w:val="Heading4"/>
      </w:pPr>
      <w:bookmarkStart w:name="_Toc134906274" w:id="102"/>
      <w:r w:rsidRPr="009257E8">
        <w:t xml:space="preserve">Coordination with </w:t>
      </w:r>
      <w:r w:rsidRPr="009257E8" w:rsidR="000228CE">
        <w:t>child protection actor</w:t>
      </w:r>
      <w:r w:rsidRPr="009257E8">
        <w:t>(s)</w:t>
      </w:r>
      <w:bookmarkEnd w:id="102"/>
    </w:p>
    <w:tbl>
      <w:tblPr>
        <w:tblStyle w:val="TableGrid"/>
        <w:tblW w:w="0" w:type="auto"/>
        <w:tblLook w:val="04A0" w:firstRow="1" w:lastRow="0" w:firstColumn="1" w:lastColumn="0" w:noHBand="0" w:noVBand="1"/>
      </w:tblPr>
      <w:tblGrid>
        <w:gridCol w:w="9350"/>
      </w:tblGrid>
      <w:tr w:rsidR="009257E8" w:rsidTr="009257E8" w14:paraId="5737D62F" w14:textId="77777777">
        <w:tc>
          <w:tcPr>
            <w:tcW w:w="9350" w:type="dxa"/>
          </w:tcPr>
          <w:p w:rsidRPr="009F7561" w:rsidR="009257E8" w:rsidP="009257E8" w:rsidRDefault="009257E8" w14:paraId="65CDF050" w14:textId="77777777">
            <w:pPr>
              <w:spacing w:before="120" w:after="120" w:line="300" w:lineRule="atLeast"/>
              <w:jc w:val="both"/>
              <w:rPr>
                <w:b/>
                <w:lang w:val="en-GB"/>
              </w:rPr>
            </w:pPr>
            <w:r w:rsidRPr="009F7561">
              <w:rPr>
                <w:b/>
                <w:lang w:val="en-GB"/>
              </w:rPr>
              <w:t>Essential issues to consider</w:t>
            </w:r>
          </w:p>
          <w:p w:rsidRPr="009F7561" w:rsidR="009257E8" w:rsidP="009257E8" w:rsidRDefault="009257E8" w14:paraId="2C44F8CE" w14:textId="77777777">
            <w:pPr>
              <w:spacing w:before="120" w:after="120" w:line="300" w:lineRule="atLeast"/>
              <w:jc w:val="both"/>
              <w:rPr>
                <w:lang w:val="en-GB"/>
              </w:rPr>
            </w:pPr>
            <w:r w:rsidRPr="009F7561">
              <w:rPr>
                <w:lang w:val="en-GB"/>
              </w:rPr>
              <w:t xml:space="preserve">Child protection (CP) and GBV caseworkers work together closely to ensure that young and adolescent girl and boy survivors of GBV receive appropriate gender- and age-sensitive case management support. Both </w:t>
            </w:r>
            <w:r>
              <w:rPr>
                <w:lang w:val="en-GB"/>
              </w:rPr>
              <w:t xml:space="preserve">types of </w:t>
            </w:r>
            <w:r w:rsidRPr="009F7561">
              <w:rPr>
                <w:lang w:val="en-GB"/>
              </w:rPr>
              <w:t>actor</w:t>
            </w:r>
            <w:r>
              <w:rPr>
                <w:lang w:val="en-GB"/>
              </w:rPr>
              <w:t>s</w:t>
            </w:r>
            <w:r w:rsidRPr="009F7561">
              <w:rPr>
                <w:lang w:val="en-GB"/>
              </w:rPr>
              <w:t xml:space="preserve"> implement </w:t>
            </w:r>
            <w:hyperlink w:history="1" r:id="rId18">
              <w:r w:rsidRPr="00327010">
                <w:rPr>
                  <w:rStyle w:val="Hyperlink"/>
                  <w:lang w:val="en-GB"/>
                </w:rPr>
                <w:t>Caring for child</w:t>
              </w:r>
              <w:r w:rsidRPr="001B691A">
                <w:rPr>
                  <w:rStyle w:val="Hyperlink"/>
                  <w:lang w:val="en-GB"/>
                </w:rPr>
                <w:t xml:space="preserve"> </w:t>
              </w:r>
              <w:r w:rsidRPr="00327010">
                <w:rPr>
                  <w:rStyle w:val="Hyperlink"/>
                  <w:lang w:val="en-GB"/>
                </w:rPr>
                <w:t>survivors of sexual abuse: Guidelines for health and psychosocial service providers in humanitarian settings</w:t>
              </w:r>
            </w:hyperlink>
            <w:r w:rsidRPr="00585205">
              <w:t xml:space="preserve"> </w:t>
            </w:r>
            <w:r>
              <w:t>a</w:t>
            </w:r>
            <w:r w:rsidRPr="009F7561">
              <w:t xml:space="preserve">nd </w:t>
            </w:r>
            <w:r w:rsidRPr="009F7561">
              <w:rPr>
                <w:lang w:val="en-GB"/>
              </w:rPr>
              <w:t>invest in joint training and ongoing mentoring and supervision to increase the quality of case management support to child survivors.</w:t>
            </w:r>
          </w:p>
          <w:p w:rsidRPr="009F7561" w:rsidR="009257E8" w:rsidP="009257E8" w:rsidRDefault="009257E8" w14:paraId="2CAB6D9E" w14:textId="42CB9DF1">
            <w:pPr>
              <w:spacing w:before="120" w:after="120" w:line="300" w:lineRule="atLeast"/>
              <w:jc w:val="both"/>
              <w:rPr>
                <w:lang w:val="en-GB"/>
              </w:rPr>
            </w:pPr>
            <w:r w:rsidRPr="009F7561">
              <w:rPr>
                <w:lang w:val="en-GB"/>
              </w:rPr>
              <w:t>In contexts with both child protection and GBV programme actors providing case management services, it is recommended that service-level coordination agreements are established between organizations. When both child protection and GBV response services are equipped to meet the needs of child survivors of GBV, children benefit from increased access to age- and gender-sensitive case management support services.</w:t>
            </w:r>
          </w:p>
          <w:p w:rsidRPr="009F7561" w:rsidR="009257E8" w:rsidP="009257E8" w:rsidRDefault="009257E8" w14:paraId="54158845" w14:textId="77777777">
            <w:pPr>
              <w:spacing w:before="120" w:after="120" w:line="300" w:lineRule="atLeast"/>
              <w:jc w:val="both"/>
              <w:rPr>
                <w:lang w:val="en-GB"/>
              </w:rPr>
            </w:pPr>
            <w:r w:rsidRPr="009F7561">
              <w:rPr>
                <w:lang w:val="en-GB"/>
              </w:rPr>
              <w:t>Engaging in joint coordination and mapping of response services, joint referral pathways</w:t>
            </w:r>
            <w:r>
              <w:rPr>
                <w:lang w:val="en-GB"/>
              </w:rPr>
              <w:t xml:space="preserve"> and </w:t>
            </w:r>
            <w:r w:rsidRPr="009F7561">
              <w:rPr>
                <w:lang w:val="en-GB"/>
              </w:rPr>
              <w:t xml:space="preserve">clear criteria for offering specialized support to children are key actions for child protection and GBV response actors. See the </w:t>
            </w:r>
            <w:hyperlink w:history="1" r:id="rId19">
              <w:r w:rsidRPr="00327010">
                <w:rPr>
                  <w:rStyle w:val="Hyperlink"/>
                  <w:lang w:val="en-GB"/>
                </w:rPr>
                <w:t>Gender-</w:t>
              </w:r>
              <w:r w:rsidRPr="000228CE">
                <w:rPr>
                  <w:rStyle w:val="Hyperlink"/>
                  <w:lang w:val="en-GB"/>
                </w:rPr>
                <w:t>based violence and child protection field cooperation framework</w:t>
              </w:r>
            </w:hyperlink>
            <w:r w:rsidRPr="009F7561">
              <w:rPr>
                <w:lang w:val="en-GB"/>
              </w:rPr>
              <w:t xml:space="preserve"> (2021) to support work to address service provision gaps and promote complementarity</w:t>
            </w:r>
            <w:r>
              <w:rPr>
                <w:lang w:val="en-GB"/>
              </w:rPr>
              <w:t xml:space="preserve"> in humanitarian settings</w:t>
            </w:r>
            <w:r w:rsidRPr="009F7561">
              <w:rPr>
                <w:lang w:val="en-GB"/>
              </w:rPr>
              <w:t>.</w:t>
            </w:r>
          </w:p>
          <w:p w:rsidRPr="009F7561" w:rsidR="009257E8" w:rsidP="009257E8" w:rsidRDefault="009257E8" w14:paraId="455F55B6" w14:textId="77777777">
            <w:pPr>
              <w:spacing w:before="120" w:after="120" w:line="300" w:lineRule="atLeast"/>
              <w:jc w:val="both"/>
              <w:rPr>
                <w:lang w:val="en-GB"/>
              </w:rPr>
            </w:pPr>
            <w:r w:rsidRPr="009F7561">
              <w:rPr>
                <w:lang w:val="en-GB"/>
              </w:rPr>
              <w:t>GBV and CP actors jointly develop the content of the section on child survivors in the respective SOPs. Content should be</w:t>
            </w:r>
            <w:r>
              <w:rPr>
                <w:lang w:val="en-GB"/>
              </w:rPr>
              <w:t xml:space="preserve"> </w:t>
            </w:r>
            <w:r w:rsidRPr="009F7561">
              <w:rPr>
                <w:lang w:val="en-GB"/>
              </w:rPr>
              <w:t xml:space="preserve">developed by actors who are trained to handle the special needs of </w:t>
            </w:r>
            <w:r w:rsidRPr="009F7561">
              <w:rPr>
                <w:lang w:val="en-GB"/>
              </w:rPr>
              <w:t>child survivors of GBV and who are familiar with national laws and policies relating to the protection of children.</w:t>
            </w:r>
          </w:p>
          <w:p w:rsidR="009257E8" w:rsidP="009257E8" w:rsidRDefault="009257E8" w14:paraId="32252CE3" w14:textId="3477ABF7">
            <w:pPr>
              <w:spacing w:before="120" w:after="120" w:line="300" w:lineRule="atLeast"/>
              <w:jc w:val="both"/>
              <w:rPr>
                <w:b/>
                <w:lang w:val="en-GB"/>
              </w:rPr>
            </w:pPr>
            <w:r w:rsidRPr="009F7561">
              <w:rPr>
                <w:lang w:val="en-GB"/>
              </w:rPr>
              <w:t>See Annex 1 for resources on GBV and child protection collaboration.</w:t>
            </w:r>
          </w:p>
        </w:tc>
      </w:tr>
    </w:tbl>
    <w:p w:rsidRPr="00DB0D5C" w:rsidR="00CE4BC6" w:rsidP="009257E8" w:rsidRDefault="00817208" w14:paraId="7E28FA54" w14:textId="4A1924EF">
      <w:pPr>
        <w:spacing w:before="120" w:after="120" w:line="300" w:lineRule="atLeast"/>
        <w:jc w:val="both"/>
        <w:rPr>
          <w:i/>
          <w:iCs/>
          <w:color w:val="0070C0"/>
          <w:lang w:val="en-GB"/>
        </w:rPr>
      </w:pPr>
      <w:r w:rsidRPr="00DB0D5C">
        <w:rPr>
          <w:i/>
          <w:iCs/>
          <w:color w:val="0070C0"/>
          <w:lang w:val="en-GB"/>
        </w:rPr>
        <w:t>[</w:t>
      </w:r>
      <w:r w:rsidRPr="00DB0D5C" w:rsidR="00CE4BC6">
        <w:rPr>
          <w:i/>
          <w:iCs/>
          <w:color w:val="0070C0"/>
          <w:lang w:val="en-GB"/>
        </w:rPr>
        <w:t xml:space="preserve">Describe here the procedures for supporting child survivors. At </w:t>
      </w:r>
      <w:r w:rsidRPr="00DB0D5C" w:rsidR="000228CE">
        <w:rPr>
          <w:i/>
          <w:iCs/>
          <w:color w:val="0070C0"/>
          <w:lang w:val="en-GB"/>
        </w:rPr>
        <w:t xml:space="preserve">a </w:t>
      </w:r>
      <w:r w:rsidRPr="00DB0D5C" w:rsidR="00CE4BC6">
        <w:rPr>
          <w:i/>
          <w:iCs/>
          <w:color w:val="0070C0"/>
          <w:lang w:val="en-GB"/>
        </w:rPr>
        <w:t>minimum, be sure to include:</w:t>
      </w:r>
    </w:p>
    <w:p w:rsidRPr="00DB0D5C" w:rsidR="00CE4BC6" w:rsidP="00E96F61" w:rsidRDefault="00CE4BC6" w14:paraId="7E28FA56" w14:textId="5C0345BA">
      <w:pPr>
        <w:numPr>
          <w:ilvl w:val="0"/>
          <w:numId w:val="7"/>
        </w:numPr>
        <w:spacing w:before="120" w:after="120" w:line="240" w:lineRule="auto"/>
        <w:ind w:left="714" w:hanging="357"/>
        <w:jc w:val="both"/>
        <w:rPr>
          <w:i/>
          <w:iCs/>
          <w:color w:val="0070C0"/>
          <w:lang w:val="en-GB"/>
        </w:rPr>
      </w:pPr>
      <w:r w:rsidRPr="00DB0D5C">
        <w:rPr>
          <w:i/>
          <w:iCs/>
          <w:color w:val="0070C0"/>
          <w:lang w:val="en-GB"/>
        </w:rPr>
        <w:t xml:space="preserve">Procedure and any special forms for obtaining informed consent or assent with child survivors and </w:t>
      </w:r>
      <w:r w:rsidRPr="00DB0D5C" w:rsidR="00742536">
        <w:rPr>
          <w:i/>
          <w:iCs/>
          <w:color w:val="0070C0"/>
          <w:lang w:val="en-GB"/>
        </w:rPr>
        <w:t>their</w:t>
      </w:r>
      <w:r w:rsidRPr="00DB0D5C">
        <w:rPr>
          <w:i/>
          <w:iCs/>
          <w:color w:val="0070C0"/>
          <w:lang w:val="en-GB"/>
        </w:rPr>
        <w:t xml:space="preserve"> non-harmful parents/care givers</w:t>
      </w:r>
      <w:r w:rsidRPr="00DB0D5C" w:rsidR="009257E8">
        <w:rPr>
          <w:i/>
          <w:iCs/>
          <w:color w:val="0070C0"/>
          <w:lang w:val="en-GB"/>
        </w:rPr>
        <w:t>.</w:t>
      </w:r>
    </w:p>
    <w:p w:rsidRPr="00DB0D5C" w:rsidR="00322051" w:rsidP="00E96F61" w:rsidRDefault="00322051" w14:paraId="5E485282" w14:textId="2BA2E47E">
      <w:pPr>
        <w:numPr>
          <w:ilvl w:val="0"/>
          <w:numId w:val="7"/>
        </w:numPr>
        <w:spacing w:before="120" w:after="120" w:line="240" w:lineRule="auto"/>
        <w:ind w:left="714" w:hanging="357"/>
        <w:jc w:val="both"/>
        <w:rPr>
          <w:i/>
          <w:iCs/>
          <w:color w:val="0070C0"/>
          <w:lang w:val="en-GB"/>
        </w:rPr>
      </w:pPr>
      <w:r w:rsidRPr="00DB0D5C">
        <w:rPr>
          <w:i/>
          <w:iCs/>
          <w:color w:val="0070C0"/>
          <w:lang w:val="en-GB"/>
        </w:rPr>
        <w:t xml:space="preserve">Procedures </w:t>
      </w:r>
      <w:r w:rsidRPr="00DB0D5C" w:rsidR="00071410">
        <w:rPr>
          <w:i/>
          <w:iCs/>
          <w:color w:val="0070C0"/>
          <w:lang w:val="en-GB"/>
        </w:rPr>
        <w:t>on</w:t>
      </w:r>
      <w:r w:rsidRPr="00DB0D5C">
        <w:rPr>
          <w:i/>
          <w:iCs/>
          <w:color w:val="0070C0"/>
          <w:lang w:val="en-GB"/>
        </w:rPr>
        <w:t xml:space="preserve"> what to do when </w:t>
      </w:r>
      <w:r w:rsidRPr="00DB0D5C" w:rsidR="00071410">
        <w:rPr>
          <w:i/>
          <w:iCs/>
          <w:color w:val="0070C0"/>
          <w:lang w:val="en-GB"/>
        </w:rPr>
        <w:t>informed assent/ consent is not obtained</w:t>
      </w:r>
      <w:r w:rsidRPr="00DB0D5C" w:rsidR="00DE733C">
        <w:rPr>
          <w:i/>
          <w:iCs/>
          <w:color w:val="0070C0"/>
          <w:lang w:val="en-GB"/>
        </w:rPr>
        <w:t>, including best interest procedure for refugee children</w:t>
      </w:r>
      <w:r w:rsidRPr="00DB0D5C" w:rsidR="009257E8">
        <w:rPr>
          <w:i/>
          <w:iCs/>
          <w:color w:val="0070C0"/>
          <w:lang w:val="en-GB"/>
        </w:rPr>
        <w:t>.</w:t>
      </w:r>
    </w:p>
    <w:p w:rsidRPr="00DB0D5C" w:rsidR="00CE4BC6" w:rsidP="00E96F61" w:rsidRDefault="00CE4BC6" w14:paraId="7E28FA57" w14:textId="4CA92B94">
      <w:pPr>
        <w:numPr>
          <w:ilvl w:val="0"/>
          <w:numId w:val="7"/>
        </w:numPr>
        <w:spacing w:before="120" w:after="120" w:line="240" w:lineRule="auto"/>
        <w:ind w:left="714" w:hanging="357"/>
        <w:jc w:val="both"/>
        <w:rPr>
          <w:i/>
          <w:iCs/>
          <w:color w:val="0070C0"/>
          <w:lang w:val="en-GB"/>
        </w:rPr>
      </w:pPr>
      <w:r w:rsidRPr="00DB0D5C">
        <w:rPr>
          <w:i/>
          <w:iCs/>
          <w:color w:val="0070C0"/>
          <w:lang w:val="en-GB"/>
        </w:rPr>
        <w:t>Action to be taken if there are suspicions that the perpetrator is a family or household member</w:t>
      </w:r>
      <w:r w:rsidRPr="00DB0D5C" w:rsidR="009257E8">
        <w:rPr>
          <w:i/>
          <w:iCs/>
          <w:color w:val="0070C0"/>
          <w:lang w:val="en-GB"/>
        </w:rPr>
        <w:t>.</w:t>
      </w:r>
    </w:p>
    <w:p w:rsidRPr="00DB0D5C" w:rsidR="00CE4BC6" w:rsidP="00E96F61" w:rsidRDefault="00CE4BC6" w14:paraId="7E28FA58" w14:textId="53CA01DE">
      <w:pPr>
        <w:numPr>
          <w:ilvl w:val="0"/>
          <w:numId w:val="7"/>
        </w:numPr>
        <w:spacing w:before="120" w:after="120" w:line="240" w:lineRule="auto"/>
        <w:ind w:left="714" w:hanging="357"/>
        <w:jc w:val="both"/>
        <w:rPr>
          <w:i/>
          <w:iCs/>
          <w:color w:val="0070C0"/>
          <w:lang w:val="en-GB"/>
        </w:rPr>
      </w:pPr>
      <w:r w:rsidRPr="00DB0D5C">
        <w:rPr>
          <w:i/>
          <w:iCs/>
          <w:color w:val="0070C0"/>
          <w:lang w:val="en-GB"/>
        </w:rPr>
        <w:t>Any mandatory reporting laws relevant to acts of GBV against children and procedures that will be taken with regard to those laws</w:t>
      </w:r>
      <w:r w:rsidRPr="00DB0D5C" w:rsidR="009257E8">
        <w:rPr>
          <w:i/>
          <w:iCs/>
          <w:color w:val="0070C0"/>
          <w:lang w:val="en-GB"/>
        </w:rPr>
        <w:t>.</w:t>
      </w:r>
    </w:p>
    <w:p w:rsidRPr="00DB0D5C" w:rsidR="00CE4BC6" w:rsidP="00E96F61" w:rsidRDefault="00CE4BC6" w14:paraId="7E28FA59" w14:textId="01C87843">
      <w:pPr>
        <w:numPr>
          <w:ilvl w:val="0"/>
          <w:numId w:val="7"/>
        </w:numPr>
        <w:spacing w:before="120" w:after="120" w:line="240" w:lineRule="auto"/>
        <w:ind w:left="714" w:hanging="357"/>
        <w:jc w:val="both"/>
        <w:rPr>
          <w:i/>
          <w:iCs/>
          <w:color w:val="0070C0"/>
          <w:lang w:val="en-GB"/>
        </w:rPr>
      </w:pPr>
      <w:r w:rsidRPr="00DB0D5C">
        <w:rPr>
          <w:i/>
          <w:iCs/>
          <w:color w:val="0070C0"/>
          <w:lang w:val="en-GB"/>
        </w:rPr>
        <w:t>List specific organ</w:t>
      </w:r>
      <w:r w:rsidRPr="00DB0D5C" w:rsidR="002D1850">
        <w:rPr>
          <w:i/>
          <w:iCs/>
          <w:color w:val="0070C0"/>
          <w:lang w:val="en-GB"/>
        </w:rPr>
        <w:t>iza</w:t>
      </w:r>
      <w:r w:rsidRPr="00DB0D5C">
        <w:rPr>
          <w:i/>
          <w:iCs/>
          <w:color w:val="0070C0"/>
          <w:lang w:val="en-GB"/>
        </w:rPr>
        <w:t>tions skilled in working with child survivors of GBV and provide information on how to make referrals to those organ</w:t>
      </w:r>
      <w:r w:rsidRPr="00DB0D5C" w:rsidR="002D1850">
        <w:rPr>
          <w:i/>
          <w:iCs/>
          <w:color w:val="0070C0"/>
          <w:lang w:val="en-GB"/>
        </w:rPr>
        <w:t>iza</w:t>
      </w:r>
      <w:r w:rsidRPr="00DB0D5C">
        <w:rPr>
          <w:i/>
          <w:iCs/>
          <w:color w:val="0070C0"/>
          <w:lang w:val="en-GB"/>
        </w:rPr>
        <w:t>tions</w:t>
      </w:r>
      <w:r w:rsidRPr="00DB0D5C" w:rsidR="009257E8">
        <w:rPr>
          <w:i/>
          <w:iCs/>
          <w:color w:val="0070C0"/>
          <w:lang w:val="en-GB"/>
        </w:rPr>
        <w:t>.</w:t>
      </w:r>
    </w:p>
    <w:p w:rsidRPr="00DB0D5C" w:rsidR="00CE4BC6" w:rsidP="00E96F61" w:rsidRDefault="00CE4BC6" w14:paraId="7E28FA5A" w14:textId="19705A29">
      <w:pPr>
        <w:numPr>
          <w:ilvl w:val="0"/>
          <w:numId w:val="7"/>
        </w:numPr>
        <w:spacing w:before="120" w:after="120" w:line="240" w:lineRule="auto"/>
        <w:ind w:left="714" w:hanging="357"/>
        <w:jc w:val="both"/>
        <w:rPr>
          <w:i/>
          <w:iCs/>
          <w:color w:val="0070C0"/>
          <w:lang w:val="en-GB"/>
        </w:rPr>
      </w:pPr>
      <w:r w:rsidRPr="00DB0D5C">
        <w:rPr>
          <w:i/>
          <w:iCs/>
          <w:color w:val="0070C0"/>
          <w:lang w:val="en-GB"/>
        </w:rPr>
        <w:t xml:space="preserve">A clear coordination agreement between the GBV and </w:t>
      </w:r>
      <w:r w:rsidRPr="00DB0D5C" w:rsidR="000228CE">
        <w:rPr>
          <w:i/>
          <w:iCs/>
          <w:color w:val="0070C0"/>
          <w:lang w:val="en-GB"/>
        </w:rPr>
        <w:t xml:space="preserve">child protection </w:t>
      </w:r>
      <w:r w:rsidRPr="00DB0D5C">
        <w:rPr>
          <w:i/>
          <w:iCs/>
          <w:color w:val="0070C0"/>
          <w:lang w:val="en-GB"/>
        </w:rPr>
        <w:t>program</w:t>
      </w:r>
      <w:r w:rsidRPr="00DB0D5C" w:rsidR="000228CE">
        <w:rPr>
          <w:i/>
          <w:iCs/>
          <w:color w:val="0070C0"/>
          <w:lang w:val="en-GB"/>
        </w:rPr>
        <w:t>me</w:t>
      </w:r>
      <w:r w:rsidRPr="00DB0D5C">
        <w:rPr>
          <w:i/>
          <w:iCs/>
          <w:color w:val="0070C0"/>
          <w:lang w:val="en-GB"/>
        </w:rPr>
        <w:t>s in the setting on referrals and other aspects of service delivery.</w:t>
      </w:r>
      <w:r w:rsidRPr="00DB0D5C" w:rsidR="00DB0D5C">
        <w:rPr>
          <w:i/>
          <w:iCs/>
          <w:color w:val="0070C0"/>
          <w:lang w:val="en-GB"/>
        </w:rPr>
        <w:t>]</w:t>
      </w:r>
    </w:p>
    <w:p w:rsidRPr="00F464B4" w:rsidR="00CE4BC6" w:rsidP="00C22D9F" w:rsidRDefault="00747539" w14:paraId="7E28FA5D" w14:textId="23A0D805">
      <w:pPr>
        <w:pStyle w:val="Heading3"/>
      </w:pPr>
      <w:bookmarkStart w:name="_Toc134906275" w:id="103"/>
      <w:bookmarkStart w:name="_Toc142469144" w:id="104"/>
      <w:r w:rsidRPr="00F464B4">
        <w:t>W</w:t>
      </w:r>
      <w:r w:rsidRPr="00F464B4" w:rsidR="0077007B">
        <w:t>omen</w:t>
      </w:r>
      <w:r w:rsidRPr="00F464B4" w:rsidR="00CE4BC6">
        <w:t>’s</w:t>
      </w:r>
      <w:r w:rsidRPr="00F464B4" w:rsidR="0077007B">
        <w:t xml:space="preserve"> and girls</w:t>
      </w:r>
      <w:r w:rsidRPr="00F464B4" w:rsidR="00CE4BC6">
        <w:t>’</w:t>
      </w:r>
      <w:r w:rsidRPr="00F464B4" w:rsidR="0077007B">
        <w:t xml:space="preserve"> </w:t>
      </w:r>
      <w:r w:rsidRPr="00F464B4">
        <w:t>s</w:t>
      </w:r>
      <w:r w:rsidRPr="00F464B4" w:rsidR="000228CE">
        <w:t>afe spaces</w:t>
      </w:r>
      <w:bookmarkEnd w:id="103"/>
      <w:bookmarkEnd w:id="104"/>
    </w:p>
    <w:p w:rsidRPr="009F7561" w:rsidR="00CE4BC6" w:rsidP="002116FB" w:rsidRDefault="00CE4BC6" w14:paraId="7E28FA5F" w14:textId="66420499">
      <w:pPr>
        <w:spacing w:before="120" w:after="120" w:line="300" w:lineRule="atLeast"/>
        <w:jc w:val="both"/>
        <w:rPr>
          <w:lang w:val="en-GB"/>
        </w:rPr>
      </w:pPr>
      <w:r w:rsidRPr="009F7561">
        <w:t xml:space="preserve">Women’s and </w:t>
      </w:r>
      <w:r w:rsidRPr="009F7561" w:rsidR="000228CE">
        <w:rPr>
          <w:lang w:val="en-GB"/>
        </w:rPr>
        <w:t>girls</w:t>
      </w:r>
      <w:r w:rsidRPr="009F7561">
        <w:t>’</w:t>
      </w:r>
      <w:r w:rsidRPr="009F7561" w:rsidR="000228CE">
        <w:rPr>
          <w:lang w:val="en-GB"/>
        </w:rPr>
        <w:t xml:space="preserve"> safe spaces</w:t>
      </w:r>
      <w:r w:rsidRPr="009F7561">
        <w:rPr>
          <w:vertAlign w:val="superscript"/>
          <w:lang w:val="en-GB"/>
        </w:rPr>
        <w:footnoteReference w:id="108"/>
      </w:r>
      <w:r w:rsidRPr="009F7561">
        <w:rPr>
          <w:lang w:val="en-GB"/>
        </w:rPr>
        <w:t xml:space="preserve"> (WGSS) are a critical part of GBV programming.</w:t>
      </w:r>
      <w:r w:rsidRPr="009F7561">
        <w:rPr>
          <w:vertAlign w:val="superscript"/>
          <w:lang w:val="en-GB"/>
        </w:rPr>
        <w:footnoteReference w:id="109"/>
      </w:r>
      <w:r w:rsidRPr="009F7561">
        <w:rPr>
          <w:lang w:val="en-GB"/>
        </w:rPr>
        <w:t xml:space="preserve"> WGSS serve as an entry point for women and girls to report protection concerns, express their needs, receive services, engage in empowerment activities and connect with the community.</w:t>
      </w:r>
    </w:p>
    <w:p w:rsidRPr="009F7561" w:rsidR="00CE4BC6" w:rsidP="002116FB" w:rsidRDefault="00CE4BC6" w14:paraId="7E28FA61" w14:textId="6C8C0CC8">
      <w:pPr>
        <w:spacing w:before="120" w:after="120" w:line="300" w:lineRule="atLeast"/>
        <w:jc w:val="both"/>
        <w:rPr>
          <w:lang w:val="en-GB"/>
        </w:rPr>
      </w:pPr>
      <w:r w:rsidRPr="009F7561">
        <w:rPr>
          <w:lang w:val="en-GB"/>
        </w:rPr>
        <w:t>A WGSS is “a structured place where women and girls</w:t>
      </w:r>
      <w:r w:rsidRPr="009F7561" w:rsidR="006E4F2F">
        <w:rPr>
          <w:lang w:val="en-GB"/>
        </w:rPr>
        <w:t>’</w:t>
      </w:r>
      <w:r w:rsidRPr="009F7561">
        <w:rPr>
          <w:lang w:val="en-GB"/>
        </w:rPr>
        <w:t xml:space="preserve"> physical and emotional safety is respected and where women and girls are supported through processes of empowerment to seek, share</w:t>
      </w:r>
      <w:r w:rsidRPr="009F7561" w:rsidR="008A1575">
        <w:rPr>
          <w:lang w:val="en-GB"/>
        </w:rPr>
        <w:t xml:space="preserve"> and </w:t>
      </w:r>
      <w:r w:rsidRPr="009F7561">
        <w:rPr>
          <w:lang w:val="en-GB"/>
        </w:rPr>
        <w:t>obtain information, access services, express themselves, enhance psychosocial wellbeing</w:t>
      </w:r>
      <w:r w:rsidRPr="009F7561" w:rsidR="008A1575">
        <w:rPr>
          <w:lang w:val="en-GB"/>
        </w:rPr>
        <w:t xml:space="preserve"> and </w:t>
      </w:r>
      <w:r w:rsidRPr="009F7561">
        <w:rPr>
          <w:lang w:val="en-GB"/>
        </w:rPr>
        <w:t>more fully realize their rights.”</w:t>
      </w:r>
      <w:r w:rsidRPr="009F7561">
        <w:rPr>
          <w:vertAlign w:val="superscript"/>
          <w:lang w:val="en-GB"/>
        </w:rPr>
        <w:footnoteReference w:id="110"/>
      </w:r>
      <w:r w:rsidRPr="009F7561">
        <w:rPr>
          <w:lang w:val="en-GB"/>
        </w:rPr>
        <w:t xml:space="preserve"> Safe spaces may also be a venue for sexual and reproductive health information and materials (e.g. as part of menstrual health and hygiene management), laundering of menstrual materials</w:t>
      </w:r>
      <w:r w:rsidRPr="009F7561" w:rsidR="008A1575">
        <w:rPr>
          <w:lang w:val="en-GB"/>
        </w:rPr>
        <w:t xml:space="preserve"> and </w:t>
      </w:r>
      <w:r w:rsidRPr="009F7561">
        <w:rPr>
          <w:lang w:val="en-GB"/>
        </w:rPr>
        <w:t>access to justice services.</w:t>
      </w:r>
      <w:r w:rsidRPr="009F7561">
        <w:rPr>
          <w:vertAlign w:val="superscript"/>
          <w:lang w:val="en-GB"/>
        </w:rPr>
        <w:t xml:space="preserve"> </w:t>
      </w:r>
      <w:hyperlink r:id="rId20">
        <w:r w:rsidRPr="00327010" w:rsidR="00BB06E5">
          <w:rPr>
            <w:color w:val="0000FF"/>
            <w:u w:val="single"/>
            <w:lang w:val="en-GB"/>
          </w:rPr>
          <w:t>See Advancing Women</w:t>
        </w:r>
        <w:r w:rsidR="00BB06E5">
          <w:rPr>
            <w:color w:val="0000FF"/>
            <w:u w:val="single"/>
            <w:lang w:val="en-GB"/>
          </w:rPr>
          <w:t>’s</w:t>
        </w:r>
        <w:r w:rsidRPr="00327010" w:rsidR="00BB06E5">
          <w:rPr>
            <w:color w:val="0000FF"/>
            <w:u w:val="single"/>
            <w:lang w:val="en-GB"/>
          </w:rPr>
          <w:t xml:space="preserve"> and Girls</w:t>
        </w:r>
        <w:r w:rsidR="00BB06E5">
          <w:rPr>
            <w:color w:val="0000FF"/>
            <w:u w:val="single"/>
            <w:lang w:val="en-GB"/>
          </w:rPr>
          <w:t>’</w:t>
        </w:r>
        <w:r w:rsidRPr="00327010" w:rsidR="00BB06E5">
          <w:rPr>
            <w:color w:val="0000FF"/>
            <w:u w:val="single"/>
            <w:lang w:val="en-GB"/>
          </w:rPr>
          <w:t xml:space="preserve"> Empowerment in Humanitarian Settings: A Global Toolkit for Women</w:t>
        </w:r>
        <w:r w:rsidR="00BB06E5">
          <w:rPr>
            <w:color w:val="0000FF"/>
            <w:u w:val="single"/>
            <w:lang w:val="en-GB"/>
          </w:rPr>
          <w:t>’s</w:t>
        </w:r>
        <w:r w:rsidRPr="00327010" w:rsidR="00BB06E5">
          <w:rPr>
            <w:color w:val="0000FF"/>
            <w:u w:val="single"/>
            <w:lang w:val="en-GB"/>
          </w:rPr>
          <w:t xml:space="preserve"> and Girls</w:t>
        </w:r>
        <w:r w:rsidR="00BB06E5">
          <w:rPr>
            <w:color w:val="0000FF"/>
            <w:u w:val="single"/>
            <w:lang w:val="en-GB"/>
          </w:rPr>
          <w:t>’</w:t>
        </w:r>
        <w:r w:rsidRPr="00327010" w:rsidR="00BB06E5">
          <w:rPr>
            <w:color w:val="0000FF"/>
            <w:u w:val="single"/>
            <w:lang w:val="en-GB"/>
          </w:rPr>
          <w:t xml:space="preserve"> Safe Spaces</w:t>
        </w:r>
      </w:hyperlink>
      <w:r w:rsidRPr="009F7561">
        <w:rPr>
          <w:vertAlign w:val="superscript"/>
          <w:lang w:val="en-GB"/>
        </w:rPr>
        <w:footnoteReference w:id="111"/>
      </w:r>
      <w:r w:rsidRPr="009F7561">
        <w:rPr>
          <w:lang w:val="en-GB"/>
        </w:rPr>
        <w:t xml:space="preserve"> for additional information on WGSS, including the five standard objectives.</w:t>
      </w:r>
    </w:p>
    <w:p w:rsidRPr="00AC2ACE" w:rsidR="00CE4BC6" w:rsidP="002116FB" w:rsidRDefault="00CE4BC6" w14:paraId="7E28FA63" w14:textId="64CDA324">
      <w:pPr>
        <w:spacing w:before="120" w:after="120" w:line="300" w:lineRule="atLeast"/>
        <w:jc w:val="both"/>
        <w:rPr>
          <w:color w:val="0070C0"/>
          <w:lang w:val="en-GB"/>
        </w:rPr>
      </w:pPr>
      <w:r w:rsidRPr="00AC2ACE">
        <w:rPr>
          <w:color w:val="0070C0"/>
          <w:lang w:val="en-GB"/>
        </w:rPr>
        <w:t>List WGSS in the setting and any specific services or activities provided there. Describe considerations for safety and security of WGSS</w:t>
      </w:r>
      <w:r w:rsidRPr="00AC2ACE" w:rsidR="008A1575">
        <w:rPr>
          <w:color w:val="0070C0"/>
          <w:lang w:val="en-GB"/>
        </w:rPr>
        <w:t xml:space="preserve"> and </w:t>
      </w:r>
      <w:r w:rsidRPr="00AC2ACE">
        <w:rPr>
          <w:color w:val="0070C0"/>
          <w:lang w:val="en-GB"/>
        </w:rPr>
        <w:t>any coordination with child-friendly spaces</w:t>
      </w:r>
      <w:r w:rsidRPr="00AC2ACE" w:rsidR="00461384">
        <w:rPr>
          <w:color w:val="0070C0"/>
          <w:lang w:val="en-GB"/>
        </w:rPr>
        <w:t xml:space="preserve"> or </w:t>
      </w:r>
      <w:r w:rsidRPr="00AC2ACE">
        <w:rPr>
          <w:color w:val="0070C0"/>
          <w:lang w:val="en-GB"/>
        </w:rPr>
        <w:t>other similar initiatives within other sectoral programming.</w:t>
      </w:r>
    </w:p>
    <w:p w:rsidRPr="009D7EDA" w:rsidR="00CE4BC6" w:rsidP="00C22D9F" w:rsidRDefault="00CE4BC6" w14:paraId="7E28FA66" w14:textId="0C43FA42">
      <w:pPr>
        <w:pStyle w:val="Heading3"/>
      </w:pPr>
      <w:bookmarkStart w:name="_Toc134906276" w:id="107"/>
      <w:bookmarkStart w:name="_Toc142469145" w:id="108"/>
      <w:r w:rsidRPr="009D7EDA">
        <w:t xml:space="preserve">Security and </w:t>
      </w:r>
      <w:r w:rsidRPr="009D7EDA" w:rsidR="00710392">
        <w:t>safety</w:t>
      </w:r>
      <w:bookmarkEnd w:id="107"/>
      <w:r w:rsidR="002116FB">
        <w:rPr>
          <w:rStyle w:val="FootnoteReference"/>
        </w:rPr>
        <w:footnoteReference w:id="112"/>
      </w:r>
      <w:bookmarkEnd w:id="108"/>
    </w:p>
    <w:p w:rsidRPr="009F7561" w:rsidR="00CE4BC6" w:rsidP="002116FB" w:rsidRDefault="00CE4BC6" w14:paraId="7E28FA68" w14:textId="3D0C05AF">
      <w:pPr>
        <w:spacing w:before="120" w:after="120" w:line="300" w:lineRule="atLeast"/>
        <w:jc w:val="both"/>
        <w:rPr>
          <w:lang w:val="en-GB"/>
        </w:rPr>
      </w:pPr>
      <w:r w:rsidRPr="009F7561">
        <w:rPr>
          <w:lang w:val="en-GB"/>
        </w:rPr>
        <w:t>This section focuses on actors in the setting who contribute to women</w:t>
      </w:r>
      <w:r w:rsidRPr="009F7561" w:rsidR="00315391">
        <w:rPr>
          <w:lang w:val="en-GB"/>
        </w:rPr>
        <w:t>’s</w:t>
      </w:r>
      <w:r w:rsidRPr="009F7561">
        <w:rPr>
          <w:lang w:val="en-GB"/>
        </w:rPr>
        <w:t>, girls</w:t>
      </w:r>
      <w:r w:rsidRPr="009F7561" w:rsidR="001166F8">
        <w:rPr>
          <w:lang w:val="en-GB"/>
        </w:rPr>
        <w:t>’</w:t>
      </w:r>
      <w:r w:rsidRPr="009F7561">
        <w:rPr>
          <w:lang w:val="en-GB"/>
        </w:rPr>
        <w:t xml:space="preserve"> and other GBV survivors</w:t>
      </w:r>
      <w:r w:rsidRPr="009F7561" w:rsidR="001166F8">
        <w:rPr>
          <w:lang w:val="en-GB"/>
        </w:rPr>
        <w:t>’</w:t>
      </w:r>
      <w:r w:rsidRPr="009F7561">
        <w:rPr>
          <w:lang w:val="en-GB"/>
        </w:rPr>
        <w:t xml:space="preserve"> safety and security in the setting. All service providers priorit</w:t>
      </w:r>
      <w:r w:rsidRPr="009F7561" w:rsidR="005E1813">
        <w:rPr>
          <w:lang w:val="en-GB"/>
        </w:rPr>
        <w:t>ize</w:t>
      </w:r>
      <w:r w:rsidRPr="009F7561">
        <w:rPr>
          <w:lang w:val="en-GB"/>
        </w:rPr>
        <w:t xml:space="preserve"> the safety and security of survivors and their families as well as </w:t>
      </w:r>
      <w:r w:rsidR="007C519A">
        <w:rPr>
          <w:lang w:val="en-GB"/>
        </w:rPr>
        <w:t xml:space="preserve">that </w:t>
      </w:r>
      <w:r w:rsidRPr="009F7561">
        <w:rPr>
          <w:lang w:val="en-GB"/>
        </w:rPr>
        <w:t>of staff providing care to survivors. A safety and security assessment is part of GBV case management and service delivery. GBV caseworkers, service providers and survivors assess security risks and conduct safety planning.</w:t>
      </w:r>
      <w:r w:rsidRPr="009F7561">
        <w:rPr>
          <w:vertAlign w:val="superscript"/>
          <w:lang w:val="en-GB"/>
        </w:rPr>
        <w:footnoteReference w:id="113"/>
      </w:r>
    </w:p>
    <w:p w:rsidRPr="00F464B4" w:rsidR="00CE4BC6" w:rsidP="00D03331" w:rsidRDefault="00CE4BC6" w14:paraId="7E28FA6B" w14:textId="49811568">
      <w:pPr>
        <w:pStyle w:val="Heading4"/>
      </w:pPr>
      <w:bookmarkStart w:name="_Toc134906277" w:id="109"/>
      <w:r w:rsidRPr="00F464B4">
        <w:t xml:space="preserve">Security </w:t>
      </w:r>
      <w:r w:rsidRPr="00F464B4" w:rsidR="00710392">
        <w:t>actors</w:t>
      </w:r>
      <w:bookmarkEnd w:id="109"/>
    </w:p>
    <w:p w:rsidRPr="009F7561" w:rsidR="00CE4BC6" w:rsidP="002116FB" w:rsidRDefault="00CE4BC6" w14:paraId="7E28FA6D" w14:textId="251B9AA5">
      <w:pPr>
        <w:pBdr>
          <w:top w:val="nil"/>
          <w:left w:val="nil"/>
          <w:bottom w:val="nil"/>
          <w:right w:val="nil"/>
          <w:between w:val="nil"/>
        </w:pBdr>
        <w:spacing w:before="120" w:after="120" w:line="300" w:lineRule="atLeast"/>
        <w:jc w:val="both"/>
        <w:rPr>
          <w:lang w:val="en-GB"/>
        </w:rPr>
      </w:pPr>
      <w:r w:rsidRPr="009F7561">
        <w:rPr>
          <w:lang w:val="en-GB"/>
        </w:rPr>
        <w:t>Security actors include police, other law enforcement personnel, community security groups</w:t>
      </w:r>
      <w:r w:rsidRPr="009F7561" w:rsidR="008A1575">
        <w:rPr>
          <w:lang w:val="en-GB"/>
        </w:rPr>
        <w:t xml:space="preserve"> and </w:t>
      </w:r>
      <w:r w:rsidRPr="009F7561">
        <w:rPr>
          <w:lang w:val="en-GB"/>
        </w:rPr>
        <w:t xml:space="preserve">humanitarian protection staff, among others. Respecting and upholding the rights of women and girls </w:t>
      </w:r>
      <w:r w:rsidR="006E65EA">
        <w:rPr>
          <w:lang w:val="en-GB"/>
        </w:rPr>
        <w:t xml:space="preserve">is </w:t>
      </w:r>
      <w:r w:rsidRPr="009F7561">
        <w:rPr>
          <w:lang w:val="en-GB"/>
        </w:rPr>
        <w:t>central to all security efforts. Focusing on the survivor also requires that security personnel and policies reflect an awareness of the immediate and ongoing threats facing women and girls who have experienced gender-based violence. Certain forms of GBV</w:t>
      </w:r>
      <w:r w:rsidRPr="009F7561" w:rsidR="003C264D">
        <w:rPr>
          <w:lang w:val="en-GB"/>
        </w:rPr>
        <w:t xml:space="preserve"> </w:t>
      </w:r>
      <w:r w:rsidRPr="009F7561">
        <w:rPr>
          <w:lang w:val="en-GB"/>
        </w:rPr>
        <w:t>require particular safety measures (</w:t>
      </w:r>
      <w:r w:rsidRPr="009F7561" w:rsidR="00AC129C">
        <w:rPr>
          <w:lang w:val="en-GB"/>
        </w:rPr>
        <w:t>e.g.</w:t>
      </w:r>
      <w:r w:rsidRPr="009F7561">
        <w:rPr>
          <w:lang w:val="en-GB"/>
        </w:rPr>
        <w:t xml:space="preserve"> facilitating access to safe houses or shelters for those at risk of so-called “honour-based” crimes).</w:t>
      </w:r>
    </w:p>
    <w:p w:rsidRPr="009F7561" w:rsidR="00CE4BC6" w:rsidP="002116FB" w:rsidRDefault="00CE4BC6" w14:paraId="7E28FA70" w14:textId="48D22675">
      <w:pPr>
        <w:pBdr>
          <w:top w:val="nil"/>
          <w:left w:val="nil"/>
          <w:bottom w:val="nil"/>
          <w:right w:val="nil"/>
          <w:between w:val="nil"/>
        </w:pBdr>
        <w:spacing w:before="120" w:after="120" w:line="300" w:lineRule="atLeast"/>
        <w:jc w:val="both"/>
        <w:rPr>
          <w:lang w:val="en-GB"/>
        </w:rPr>
      </w:pPr>
      <w:r w:rsidRPr="00585205">
        <w:rPr>
          <w:spacing w:val="-2"/>
          <w:lang w:val="en-GB"/>
        </w:rPr>
        <w:t>Law enforcement and other security personnel often lack the knowledge and capacity to respond</w:t>
      </w:r>
      <w:r w:rsidRPr="009F7561">
        <w:rPr>
          <w:lang w:val="en-GB"/>
        </w:rPr>
        <w:t xml:space="preserve"> adequately to survivors. They may also share the societal values that condone violence against women and girls, leading to survivor-blaming or discriminatory attitudes and decisions. Thus, in addition to establishing clear responses to violence against women and girls</w:t>
      </w:r>
      <w:r w:rsidR="00101D69">
        <w:rPr>
          <w:lang w:val="en-GB"/>
        </w:rPr>
        <w:t xml:space="preserve"> and</w:t>
      </w:r>
      <w:r w:rsidRPr="009F7561">
        <w:rPr>
          <w:lang w:val="en-GB"/>
        </w:rPr>
        <w:t xml:space="preserve"> specialized support services for survivors, it is crucial to support ongoing training and awareness-raising interventions for security personnel at all levels. For police, training focus</w:t>
      </w:r>
      <w:r w:rsidR="006E65EA">
        <w:rPr>
          <w:lang w:val="en-GB"/>
        </w:rPr>
        <w:t>es</w:t>
      </w:r>
      <w:r w:rsidRPr="009F7561">
        <w:rPr>
          <w:lang w:val="en-GB"/>
        </w:rPr>
        <w:t xml:space="preserve"> on clear protocols for responding to reports of violence, emphasizing women</w:t>
      </w:r>
      <w:r w:rsidRPr="009F7561" w:rsidR="00315391">
        <w:rPr>
          <w:lang w:val="en-GB"/>
        </w:rPr>
        <w:t>’s</w:t>
      </w:r>
      <w:r w:rsidRPr="009F7561">
        <w:rPr>
          <w:lang w:val="en-GB"/>
        </w:rPr>
        <w:t xml:space="preserve"> legal right</w:t>
      </w:r>
      <w:r w:rsidR="0098608A">
        <w:rPr>
          <w:lang w:val="en-GB"/>
        </w:rPr>
        <w:t xml:space="preserve"> </w:t>
      </w:r>
      <w:r w:rsidRPr="009F7561">
        <w:rPr>
          <w:lang w:val="en-GB"/>
        </w:rPr>
        <w:t>to protection.</w:t>
      </w:r>
    </w:p>
    <w:p w:rsidRPr="009F7561" w:rsidR="00CE4BC6" w:rsidP="002116FB" w:rsidRDefault="00CE4BC6" w14:paraId="7E28FA72" w14:textId="2DF612DB">
      <w:pPr>
        <w:spacing w:before="120" w:after="120" w:line="300" w:lineRule="atLeast"/>
        <w:jc w:val="both"/>
        <w:rPr>
          <w:lang w:val="en-GB"/>
        </w:rPr>
      </w:pPr>
      <w:r w:rsidRPr="009F7561">
        <w:rPr>
          <w:lang w:val="en-GB"/>
        </w:rPr>
        <w:t>GBV specialized actors should be</w:t>
      </w:r>
      <w:r w:rsidR="006E65EA">
        <w:rPr>
          <w:lang w:val="en-GB"/>
        </w:rPr>
        <w:t xml:space="preserve"> </w:t>
      </w:r>
      <w:r w:rsidRPr="009F7561">
        <w:rPr>
          <w:lang w:val="en-GB"/>
        </w:rPr>
        <w:t xml:space="preserve">aware of the potential risks to GBV survivors in engaging with security actors. </w:t>
      </w:r>
    </w:p>
    <w:p w:rsidRPr="00D03331" w:rsidR="00CE4BC6" w:rsidP="00D03331" w:rsidRDefault="00D03331" w14:paraId="7E28FA74" w14:textId="1992F00A">
      <w:pPr>
        <w:spacing w:before="120" w:after="120" w:line="300" w:lineRule="atLeast"/>
        <w:jc w:val="both"/>
        <w:rPr>
          <w:i/>
          <w:iCs/>
          <w:color w:val="0070C0"/>
          <w:lang w:val="en-GB"/>
        </w:rPr>
      </w:pPr>
      <w:r w:rsidRPr="00D03331">
        <w:rPr>
          <w:i/>
          <w:iCs/>
          <w:color w:val="0070C0"/>
          <w:lang w:val="en-GB"/>
        </w:rPr>
        <w:t>[</w:t>
      </w:r>
      <w:r w:rsidRPr="00D03331" w:rsidR="00CE4BC6">
        <w:rPr>
          <w:i/>
          <w:iCs/>
          <w:color w:val="0070C0"/>
          <w:lang w:val="en-GB"/>
        </w:rPr>
        <w:t xml:space="preserve">List all safety and security actors [specify, </w:t>
      </w:r>
      <w:r w:rsidRPr="00D03331" w:rsidR="00AC129C">
        <w:rPr>
          <w:i/>
          <w:iCs/>
          <w:color w:val="0070C0"/>
          <w:lang w:val="en-GB"/>
        </w:rPr>
        <w:t>e.g.</w:t>
      </w:r>
      <w:r w:rsidRPr="00D03331" w:rsidR="00CE4BC6">
        <w:rPr>
          <w:i/>
          <w:iCs/>
          <w:color w:val="0070C0"/>
          <w:lang w:val="en-GB"/>
        </w:rPr>
        <w:t xml:space="preserve"> police or protection officers] and include specific information about roles, procedures, limitations, benefits and risks of all available security options, including how to access security services.</w:t>
      </w:r>
      <w:r w:rsidRPr="00D03331">
        <w:rPr>
          <w:i/>
          <w:iCs/>
          <w:color w:val="0070C0"/>
          <w:lang w:val="en-GB"/>
        </w:rPr>
        <w:t>]</w:t>
      </w:r>
    </w:p>
    <w:p w:rsidRPr="00F464B4" w:rsidR="00CE4BC6" w:rsidP="00D03331" w:rsidRDefault="00CE4BC6" w14:paraId="7E28FA76" w14:textId="519BB56C">
      <w:pPr>
        <w:pStyle w:val="Heading4"/>
      </w:pPr>
      <w:bookmarkStart w:name="_Toc134906278" w:id="110"/>
      <w:r w:rsidRPr="00F464B4">
        <w:t xml:space="preserve">Safe </w:t>
      </w:r>
      <w:r w:rsidRPr="00F464B4" w:rsidR="000228CE">
        <w:t>houses</w:t>
      </w:r>
      <w:r w:rsidRPr="00F464B4">
        <w:t>/</w:t>
      </w:r>
      <w:r w:rsidRPr="00F464B4" w:rsidR="000228CE">
        <w:t>emergency shelter</w:t>
      </w:r>
      <w:bookmarkEnd w:id="110"/>
    </w:p>
    <w:p w:rsidRPr="009F7561" w:rsidR="00CE4BC6" w:rsidP="009B436E" w:rsidRDefault="00CE4BC6" w14:paraId="7E28FA78" w14:textId="5B818CB4">
      <w:pPr>
        <w:spacing w:before="120" w:after="120" w:line="300" w:lineRule="atLeast"/>
        <w:jc w:val="both"/>
        <w:rPr>
          <w:lang w:val="en-GB"/>
        </w:rPr>
      </w:pPr>
      <w:r w:rsidRPr="009F7561">
        <w:rPr>
          <w:lang w:val="en-GB"/>
        </w:rPr>
        <w:t>Safe houses/shelters are places that provide immediate security, temporary refuge</w:t>
      </w:r>
      <w:r w:rsidRPr="009F7561" w:rsidR="008A1575">
        <w:rPr>
          <w:lang w:val="en-GB"/>
        </w:rPr>
        <w:t xml:space="preserve"> and </w:t>
      </w:r>
      <w:r w:rsidRPr="009F7561">
        <w:rPr>
          <w:lang w:val="en-GB"/>
        </w:rPr>
        <w:t>support to survivors who are escaping violent or abusive situations. This service is made available to women and girl survivors of GBV who are in imminent danger. Ideally, a safe shelter or house is accredited and staffed by professionals. Admission is contingent on specific criteria and strict standard operating procedures. It is rarely possible for safe houses and shelters to be operated</w:t>
      </w:r>
      <w:r w:rsidRPr="009F7561">
        <w:rPr>
          <w:sz w:val="20"/>
          <w:szCs w:val="20"/>
          <w:lang w:val="en-GB"/>
        </w:rPr>
        <w:t xml:space="preserve"> </w:t>
      </w:r>
      <w:r w:rsidRPr="009F7561">
        <w:rPr>
          <w:lang w:val="en-GB"/>
        </w:rPr>
        <w:t>safely within a camp setting due to the need for their location to be confidential.</w:t>
      </w:r>
      <w:r w:rsidRPr="009F7561">
        <w:rPr>
          <w:vertAlign w:val="superscript"/>
          <w:lang w:val="en-GB"/>
        </w:rPr>
        <w:footnoteReference w:id="114"/>
      </w:r>
    </w:p>
    <w:p w:rsidRPr="009F7561" w:rsidR="00CE4BC6" w:rsidP="009B436E" w:rsidRDefault="00CE4BC6" w14:paraId="7E28FA7A" w14:textId="13FFB23B">
      <w:pPr>
        <w:spacing w:before="120" w:after="120" w:line="300" w:lineRule="atLeast"/>
        <w:jc w:val="both"/>
        <w:rPr>
          <w:lang w:val="en-GB"/>
        </w:rPr>
      </w:pPr>
      <w:r w:rsidRPr="009F7561">
        <w:rPr>
          <w:lang w:val="en-GB"/>
        </w:rPr>
        <w:t xml:space="preserve">In cases where safe houses/shelters are not available, emergency accommodation may be provided in </w:t>
      </w:r>
      <w:r w:rsidRPr="009F7561" w:rsidR="000228CE">
        <w:rPr>
          <w:lang w:val="en-GB"/>
        </w:rPr>
        <w:t xml:space="preserve">the </w:t>
      </w:r>
      <w:r w:rsidRPr="009F7561">
        <w:rPr>
          <w:lang w:val="en-GB"/>
        </w:rPr>
        <w:t xml:space="preserve">form of rented private houses or apartments, hotels or commercial venues, rooms </w:t>
      </w:r>
      <w:r w:rsidRPr="009F7561">
        <w:rPr>
          <w:lang w:val="en-GB"/>
        </w:rPr>
        <w:t xml:space="preserve">in specialized facilities (e.g. hospitals or medical centres), places of worship (e.g. churches, mosques, temples, etc.) or </w:t>
      </w:r>
      <w:r w:rsidRPr="009F7561" w:rsidR="000228CE">
        <w:rPr>
          <w:lang w:val="en-GB"/>
        </w:rPr>
        <w:t xml:space="preserve">a </w:t>
      </w:r>
      <w:r w:rsidRPr="009F7561">
        <w:rPr>
          <w:lang w:val="en-GB"/>
        </w:rPr>
        <w:t>community-based system</w:t>
      </w:r>
      <w:r w:rsidRPr="009F7561" w:rsidR="000228CE">
        <w:rPr>
          <w:lang w:val="en-GB"/>
        </w:rPr>
        <w:t>.</w:t>
      </w:r>
      <w:r w:rsidRPr="009F7561">
        <w:rPr>
          <w:vertAlign w:val="superscript"/>
          <w:lang w:val="en-GB"/>
        </w:rPr>
        <w:footnoteReference w:id="115"/>
      </w:r>
    </w:p>
    <w:p w:rsidRPr="005D3EAD" w:rsidR="00CE4BC6" w:rsidP="009B436E" w:rsidRDefault="00D03331" w14:paraId="7E28FA7C" w14:textId="274EA226">
      <w:pPr>
        <w:spacing w:before="120" w:after="120" w:line="300" w:lineRule="atLeast"/>
        <w:jc w:val="both"/>
        <w:rPr>
          <w:i/>
          <w:iCs/>
          <w:color w:val="0070C0"/>
          <w:lang w:val="en-GB"/>
        </w:rPr>
      </w:pPr>
      <w:r w:rsidRPr="005D3EAD">
        <w:rPr>
          <w:i/>
          <w:iCs/>
          <w:color w:val="0070C0"/>
          <w:lang w:val="en-GB"/>
        </w:rPr>
        <w:t>[</w:t>
      </w:r>
      <w:r w:rsidRPr="005D3EAD" w:rsidR="00CE4BC6">
        <w:rPr>
          <w:i/>
          <w:iCs/>
          <w:color w:val="0070C0"/>
          <w:lang w:val="en-GB"/>
        </w:rPr>
        <w:t>Include any information about safe houses/shelters/community-based systems, supporting organ</w:t>
      </w:r>
      <w:r w:rsidRPr="005D3EAD" w:rsidR="002D1850">
        <w:rPr>
          <w:i/>
          <w:iCs/>
          <w:color w:val="0070C0"/>
          <w:lang w:val="en-GB"/>
        </w:rPr>
        <w:t>iza</w:t>
      </w:r>
      <w:r w:rsidRPr="005D3EAD" w:rsidR="00CE4BC6">
        <w:rPr>
          <w:i/>
          <w:iCs/>
          <w:color w:val="0070C0"/>
          <w:lang w:val="en-GB"/>
        </w:rPr>
        <w:t xml:space="preserve">tions, modalities of operation and entry criteria (including for children of survivors). </w:t>
      </w:r>
      <w:r w:rsidRPr="005D3EAD" w:rsidR="0098608A">
        <w:rPr>
          <w:i/>
          <w:iCs/>
          <w:color w:val="0070C0"/>
          <w:lang w:val="en-GB"/>
        </w:rPr>
        <w:br/>
      </w:r>
      <w:r w:rsidRPr="005D3EAD" w:rsidR="00CE4BC6">
        <w:rPr>
          <w:i/>
          <w:iCs/>
          <w:color w:val="0070C0"/>
          <w:lang w:val="en-GB"/>
        </w:rPr>
        <w:t>In contexts where this information cannot safely be included in the main document, describe how this information can be confidentially obtained.</w:t>
      </w:r>
      <w:r w:rsidRPr="005D3EAD" w:rsidR="005D3EAD">
        <w:rPr>
          <w:i/>
          <w:iCs/>
          <w:color w:val="0070C0"/>
          <w:lang w:val="en-GB"/>
        </w:rPr>
        <w:t>]</w:t>
      </w:r>
    </w:p>
    <w:p w:rsidRPr="00F464B4" w:rsidR="00CE4BC6" w:rsidP="00C22D9F" w:rsidRDefault="00CE4BC6" w14:paraId="7E28FA7E" w14:textId="253495AB">
      <w:pPr>
        <w:pStyle w:val="Heading3"/>
      </w:pPr>
      <w:bookmarkStart w:name="_Toc134906279" w:id="111"/>
      <w:bookmarkStart w:name="_Toc142469146" w:id="112"/>
      <w:r w:rsidRPr="00F464B4">
        <w:t xml:space="preserve">Justice and </w:t>
      </w:r>
      <w:r w:rsidRPr="00F464B4" w:rsidR="000228CE">
        <w:t>legal aid</w:t>
      </w:r>
      <w:bookmarkEnd w:id="111"/>
      <w:r w:rsidR="009B436E">
        <w:rPr>
          <w:rStyle w:val="FootnoteReference"/>
        </w:rPr>
        <w:footnoteReference w:id="116"/>
      </w:r>
      <w:bookmarkEnd w:id="112"/>
    </w:p>
    <w:p w:rsidRPr="009F7561" w:rsidR="00CE4BC6" w:rsidP="009B436E" w:rsidRDefault="00CE4BC6" w14:paraId="7E28FA80" w14:textId="61A65C77">
      <w:pPr>
        <w:spacing w:before="120" w:after="120" w:line="300" w:lineRule="atLeast"/>
        <w:jc w:val="both"/>
        <w:rPr>
          <w:lang w:val="en-GB"/>
        </w:rPr>
      </w:pPr>
      <w:r w:rsidRPr="009F7561">
        <w:rPr>
          <w:lang w:val="en-GB"/>
        </w:rPr>
        <w:t>GBV specialized actors should be</w:t>
      </w:r>
      <w:r w:rsidR="00D46F52">
        <w:rPr>
          <w:lang w:val="en-GB"/>
        </w:rPr>
        <w:t xml:space="preserve"> </w:t>
      </w:r>
      <w:r w:rsidRPr="009F7561">
        <w:rPr>
          <w:lang w:val="en-GB"/>
        </w:rPr>
        <w:t>aware of the risks to GBV survivors that are inherent to</w:t>
      </w:r>
    </w:p>
    <w:p w:rsidRPr="009F7561" w:rsidR="00CE4BC6" w:rsidP="009B436E" w:rsidRDefault="00A34C54" w14:paraId="7E28FA81" w14:textId="47F457EC">
      <w:pPr>
        <w:spacing w:before="120" w:after="120" w:line="300" w:lineRule="atLeast"/>
        <w:jc w:val="both"/>
        <w:rPr>
          <w:lang w:val="en-GB"/>
        </w:rPr>
      </w:pPr>
      <w:r w:rsidRPr="009F7561">
        <w:rPr>
          <w:lang w:val="en-GB"/>
        </w:rPr>
        <w:t>j</w:t>
      </w:r>
      <w:r w:rsidRPr="009F7561" w:rsidR="00CE4BC6">
        <w:rPr>
          <w:lang w:val="en-GB"/>
        </w:rPr>
        <w:t xml:space="preserve">ustice systems and any specific additional risks in the setting. Legal actors clearly and honestly inform the survivor of the procedures, limitations, benefits and risks of all existing </w:t>
      </w:r>
      <w:r w:rsidR="0098608A">
        <w:rPr>
          <w:lang w:val="en-GB"/>
        </w:rPr>
        <w:br/>
      </w:r>
      <w:r w:rsidRPr="009F7561" w:rsidR="00CE4BC6">
        <w:rPr>
          <w:lang w:val="en-GB"/>
        </w:rPr>
        <w:t>legal options. This includes:</w:t>
      </w:r>
    </w:p>
    <w:p w:rsidRPr="009F7561" w:rsidR="00CE4BC6" w:rsidP="00E96F61" w:rsidRDefault="00CE4BC6" w14:paraId="7E28FA83" w14:textId="79D29CFF">
      <w:pPr>
        <w:numPr>
          <w:ilvl w:val="0"/>
          <w:numId w:val="7"/>
        </w:numPr>
        <w:spacing w:before="120" w:after="120" w:line="300" w:lineRule="atLeast"/>
        <w:jc w:val="both"/>
        <w:rPr>
          <w:lang w:val="en-GB"/>
        </w:rPr>
      </w:pPr>
      <w:r w:rsidRPr="009F7561">
        <w:rPr>
          <w:lang w:val="en-GB"/>
        </w:rPr>
        <w:t>Information about available security measures that can prevent further harm by the alleged perpetrator</w:t>
      </w:r>
      <w:r w:rsidR="005D3EAD">
        <w:rPr>
          <w:lang w:val="en-GB"/>
        </w:rPr>
        <w:t>.</w:t>
      </w:r>
    </w:p>
    <w:p w:rsidRPr="009F7561" w:rsidR="00CE4BC6" w:rsidP="00E96F61" w:rsidRDefault="00CE4BC6" w14:paraId="7E28FA85" w14:textId="201D2F5E">
      <w:pPr>
        <w:numPr>
          <w:ilvl w:val="0"/>
          <w:numId w:val="7"/>
        </w:numPr>
        <w:spacing w:before="120" w:after="120" w:line="300" w:lineRule="atLeast"/>
        <w:jc w:val="both"/>
        <w:rPr>
          <w:lang w:val="en-GB"/>
        </w:rPr>
      </w:pPr>
      <w:r w:rsidRPr="009F7561">
        <w:rPr>
          <w:lang w:val="en-GB"/>
        </w:rPr>
        <w:t>Information about procedures, timelines</w:t>
      </w:r>
      <w:r w:rsidRPr="009F7561" w:rsidR="008A1575">
        <w:rPr>
          <w:lang w:val="en-GB"/>
        </w:rPr>
        <w:t xml:space="preserve"> and </w:t>
      </w:r>
      <w:r w:rsidRPr="009F7561">
        <w:rPr>
          <w:lang w:val="en-GB"/>
        </w:rPr>
        <w:t>any inadequacies or problems in national or informal justice solutions (i.e. justice mechanisms that do not meet international legal standards)</w:t>
      </w:r>
      <w:r w:rsidR="005D3EAD">
        <w:rPr>
          <w:lang w:val="en-GB"/>
        </w:rPr>
        <w:t>.</w:t>
      </w:r>
    </w:p>
    <w:p w:rsidRPr="00585205" w:rsidR="00CE4BC6" w:rsidP="00E96F61" w:rsidRDefault="00CE4BC6" w14:paraId="7E28FA87" w14:textId="42E245D2">
      <w:pPr>
        <w:numPr>
          <w:ilvl w:val="0"/>
          <w:numId w:val="7"/>
        </w:numPr>
        <w:spacing w:before="120" w:after="120" w:line="300" w:lineRule="atLeast"/>
        <w:jc w:val="both"/>
        <w:rPr>
          <w:lang w:val="en-GB"/>
        </w:rPr>
      </w:pPr>
      <w:r w:rsidRPr="009F7561">
        <w:rPr>
          <w:lang w:val="en-GB"/>
        </w:rPr>
        <w:t>Information about available support if formal legal proceedings or remedies through alternative justice systems are initiated</w:t>
      </w:r>
      <w:r w:rsidR="005D3EAD">
        <w:rPr>
          <w:lang w:val="en-GB"/>
        </w:rPr>
        <w:t>.</w:t>
      </w:r>
    </w:p>
    <w:p w:rsidRPr="009F7561" w:rsidR="00CE4BC6" w:rsidP="00E96F61" w:rsidRDefault="00CE4BC6" w14:paraId="7E28FA89" w14:textId="6AD677C1">
      <w:pPr>
        <w:numPr>
          <w:ilvl w:val="0"/>
          <w:numId w:val="7"/>
        </w:numPr>
        <w:spacing w:before="120" w:after="120" w:line="300" w:lineRule="atLeast"/>
        <w:jc w:val="both"/>
        <w:rPr>
          <w:lang w:val="en-GB"/>
        </w:rPr>
      </w:pPr>
      <w:r w:rsidRPr="009F7561">
        <w:rPr>
          <w:lang w:val="en-GB"/>
        </w:rPr>
        <w:t>Information about other civil/non-criminal services or procedures that help survivors access their rights (</w:t>
      </w:r>
      <w:r w:rsidRPr="009F7561" w:rsidR="00F02166">
        <w:rPr>
          <w:lang w:val="en-GB"/>
        </w:rPr>
        <w:t>e.g.</w:t>
      </w:r>
      <w:r w:rsidRPr="009F7561">
        <w:rPr>
          <w:lang w:val="en-GB"/>
        </w:rPr>
        <w:t xml:space="preserve"> ration card division, asylum hearings, etc.). </w:t>
      </w:r>
    </w:p>
    <w:p w:rsidRPr="005D3EAD" w:rsidR="00CE4BC6" w:rsidP="009B436E" w:rsidRDefault="005D3EAD" w14:paraId="7E28FA8B" w14:textId="7D9D654C">
      <w:pPr>
        <w:spacing w:before="120" w:after="120" w:line="300" w:lineRule="atLeast"/>
        <w:jc w:val="both"/>
        <w:rPr>
          <w:i/>
          <w:iCs/>
          <w:color w:val="0070C0"/>
          <w:lang w:val="en-GB"/>
        </w:rPr>
      </w:pPr>
      <w:r w:rsidRPr="005D3EAD">
        <w:rPr>
          <w:i/>
          <w:iCs/>
          <w:color w:val="0070C0"/>
          <w:lang w:val="en-GB"/>
        </w:rPr>
        <w:t>[</w:t>
      </w:r>
      <w:r w:rsidRPr="005D3EAD" w:rsidR="00CE4BC6">
        <w:rPr>
          <w:i/>
          <w:iCs/>
          <w:color w:val="0070C0"/>
          <w:lang w:val="en-GB"/>
        </w:rPr>
        <w:t>List here the organ</w:t>
      </w:r>
      <w:r w:rsidRPr="005D3EAD" w:rsidR="002D1850">
        <w:rPr>
          <w:i/>
          <w:iCs/>
          <w:color w:val="0070C0"/>
          <w:lang w:val="en-GB"/>
        </w:rPr>
        <w:t>iza</w:t>
      </w:r>
      <w:r w:rsidRPr="005D3EAD" w:rsidR="00CE4BC6">
        <w:rPr>
          <w:i/>
          <w:iCs/>
          <w:color w:val="0070C0"/>
          <w:lang w:val="en-GB"/>
        </w:rPr>
        <w:t>tions that provide legal and administrative advice and counselling for survivors and specify the roles and responsibilities of each.</w:t>
      </w:r>
    </w:p>
    <w:p w:rsidRPr="005D3EAD" w:rsidR="001D323A" w:rsidP="009B436E" w:rsidRDefault="00CE2830" w14:paraId="7E28FA8D" w14:textId="1A4416EA">
      <w:pPr>
        <w:spacing w:before="120" w:after="120" w:line="300" w:lineRule="atLeast"/>
        <w:jc w:val="both"/>
        <w:rPr>
          <w:i/>
          <w:iCs/>
          <w:color w:val="0070C0"/>
          <w:lang w:val="en-GB"/>
        </w:rPr>
      </w:pPr>
      <w:r w:rsidRPr="005D3EAD">
        <w:rPr>
          <w:i/>
          <w:iCs/>
          <w:color w:val="0070C0"/>
          <w:lang w:val="en-GB"/>
        </w:rPr>
        <w:t xml:space="preserve">Specify what services are available in this setting </w:t>
      </w:r>
      <w:r w:rsidRPr="005D3EAD" w:rsidR="00F02166">
        <w:rPr>
          <w:i/>
          <w:iCs/>
          <w:color w:val="0070C0"/>
          <w:lang w:val="en-GB"/>
        </w:rPr>
        <w:t>e.g.</w:t>
      </w:r>
      <w:r w:rsidRPr="005D3EAD">
        <w:rPr>
          <w:i/>
          <w:iCs/>
          <w:color w:val="0070C0"/>
          <w:lang w:val="en-GB"/>
        </w:rPr>
        <w:t xml:space="preserve"> transportation and accompaniment to court, legal advice and support through the process, other legal information and </w:t>
      </w:r>
      <w:r w:rsidRPr="005D3EAD" w:rsidR="004A74E4">
        <w:rPr>
          <w:i/>
          <w:iCs/>
          <w:color w:val="0070C0"/>
          <w:lang w:val="en-GB"/>
        </w:rPr>
        <w:t>counselling</w:t>
      </w:r>
      <w:r w:rsidRPr="005D3EAD">
        <w:rPr>
          <w:i/>
          <w:iCs/>
          <w:color w:val="0070C0"/>
          <w:lang w:val="en-GB"/>
        </w:rPr>
        <w:t xml:space="preserve"> related to civil or administrative procedures (</w:t>
      </w:r>
      <w:r w:rsidRPr="005D3EAD" w:rsidR="00F02166">
        <w:rPr>
          <w:i/>
          <w:iCs/>
          <w:color w:val="0070C0"/>
          <w:lang w:val="en-GB"/>
        </w:rPr>
        <w:t>e.g.</w:t>
      </w:r>
      <w:r w:rsidRPr="005D3EAD">
        <w:rPr>
          <w:i/>
          <w:iCs/>
          <w:color w:val="0070C0"/>
          <w:lang w:val="en-GB"/>
        </w:rPr>
        <w:t xml:space="preserve"> access to asylum status hearings, ration card division, inheritance claims, etc.).</w:t>
      </w:r>
      <w:r w:rsidRPr="005D3EAD" w:rsidR="005D3EAD">
        <w:rPr>
          <w:i/>
          <w:iCs/>
          <w:color w:val="0070C0"/>
          <w:lang w:val="en-GB"/>
        </w:rPr>
        <w:t>]</w:t>
      </w:r>
    </w:p>
    <w:p w:rsidRPr="009F7561" w:rsidR="00CE4BC6" w:rsidP="009B436E" w:rsidRDefault="00CE4BC6" w14:paraId="7E28FA8F" w14:textId="1B8437FB">
      <w:pPr>
        <w:pStyle w:val="Heading4"/>
        <w:rPr>
          <w:lang w:val="en-GB"/>
        </w:rPr>
      </w:pPr>
      <w:bookmarkStart w:name="_Toc134906280" w:id="113"/>
      <w:r w:rsidRPr="009F7561">
        <w:rPr>
          <w:lang w:val="en-GB"/>
        </w:rPr>
        <w:t xml:space="preserve">Police </w:t>
      </w:r>
      <w:r w:rsidRPr="009F7561" w:rsidR="000228CE">
        <w:rPr>
          <w:lang w:val="en-GB"/>
        </w:rPr>
        <w:t xml:space="preserve">procedures for reports </w:t>
      </w:r>
      <w:r w:rsidRPr="009F7561">
        <w:rPr>
          <w:lang w:val="en-GB"/>
        </w:rPr>
        <w:t xml:space="preserve">of </w:t>
      </w:r>
      <w:r w:rsidRPr="009F7561" w:rsidR="000228CE">
        <w:rPr>
          <w:lang w:val="en-GB"/>
        </w:rPr>
        <w:t>GBV-related crimes</w:t>
      </w:r>
      <w:bookmarkEnd w:id="113"/>
      <w:r w:rsidRPr="009F7561" w:rsidR="000228CE">
        <w:rPr>
          <w:lang w:val="en-GB"/>
        </w:rPr>
        <w:t xml:space="preserve"> </w:t>
      </w:r>
    </w:p>
    <w:p w:rsidRPr="009F7561" w:rsidR="00CE4BC6" w:rsidP="002D47AB" w:rsidRDefault="00CE4BC6" w14:paraId="7E28FA91" w14:textId="58E80327">
      <w:pPr>
        <w:spacing w:before="120" w:after="120" w:line="300" w:lineRule="atLeast"/>
        <w:jc w:val="both"/>
        <w:rPr>
          <w:lang w:val="en-GB"/>
        </w:rPr>
      </w:pPr>
      <w:r w:rsidRPr="009F7561">
        <w:rPr>
          <w:lang w:val="en-GB"/>
        </w:rPr>
        <w:t xml:space="preserve">In </w:t>
      </w:r>
      <w:r w:rsidRPr="009F7561" w:rsidR="00F02166">
        <w:rPr>
          <w:lang w:val="en-GB"/>
        </w:rPr>
        <w:t>most</w:t>
      </w:r>
      <w:r w:rsidRPr="009F7561">
        <w:rPr>
          <w:lang w:val="en-GB"/>
        </w:rPr>
        <w:t xml:space="preserve"> cases, referrals will be made to national justice systems by the police only if victim</w:t>
      </w:r>
      <w:r w:rsidR="006367E4">
        <w:rPr>
          <w:lang w:val="en-GB"/>
        </w:rPr>
        <w:t>s</w:t>
      </w:r>
      <w:r w:rsidRPr="009F7561">
        <w:rPr>
          <w:lang w:val="en-GB"/>
        </w:rPr>
        <w:t>/survivor</w:t>
      </w:r>
      <w:r w:rsidR="006367E4">
        <w:rPr>
          <w:lang w:val="en-GB"/>
        </w:rPr>
        <w:t>s</w:t>
      </w:r>
      <w:r w:rsidRPr="009F7561">
        <w:rPr>
          <w:lang w:val="en-GB"/>
        </w:rPr>
        <w:t xml:space="preserve"> </w:t>
      </w:r>
      <w:r w:rsidR="006367E4">
        <w:rPr>
          <w:lang w:val="en-GB"/>
        </w:rPr>
        <w:t xml:space="preserve">have </w:t>
      </w:r>
      <w:r w:rsidRPr="009F7561">
        <w:rPr>
          <w:lang w:val="en-GB"/>
        </w:rPr>
        <w:t xml:space="preserve">given </w:t>
      </w:r>
      <w:r w:rsidR="006367E4">
        <w:rPr>
          <w:lang w:val="en-GB"/>
        </w:rPr>
        <w:t xml:space="preserve">their </w:t>
      </w:r>
      <w:r w:rsidRPr="009F7561">
        <w:rPr>
          <w:lang w:val="en-GB"/>
        </w:rPr>
        <w:t xml:space="preserve">informed consent (see </w:t>
      </w:r>
      <w:r w:rsidRPr="009F7561" w:rsidR="00CB5A06">
        <w:rPr>
          <w:lang w:val="en-GB"/>
        </w:rPr>
        <w:t>section</w:t>
      </w:r>
      <w:r w:rsidRPr="009F7561">
        <w:rPr>
          <w:lang w:val="en-GB"/>
        </w:rPr>
        <w:t xml:space="preserve"> 3.3.2).</w:t>
      </w:r>
    </w:p>
    <w:p w:rsidRPr="00DC2036" w:rsidR="00CE4BC6" w:rsidP="002D47AB" w:rsidRDefault="00DC2036" w14:paraId="7E28FA93" w14:textId="45C6F035">
      <w:pPr>
        <w:spacing w:before="120" w:after="120" w:line="300" w:lineRule="atLeast"/>
        <w:jc w:val="both"/>
        <w:rPr>
          <w:i/>
          <w:iCs/>
          <w:color w:val="0070C0"/>
          <w:lang w:val="en-GB"/>
        </w:rPr>
      </w:pPr>
      <w:r w:rsidRPr="00DC2036">
        <w:rPr>
          <w:i/>
          <w:iCs/>
          <w:color w:val="0070C0"/>
          <w:lang w:val="en-GB"/>
        </w:rPr>
        <w:t>[</w:t>
      </w:r>
      <w:r w:rsidRPr="00DC2036" w:rsidR="00CE4BC6">
        <w:rPr>
          <w:i/>
          <w:iCs/>
          <w:color w:val="0070C0"/>
          <w:lang w:val="en-GB"/>
        </w:rPr>
        <w:t xml:space="preserve">Describe the procedure for reporting a GBV incident to the police </w:t>
      </w:r>
      <w:r w:rsidRPr="00DC2036" w:rsidR="00F02166">
        <w:rPr>
          <w:i/>
          <w:iCs/>
          <w:color w:val="0070C0"/>
          <w:lang w:val="en-GB"/>
        </w:rPr>
        <w:t>e.g.,</w:t>
      </w:r>
      <w:r w:rsidRPr="00DC2036" w:rsidR="00CE4BC6">
        <w:rPr>
          <w:i/>
          <w:iCs/>
          <w:color w:val="0070C0"/>
          <w:lang w:val="en-GB"/>
        </w:rPr>
        <w:t xml:space="preserve"> make a complaint to the police at the local police post</w:t>
      </w:r>
      <w:r w:rsidRPr="00DC2036" w:rsidR="00461384">
        <w:rPr>
          <w:i/>
          <w:iCs/>
          <w:color w:val="0070C0"/>
          <w:lang w:val="en-GB"/>
        </w:rPr>
        <w:t xml:space="preserve"> or </w:t>
      </w:r>
      <w:r w:rsidRPr="00DC2036" w:rsidR="00CE4BC6">
        <w:rPr>
          <w:i/>
          <w:iCs/>
          <w:color w:val="0070C0"/>
          <w:lang w:val="en-GB"/>
        </w:rPr>
        <w:t>make a complaint to the local police family support unit. Be sure to include any requirement for medical forms/forensic medical evidence.</w:t>
      </w:r>
      <w:r w:rsidRPr="00DC2036">
        <w:rPr>
          <w:i/>
          <w:iCs/>
          <w:color w:val="0070C0"/>
          <w:lang w:val="en-GB"/>
        </w:rPr>
        <w:t>]</w:t>
      </w:r>
    </w:p>
    <w:p w:rsidRPr="009F7561" w:rsidR="003B0E6F" w:rsidP="00DC2036" w:rsidRDefault="003B0E6F" w14:paraId="562C470D" w14:textId="0AA654EC">
      <w:pPr>
        <w:pStyle w:val="Heading4"/>
        <w:rPr>
          <w:lang w:val="en-GB"/>
        </w:rPr>
      </w:pPr>
      <w:bookmarkStart w:name="_Toc134906281" w:id="114"/>
      <w:r w:rsidRPr="009F7561">
        <w:rPr>
          <w:lang w:val="en-GB"/>
        </w:rPr>
        <w:t xml:space="preserve">Informal </w:t>
      </w:r>
      <w:r w:rsidRPr="009F7561" w:rsidR="000228CE">
        <w:rPr>
          <w:lang w:val="en-GB"/>
        </w:rPr>
        <w:t>justice and alternative dispute m</w:t>
      </w:r>
      <w:r w:rsidRPr="009F7561">
        <w:rPr>
          <w:lang w:val="en-GB"/>
        </w:rPr>
        <w:t>echanisms</w:t>
      </w:r>
      <w:bookmarkEnd w:id="114"/>
    </w:p>
    <w:p w:rsidRPr="009F7561" w:rsidR="003B0E6F" w:rsidP="00045461" w:rsidRDefault="003B0E6F" w14:paraId="72D12E4D" w14:textId="73CFA632">
      <w:pPr>
        <w:spacing w:before="120" w:after="120" w:line="300" w:lineRule="atLeast"/>
        <w:jc w:val="both"/>
        <w:rPr>
          <w:lang w:val="en-GB"/>
        </w:rPr>
      </w:pPr>
      <w:r w:rsidRPr="009F7561">
        <w:rPr>
          <w:lang w:val="en-GB"/>
        </w:rPr>
        <w:t>GBV specialized actors should be</w:t>
      </w:r>
      <w:r w:rsidR="00D46F52">
        <w:rPr>
          <w:lang w:val="en-GB"/>
        </w:rPr>
        <w:t xml:space="preserve"> </w:t>
      </w:r>
      <w:r w:rsidRPr="009F7561">
        <w:rPr>
          <w:lang w:val="en-GB"/>
        </w:rPr>
        <w:t>aware of the risks to GBV survivors that are inherent to</w:t>
      </w:r>
    </w:p>
    <w:p w:rsidRPr="009F7561" w:rsidR="003B0E6F" w:rsidP="00045461" w:rsidRDefault="003B0E6F" w14:paraId="5DEA4245" w14:textId="543277D6">
      <w:pPr>
        <w:spacing w:before="120" w:after="120" w:line="300" w:lineRule="atLeast"/>
        <w:jc w:val="both"/>
        <w:rPr>
          <w:lang w:val="en-GB"/>
        </w:rPr>
      </w:pPr>
      <w:r w:rsidRPr="009F7561">
        <w:rPr>
          <w:lang w:val="en-GB"/>
        </w:rPr>
        <w:t xml:space="preserve">informal justice mechanisms and any specific additional risks in the setting. They should clearly communicate those risks to survivors while being non-judgmental and </w:t>
      </w:r>
      <w:r w:rsidRPr="009F7561" w:rsidR="004A74E4">
        <w:rPr>
          <w:lang w:val="en-GB"/>
        </w:rPr>
        <w:t>honouring</w:t>
      </w:r>
      <w:r w:rsidRPr="009F7561">
        <w:rPr>
          <w:lang w:val="en-GB"/>
        </w:rPr>
        <w:t xml:space="preserve"> survivors</w:t>
      </w:r>
      <w:r w:rsidRPr="009F7561" w:rsidR="000228CE">
        <w:rPr>
          <w:lang w:val="en-GB"/>
        </w:rPr>
        <w:t>’</w:t>
      </w:r>
      <w:r w:rsidRPr="009F7561">
        <w:rPr>
          <w:lang w:val="en-GB"/>
        </w:rPr>
        <w:t xml:space="preserve"> wishes for a justice outcome.</w:t>
      </w:r>
    </w:p>
    <w:p w:rsidRPr="009F7561" w:rsidR="003B0E6F" w:rsidP="00045461" w:rsidRDefault="003B0E6F" w14:paraId="566B9E04" w14:textId="77777777">
      <w:pPr>
        <w:spacing w:before="120" w:after="120" w:line="300" w:lineRule="atLeast"/>
        <w:jc w:val="both"/>
        <w:rPr>
          <w:lang w:val="en-GB"/>
        </w:rPr>
      </w:pPr>
      <w:r w:rsidRPr="009F7561">
        <w:rPr>
          <w:lang w:val="en-GB"/>
        </w:rPr>
        <w:t>There are several strategies for working with informal justice mechanisms to minimize risks to women and girls, including:</w:t>
      </w:r>
    </w:p>
    <w:p w:rsidRPr="009F7561" w:rsidR="003B0E6F" w:rsidP="00E96F61" w:rsidRDefault="003B0E6F" w14:paraId="1D6E6CB7" w14:textId="475427DC">
      <w:pPr>
        <w:numPr>
          <w:ilvl w:val="0"/>
          <w:numId w:val="7"/>
        </w:numPr>
        <w:pBdr>
          <w:top w:val="nil"/>
          <w:left w:val="nil"/>
          <w:bottom w:val="nil"/>
          <w:right w:val="nil"/>
          <w:between w:val="nil"/>
        </w:pBdr>
        <w:spacing w:before="120" w:after="120" w:line="300" w:lineRule="atLeast"/>
        <w:jc w:val="both"/>
        <w:rPr>
          <w:lang w:val="en-GB"/>
        </w:rPr>
      </w:pPr>
      <w:r w:rsidRPr="00585205">
        <w:rPr>
          <w:lang w:val="en-GB"/>
        </w:rPr>
        <w:t>Working with women</w:t>
      </w:r>
      <w:r w:rsidRPr="00585205" w:rsidR="00315391">
        <w:rPr>
          <w:lang w:val="en-GB"/>
        </w:rPr>
        <w:t>’s</w:t>
      </w:r>
      <w:r w:rsidRPr="00585205">
        <w:rPr>
          <w:lang w:val="en-GB"/>
        </w:rPr>
        <w:t xml:space="preserve"> rights or women</w:t>
      </w:r>
      <w:r w:rsidRPr="00585205" w:rsidR="00315391">
        <w:rPr>
          <w:lang w:val="en-GB"/>
        </w:rPr>
        <w:t>’s</w:t>
      </w:r>
      <w:r w:rsidRPr="00585205">
        <w:rPr>
          <w:lang w:val="en-GB"/>
        </w:rPr>
        <w:t xml:space="preserve"> legal organ</w:t>
      </w:r>
      <w:r w:rsidRPr="00585205" w:rsidR="002D1850">
        <w:rPr>
          <w:lang w:val="en-GB"/>
        </w:rPr>
        <w:t>iza</w:t>
      </w:r>
      <w:r w:rsidRPr="00585205">
        <w:rPr>
          <w:lang w:val="en-GB"/>
        </w:rPr>
        <w:t>tions to develop and strengthen informal justice mechanisms that respond to the needs of survivors</w:t>
      </w:r>
      <w:r w:rsidR="00045461">
        <w:rPr>
          <w:lang w:val="en-GB"/>
        </w:rPr>
        <w:t>.</w:t>
      </w:r>
    </w:p>
    <w:p w:rsidRPr="009F7561" w:rsidR="003B0E6F" w:rsidP="00E96F61" w:rsidRDefault="003B0E6F" w14:paraId="24828405" w14:textId="04CEFE34">
      <w:pPr>
        <w:numPr>
          <w:ilvl w:val="0"/>
          <w:numId w:val="7"/>
        </w:numPr>
        <w:pBdr>
          <w:top w:val="nil"/>
          <w:left w:val="nil"/>
          <w:bottom w:val="nil"/>
          <w:right w:val="nil"/>
          <w:between w:val="nil"/>
        </w:pBdr>
        <w:spacing w:before="120" w:after="120" w:line="300" w:lineRule="atLeast"/>
        <w:jc w:val="both"/>
        <w:rPr>
          <w:lang w:val="en-GB"/>
        </w:rPr>
      </w:pPr>
      <w:r w:rsidRPr="00585205">
        <w:rPr>
          <w:lang w:val="en-GB"/>
        </w:rPr>
        <w:t>Engaging constructively with traditional leaders who are often “custodians of culture”</w:t>
      </w:r>
      <w:r w:rsidRPr="00585205" w:rsidR="008A1575">
        <w:rPr>
          <w:lang w:val="en-GB"/>
        </w:rPr>
        <w:t xml:space="preserve"> and </w:t>
      </w:r>
      <w:r w:rsidRPr="00585205">
        <w:rPr>
          <w:lang w:val="en-GB"/>
        </w:rPr>
        <w:t>have the authority to positively influence a change in customs and traditions to reinforce women</w:t>
      </w:r>
      <w:r w:rsidRPr="00585205" w:rsidR="00315391">
        <w:rPr>
          <w:lang w:val="en-GB"/>
        </w:rPr>
        <w:t>’s</w:t>
      </w:r>
      <w:r w:rsidRPr="00585205">
        <w:rPr>
          <w:lang w:val="en-GB"/>
        </w:rPr>
        <w:t xml:space="preserve"> rights</w:t>
      </w:r>
      <w:r w:rsidR="00045461">
        <w:rPr>
          <w:lang w:val="en-GB"/>
        </w:rPr>
        <w:t>.</w:t>
      </w:r>
    </w:p>
    <w:p w:rsidRPr="009F7561" w:rsidR="003B0E6F" w:rsidP="00E96F61" w:rsidRDefault="003B0E6F" w14:paraId="73C60E34" w14:textId="151B8086">
      <w:pPr>
        <w:numPr>
          <w:ilvl w:val="0"/>
          <w:numId w:val="7"/>
        </w:numPr>
        <w:pBdr>
          <w:top w:val="nil"/>
          <w:left w:val="nil"/>
          <w:bottom w:val="nil"/>
          <w:right w:val="nil"/>
          <w:between w:val="nil"/>
        </w:pBdr>
        <w:spacing w:before="120" w:after="120" w:line="300" w:lineRule="atLeast"/>
        <w:jc w:val="both"/>
        <w:rPr>
          <w:lang w:val="en-GB"/>
        </w:rPr>
      </w:pPr>
      <w:r w:rsidRPr="00585205">
        <w:rPr>
          <w:lang w:val="en-GB"/>
        </w:rPr>
        <w:t>Taking measures to enhance women</w:t>
      </w:r>
      <w:r w:rsidRPr="00585205" w:rsidR="00315391">
        <w:rPr>
          <w:lang w:val="en-GB"/>
        </w:rPr>
        <w:t>’s</w:t>
      </w:r>
      <w:r w:rsidRPr="00585205">
        <w:rPr>
          <w:lang w:val="en-GB"/>
        </w:rPr>
        <w:t xml:space="preserve"> participation and leadership in community or informal justice mechanisms</w:t>
      </w:r>
      <w:r w:rsidR="00045461">
        <w:rPr>
          <w:lang w:val="en-GB"/>
        </w:rPr>
        <w:t>.</w:t>
      </w:r>
    </w:p>
    <w:p w:rsidRPr="009F7561" w:rsidR="003B0E6F" w:rsidP="00E96F61" w:rsidRDefault="003B0E6F" w14:paraId="16BFBCAE" w14:textId="77777777">
      <w:pPr>
        <w:numPr>
          <w:ilvl w:val="0"/>
          <w:numId w:val="7"/>
        </w:numPr>
        <w:pBdr>
          <w:top w:val="nil"/>
          <w:left w:val="nil"/>
          <w:bottom w:val="nil"/>
          <w:right w:val="nil"/>
          <w:between w:val="nil"/>
        </w:pBdr>
        <w:spacing w:before="120" w:after="120" w:line="300" w:lineRule="atLeast"/>
        <w:jc w:val="both"/>
        <w:rPr>
          <w:lang w:val="en-GB"/>
        </w:rPr>
      </w:pPr>
      <w:r w:rsidRPr="00585205">
        <w:rPr>
          <w:lang w:val="en-GB"/>
        </w:rPr>
        <w:t>Strengthening the relationship or building positive links between formal and informal justice mechanisms; and</w:t>
      </w:r>
    </w:p>
    <w:p w:rsidRPr="009F7561" w:rsidR="003B0E6F" w:rsidP="00E96F61" w:rsidRDefault="003B0E6F" w14:paraId="66BE69B4" w14:textId="77777777">
      <w:pPr>
        <w:numPr>
          <w:ilvl w:val="0"/>
          <w:numId w:val="7"/>
        </w:numPr>
        <w:pBdr>
          <w:top w:val="nil"/>
          <w:left w:val="nil"/>
          <w:bottom w:val="nil"/>
          <w:right w:val="nil"/>
          <w:between w:val="nil"/>
        </w:pBdr>
        <w:spacing w:before="120" w:after="120" w:line="300" w:lineRule="atLeast"/>
        <w:jc w:val="both"/>
        <w:rPr>
          <w:lang w:val="en-GB"/>
        </w:rPr>
      </w:pPr>
      <w:r w:rsidRPr="00585205">
        <w:rPr>
          <w:lang w:val="en-GB"/>
        </w:rPr>
        <w:t>Including an outlet for judicial review for women or others who feel that traditional justice mechanisms have discriminated against them.</w:t>
      </w:r>
    </w:p>
    <w:p w:rsidRPr="00E96F61" w:rsidR="003B0E6F" w:rsidP="00045461" w:rsidRDefault="00E96F61" w14:paraId="7BE6F2EF" w14:textId="5E67727D">
      <w:pPr>
        <w:spacing w:before="120" w:after="120" w:line="300" w:lineRule="atLeast"/>
        <w:jc w:val="both"/>
        <w:rPr>
          <w:i/>
          <w:iCs/>
          <w:color w:val="0070C0"/>
          <w:lang w:val="en-GB"/>
        </w:rPr>
      </w:pPr>
      <w:r w:rsidRPr="00E96F61">
        <w:rPr>
          <w:i/>
          <w:iCs/>
          <w:color w:val="0070C0"/>
          <w:lang w:val="en-GB"/>
        </w:rPr>
        <w:t>[</w:t>
      </w:r>
      <w:r w:rsidRPr="00E96F61" w:rsidR="003B0E6F">
        <w:rPr>
          <w:i/>
          <w:iCs/>
          <w:color w:val="0070C0"/>
          <w:lang w:val="en-GB"/>
        </w:rPr>
        <w:t>List interventions to be undertaken with the informal justice and alternative dispute mechanisms and specify which organ</w:t>
      </w:r>
      <w:r w:rsidRPr="00E96F61" w:rsidR="002D1850">
        <w:rPr>
          <w:i/>
          <w:iCs/>
          <w:color w:val="0070C0"/>
          <w:lang w:val="en-GB"/>
        </w:rPr>
        <w:t>iza</w:t>
      </w:r>
      <w:r w:rsidRPr="00E96F61" w:rsidR="003B0E6F">
        <w:rPr>
          <w:i/>
          <w:iCs/>
          <w:color w:val="0070C0"/>
          <w:lang w:val="en-GB"/>
        </w:rPr>
        <w:t>tions will do this work.</w:t>
      </w:r>
      <w:r w:rsidRPr="00E96F61">
        <w:rPr>
          <w:i/>
          <w:iCs/>
          <w:color w:val="0070C0"/>
          <w:lang w:val="en-GB"/>
        </w:rPr>
        <w:t>]</w:t>
      </w:r>
    </w:p>
    <w:p w:rsidRPr="00C22D9F" w:rsidR="003B0E6F" w:rsidP="00C22D9F" w:rsidRDefault="003B0E6F" w14:paraId="6E69CA56" w14:textId="5E923CFB">
      <w:pPr>
        <w:pStyle w:val="Heading3"/>
      </w:pPr>
      <w:bookmarkStart w:name="_Toc134906282" w:id="115"/>
      <w:bookmarkStart w:name="_Toc142469147" w:id="116"/>
      <w:r w:rsidRPr="00C22D9F">
        <w:t xml:space="preserve">Dignity </w:t>
      </w:r>
      <w:r w:rsidRPr="00C22D9F" w:rsidR="000228CE">
        <w:t>kits</w:t>
      </w:r>
      <w:bookmarkEnd w:id="115"/>
      <w:bookmarkEnd w:id="116"/>
    </w:p>
    <w:tbl>
      <w:tblPr>
        <w:tblStyle w:val="TableGrid"/>
        <w:tblW w:w="0" w:type="auto"/>
        <w:tblLook w:val="04A0" w:firstRow="1" w:lastRow="0" w:firstColumn="1" w:lastColumn="0" w:noHBand="0" w:noVBand="1"/>
      </w:tblPr>
      <w:tblGrid>
        <w:gridCol w:w="9350"/>
      </w:tblGrid>
      <w:tr w:rsidR="009F1486" w:rsidTr="009F1486" w14:paraId="50A3D7A7" w14:textId="77777777">
        <w:tc>
          <w:tcPr>
            <w:tcW w:w="9350" w:type="dxa"/>
          </w:tcPr>
          <w:p w:rsidRPr="002A77C4" w:rsidR="009F1486" w:rsidP="009F1486" w:rsidRDefault="009F1486" w14:paraId="51F486AE" w14:textId="77777777">
            <w:pPr>
              <w:spacing w:before="120" w:after="120" w:line="300" w:lineRule="atLeast"/>
              <w:jc w:val="both"/>
              <w:rPr>
                <w:b/>
                <w:iCs/>
                <w:lang w:val="en-GB"/>
              </w:rPr>
            </w:pPr>
            <w:r w:rsidRPr="002A77C4">
              <w:rPr>
                <w:b/>
                <w:iCs/>
                <w:lang w:val="en-GB"/>
              </w:rPr>
              <w:t>Essential issues to consider</w:t>
            </w:r>
          </w:p>
          <w:p w:rsidRPr="002A77C4" w:rsidR="009F1486" w:rsidP="009F1486" w:rsidRDefault="00B04143" w14:paraId="1A3C18A3" w14:textId="77777777">
            <w:pPr>
              <w:spacing w:before="120" w:after="120" w:line="300" w:lineRule="atLeast"/>
              <w:jc w:val="both"/>
              <w:rPr>
                <w:iCs/>
                <w:lang w:val="en-GB"/>
              </w:rPr>
            </w:pPr>
            <w:sdt>
              <w:sdtPr>
                <w:rPr>
                  <w:iCs/>
                  <w:lang w:val="en-GB"/>
                </w:rPr>
                <w:tag w:val="goog_rdk_75"/>
                <w:id w:val="-110446898"/>
              </w:sdtPr>
              <w:sdtEndPr/>
              <w:sdtContent/>
            </w:sdt>
            <w:r w:rsidRPr="002A77C4" w:rsidR="009F1486">
              <w:rPr>
                <w:iCs/>
                <w:lang w:val="en-GB"/>
              </w:rPr>
              <w:t>Dignity kit content is based on the input and preferences of women and girls in the community and include context-specific items (e.g. headscarves in settings where women cannot appear in public without them). Consult with women and girls to inform dignity kit content, including women and girls’ practices related to menstruation and their preference for menstrual products and whether these are to be provided in-kind or through cash and voucher assistance (see following section).</w:t>
            </w:r>
          </w:p>
          <w:p w:rsidRPr="002A77C4" w:rsidR="009F1486" w:rsidP="009F1486" w:rsidRDefault="009F1486" w14:paraId="59EBC8BB" w14:textId="4205CCF7">
            <w:pPr>
              <w:spacing w:before="120" w:after="120" w:line="300" w:lineRule="atLeast"/>
              <w:jc w:val="both"/>
              <w:rPr>
                <w:iCs/>
                <w:lang w:val="en-GB"/>
              </w:rPr>
            </w:pPr>
            <w:r w:rsidRPr="002A77C4">
              <w:rPr>
                <w:iCs/>
                <w:lang w:val="en-GB"/>
              </w:rPr>
              <w:t>Dignity kit distribution is also an opportunity to reach women and girls and other survivors at risk with information about GBV risks and entry points to GBV services.</w:t>
            </w:r>
          </w:p>
          <w:p w:rsidRPr="002A77C4" w:rsidR="009F1486" w:rsidP="009F1486" w:rsidRDefault="009F1486" w14:paraId="6EBD4A69" w14:textId="77777777">
            <w:pPr>
              <w:spacing w:before="120" w:after="120" w:line="300" w:lineRule="atLeast"/>
              <w:jc w:val="both"/>
              <w:rPr>
                <w:iCs/>
                <w:lang w:val="en-GB"/>
              </w:rPr>
            </w:pPr>
            <w:r w:rsidRPr="002A77C4">
              <w:rPr>
                <w:iCs/>
                <w:lang w:val="en-GB"/>
              </w:rPr>
              <w:t>To identify relevant, appropriate content for dignity kits, organizations consider the following basic parameters: relevance of the items, cultural sensitivity, context, environment, quantity, frequency of distribution and price.</w:t>
            </w:r>
          </w:p>
          <w:p w:rsidRPr="009F1486" w:rsidR="009F1486" w:rsidP="009F1486" w:rsidRDefault="009F1486" w14:paraId="546F65DE" w14:textId="77BEEA7E">
            <w:pPr>
              <w:spacing w:before="120" w:after="120" w:line="300" w:lineRule="atLeast"/>
              <w:jc w:val="both"/>
              <w:rPr>
                <w:lang w:val="en-GB"/>
              </w:rPr>
            </w:pPr>
            <w:r w:rsidRPr="002A77C4">
              <w:rPr>
                <w:iCs/>
                <w:lang w:val="en-GB"/>
              </w:rPr>
              <w:t>Dignity kits may be procured and distributed by WASH or shelter, settlement and recovery actors. GBV programme actors coordinate with other sectors to ensure dignity kits are responsive to the needs of women and girls, maximize the distribution potential of all items and avoid gaps or unnecessary duplication of efforts. (IASC GBV Guidelines, 2015, p. 292.) Whenever possible, questions are integrated into other assessments (e.g. sexual and reproductive health, WASH) to minimize duplication and avoid overburdening women and girls.</w:t>
            </w:r>
            <w:r w:rsidRPr="009F1486">
              <w:rPr>
                <w:i/>
                <w:lang w:val="en-GB"/>
              </w:rPr>
              <w:t xml:space="preserve"> </w:t>
            </w:r>
          </w:p>
        </w:tc>
      </w:tr>
    </w:tbl>
    <w:p w:rsidRPr="009F7561" w:rsidR="003B0E6F" w:rsidP="009F1486" w:rsidRDefault="003B0E6F" w14:paraId="34549D20" w14:textId="27FD7924">
      <w:pPr>
        <w:pBdr>
          <w:top w:val="nil"/>
          <w:left w:val="nil"/>
          <w:bottom w:val="nil"/>
          <w:right w:val="nil"/>
          <w:between w:val="nil"/>
        </w:pBdr>
        <w:spacing w:before="120" w:after="120" w:line="300" w:lineRule="atLeast"/>
        <w:jc w:val="both"/>
        <w:rPr>
          <w:lang w:val="en-GB"/>
        </w:rPr>
      </w:pPr>
      <w:r w:rsidRPr="009F7561">
        <w:rPr>
          <w:lang w:val="en-GB"/>
        </w:rPr>
        <w:t>Women and girls need basic items to interact comfortably in public and maintain personal hygiene, particularly menstrual hygiene. Without access to culturally appropriate clothing and hygiene products, women and adolescent girls are at greater risk of GBV, their health is compromised, their mobility is restricted</w:t>
      </w:r>
      <w:r w:rsidRPr="009F7561" w:rsidR="008A1575">
        <w:rPr>
          <w:lang w:val="en-GB"/>
        </w:rPr>
        <w:t xml:space="preserve"> and </w:t>
      </w:r>
      <w:r w:rsidRPr="009F7561">
        <w:rPr>
          <w:lang w:val="en-GB"/>
        </w:rPr>
        <w:t xml:space="preserve">they may become increasingly isolated. </w:t>
      </w:r>
    </w:p>
    <w:p w:rsidRPr="009F7561" w:rsidR="003B0E6F" w:rsidP="009F1486" w:rsidRDefault="003B0E6F" w14:paraId="419A0EAD" w14:textId="77777777">
      <w:pPr>
        <w:pBdr>
          <w:top w:val="nil"/>
          <w:left w:val="nil"/>
          <w:bottom w:val="nil"/>
          <w:right w:val="nil"/>
          <w:between w:val="nil"/>
        </w:pBdr>
        <w:spacing w:before="120" w:after="120" w:line="300" w:lineRule="atLeast"/>
        <w:jc w:val="both"/>
        <w:rPr>
          <w:lang w:val="en-GB"/>
        </w:rPr>
      </w:pPr>
      <w:r w:rsidRPr="009F7561">
        <w:rPr>
          <w:lang w:val="en-GB"/>
        </w:rPr>
        <w:t>Humanitarian actors often distribute dignity kits that typically contain menstrual hygiene materials, soap, underwear and information on available GBV services, including where and how to access those services. Dignity kits may also include items that may help mitigate GBV risks such as radios, whistles and lights.</w:t>
      </w:r>
      <w:r w:rsidRPr="009F7561">
        <w:rPr>
          <w:vertAlign w:val="superscript"/>
          <w:lang w:val="en-GB"/>
        </w:rPr>
        <w:footnoteReference w:id="117"/>
      </w:r>
    </w:p>
    <w:p w:rsidRPr="009F7561" w:rsidR="003B0E6F" w:rsidP="009F1486" w:rsidRDefault="003B0E6F" w14:paraId="6AE9123A" w14:textId="1F3FD768">
      <w:pPr>
        <w:pBdr>
          <w:top w:val="nil"/>
          <w:left w:val="nil"/>
          <w:bottom w:val="nil"/>
          <w:right w:val="nil"/>
          <w:between w:val="nil"/>
        </w:pBdr>
        <w:spacing w:before="120" w:after="120" w:line="300" w:lineRule="atLeast"/>
        <w:jc w:val="both"/>
        <w:rPr>
          <w:lang w:val="en-GB"/>
        </w:rPr>
      </w:pPr>
      <w:r w:rsidRPr="009F7561">
        <w:rPr>
          <w:lang w:val="en-GB"/>
        </w:rPr>
        <w:t>To reduce risk of GBV and other violence, dignity kit distribution outside of GBV specialized services include</w:t>
      </w:r>
      <w:r w:rsidR="00050660">
        <w:rPr>
          <w:lang w:val="en-GB"/>
        </w:rPr>
        <w:t>s</w:t>
      </w:r>
      <w:r w:rsidRPr="009F7561">
        <w:rPr>
          <w:lang w:val="en-GB"/>
        </w:rPr>
        <w:t xml:space="preserve"> multiple categories of women (e.g. women heads of households, women with disabilities</w:t>
      </w:r>
      <w:r w:rsidRPr="009F7561" w:rsidR="00050660">
        <w:rPr>
          <w:lang w:val="en-GB"/>
        </w:rPr>
        <w:t>)</w:t>
      </w:r>
      <w:r w:rsidR="00050660">
        <w:rPr>
          <w:lang w:val="en-GB"/>
        </w:rPr>
        <w:t xml:space="preserve"> and</w:t>
      </w:r>
      <w:r w:rsidRPr="009F7561" w:rsidR="00050660">
        <w:rPr>
          <w:lang w:val="en-GB"/>
        </w:rPr>
        <w:t xml:space="preserve"> </w:t>
      </w:r>
      <w:r w:rsidR="00050660">
        <w:rPr>
          <w:lang w:val="en-GB"/>
        </w:rPr>
        <w:t xml:space="preserve">does </w:t>
      </w:r>
      <w:r w:rsidRPr="009F7561">
        <w:rPr>
          <w:lang w:val="en-GB"/>
        </w:rPr>
        <w:t>not target GBV survivors only.</w:t>
      </w:r>
    </w:p>
    <w:p w:rsidRPr="009F7561" w:rsidR="00046382" w:rsidP="009F1486" w:rsidRDefault="003B0E6F" w14:paraId="55E32863" w14:textId="55FABC47">
      <w:pPr>
        <w:pBdr>
          <w:top w:val="nil"/>
          <w:left w:val="nil"/>
          <w:bottom w:val="nil"/>
          <w:right w:val="nil"/>
          <w:between w:val="nil"/>
        </w:pBdr>
        <w:spacing w:before="120" w:after="120" w:line="300" w:lineRule="atLeast"/>
        <w:jc w:val="both"/>
        <w:rPr>
          <w:lang w:val="en-GB"/>
        </w:rPr>
      </w:pPr>
      <w:r w:rsidRPr="009F7561">
        <w:rPr>
          <w:lang w:val="en-GB"/>
        </w:rPr>
        <w:t>It is important to conduct post-distribution monitoring to assess the distribution results, whether the right beneficiaries received the kits or any risks resulted from the distribution.</w:t>
      </w:r>
      <w:r w:rsidRPr="009F7561">
        <w:rPr>
          <w:vertAlign w:val="superscript"/>
          <w:lang w:val="en-GB"/>
        </w:rPr>
        <w:footnoteReference w:id="118"/>
      </w:r>
      <w:r w:rsidRPr="009F7561">
        <w:rPr>
          <w:lang w:val="en-GB"/>
        </w:rPr>
        <w:t xml:space="preserve"> </w:t>
      </w:r>
      <w:r w:rsidRPr="009F7561" w:rsidR="00046382">
        <w:rPr>
          <w:lang w:val="en-GB"/>
        </w:rPr>
        <w:t xml:space="preserve">For further information see section 6.1 on </w:t>
      </w:r>
      <w:r w:rsidRPr="009F7561" w:rsidR="000228CE">
        <w:rPr>
          <w:lang w:val="en-GB"/>
        </w:rPr>
        <w:t>menstrual hygiene management.</w:t>
      </w:r>
    </w:p>
    <w:p w:rsidRPr="00C22D9F" w:rsidR="003B0E6F" w:rsidP="00C22D9F" w:rsidRDefault="00134A5A" w14:paraId="60A3ED99" w14:textId="217AE374">
      <w:pPr>
        <w:pBdr>
          <w:top w:val="nil"/>
          <w:left w:val="nil"/>
          <w:bottom w:val="nil"/>
          <w:right w:val="nil"/>
          <w:between w:val="nil"/>
        </w:pBdr>
        <w:spacing w:before="120" w:after="120" w:line="300" w:lineRule="atLeast"/>
        <w:jc w:val="both"/>
        <w:rPr>
          <w:i/>
          <w:iCs/>
          <w:color w:val="0070C0"/>
          <w:lang w:val="en-GB"/>
        </w:rPr>
      </w:pPr>
      <w:r w:rsidRPr="00C22D9F">
        <w:rPr>
          <w:i/>
          <w:iCs/>
          <w:color w:val="0070C0"/>
          <w:lang w:val="en-GB"/>
        </w:rPr>
        <w:t>[</w:t>
      </w:r>
      <w:r w:rsidRPr="00C22D9F" w:rsidR="003B0E6F">
        <w:rPr>
          <w:i/>
          <w:iCs/>
          <w:color w:val="0070C0"/>
          <w:lang w:val="en-GB"/>
        </w:rPr>
        <w:t>List organ</w:t>
      </w:r>
      <w:r w:rsidRPr="00C22D9F" w:rsidR="002D1850">
        <w:rPr>
          <w:i/>
          <w:iCs/>
          <w:color w:val="0070C0"/>
          <w:lang w:val="en-GB"/>
        </w:rPr>
        <w:t>iza</w:t>
      </w:r>
      <w:r w:rsidRPr="00C22D9F" w:rsidR="003B0E6F">
        <w:rPr>
          <w:i/>
          <w:iCs/>
          <w:color w:val="0070C0"/>
          <w:lang w:val="en-GB"/>
        </w:rPr>
        <w:t>tions that distribute dignity kits or any other non-food items. Describe any agreed</w:t>
      </w:r>
      <w:r w:rsidRPr="00C22D9F" w:rsidR="00B05A06">
        <w:rPr>
          <w:i/>
          <w:iCs/>
          <w:color w:val="0070C0"/>
          <w:lang w:val="en-GB"/>
        </w:rPr>
        <w:t xml:space="preserve"> </w:t>
      </w:r>
      <w:r w:rsidRPr="00C22D9F" w:rsidR="003B0E6F">
        <w:rPr>
          <w:i/>
          <w:iCs/>
          <w:color w:val="0070C0"/>
          <w:lang w:val="en-GB"/>
        </w:rPr>
        <w:t>standardized contents of kits, pre-positioning of kits</w:t>
      </w:r>
      <w:r w:rsidRPr="00C22D9F" w:rsidR="008A1575">
        <w:rPr>
          <w:i/>
          <w:iCs/>
          <w:color w:val="0070C0"/>
          <w:lang w:val="en-GB"/>
        </w:rPr>
        <w:t xml:space="preserve"> and </w:t>
      </w:r>
      <w:r w:rsidRPr="00C22D9F" w:rsidR="003B0E6F">
        <w:rPr>
          <w:i/>
          <w:iCs/>
          <w:color w:val="0070C0"/>
          <w:lang w:val="en-GB"/>
        </w:rPr>
        <w:t>agreements on consultations (either conducted</w:t>
      </w:r>
      <w:r w:rsidRPr="00C22D9F" w:rsidR="00461384">
        <w:rPr>
          <w:i/>
          <w:iCs/>
          <w:color w:val="0070C0"/>
          <w:lang w:val="en-GB"/>
        </w:rPr>
        <w:t xml:space="preserve"> or </w:t>
      </w:r>
      <w:r w:rsidRPr="00C22D9F" w:rsidR="003B0E6F">
        <w:rPr>
          <w:i/>
          <w:iCs/>
          <w:color w:val="0070C0"/>
          <w:lang w:val="en-GB"/>
        </w:rPr>
        <w:t>agreed processes for these to take place) and post-distribution monitoring feedback mechanisms.</w:t>
      </w:r>
    </w:p>
    <w:p w:rsidRPr="00C22D9F" w:rsidR="003B0E6F" w:rsidP="00C22D9F" w:rsidRDefault="003B0E6F" w14:paraId="0325E073" w14:textId="42245B93">
      <w:pPr>
        <w:pBdr>
          <w:top w:val="nil"/>
          <w:left w:val="nil"/>
          <w:bottom w:val="nil"/>
          <w:right w:val="nil"/>
          <w:between w:val="nil"/>
        </w:pBdr>
        <w:spacing w:before="120" w:after="120" w:line="300" w:lineRule="atLeast"/>
        <w:jc w:val="both"/>
        <w:rPr>
          <w:i/>
          <w:iCs/>
          <w:color w:val="0070C0"/>
          <w:lang w:val="en-GB"/>
        </w:rPr>
      </w:pPr>
      <w:r w:rsidRPr="00C22D9F">
        <w:rPr>
          <w:i/>
          <w:iCs/>
          <w:color w:val="0070C0"/>
          <w:lang w:val="en-GB"/>
        </w:rPr>
        <w:t xml:space="preserve">List agreements between sectors (e.g. GBV and WASH) on coordination of dignity kit contents and distribution, including but not limited </w:t>
      </w:r>
      <w:r w:rsidRPr="00C22D9F" w:rsidR="00742536">
        <w:rPr>
          <w:i/>
          <w:iCs/>
          <w:color w:val="0070C0"/>
          <w:lang w:val="en-GB"/>
        </w:rPr>
        <w:t>to</w:t>
      </w:r>
      <w:r w:rsidRPr="00C22D9F">
        <w:rPr>
          <w:i/>
          <w:iCs/>
          <w:color w:val="0070C0"/>
          <w:lang w:val="en-GB"/>
        </w:rPr>
        <w:t xml:space="preserve"> the items distributed, the intended beneficiaries of distributions, referrals of survivors between sectors</w:t>
      </w:r>
      <w:r w:rsidRPr="00C22D9F" w:rsidR="008A1575">
        <w:rPr>
          <w:i/>
          <w:iCs/>
          <w:color w:val="0070C0"/>
          <w:lang w:val="en-GB"/>
        </w:rPr>
        <w:t xml:space="preserve"> and </w:t>
      </w:r>
      <w:r w:rsidRPr="00C22D9F" w:rsidR="000228CE">
        <w:rPr>
          <w:i/>
          <w:iCs/>
          <w:color w:val="0070C0"/>
          <w:lang w:val="en-GB"/>
        </w:rPr>
        <w:t xml:space="preserve">the </w:t>
      </w:r>
      <w:r w:rsidRPr="00C22D9F">
        <w:rPr>
          <w:i/>
          <w:iCs/>
          <w:color w:val="0070C0"/>
          <w:lang w:val="en-GB"/>
        </w:rPr>
        <w:t xml:space="preserve">sharing </w:t>
      </w:r>
      <w:r w:rsidRPr="00C22D9F" w:rsidR="000228CE">
        <w:rPr>
          <w:i/>
          <w:iCs/>
          <w:color w:val="0070C0"/>
          <w:lang w:val="en-GB"/>
        </w:rPr>
        <w:t xml:space="preserve">of </w:t>
      </w:r>
      <w:r w:rsidRPr="00C22D9F">
        <w:rPr>
          <w:i/>
          <w:iCs/>
          <w:color w:val="0070C0"/>
          <w:lang w:val="en-GB"/>
        </w:rPr>
        <w:t>distribution data.</w:t>
      </w:r>
      <w:r w:rsidRPr="00C22D9F" w:rsidR="00134A5A">
        <w:rPr>
          <w:i/>
          <w:iCs/>
          <w:color w:val="0070C0"/>
          <w:lang w:val="en-GB"/>
        </w:rPr>
        <w:t>]</w:t>
      </w:r>
    </w:p>
    <w:p w:rsidRPr="00C13B26" w:rsidR="003B0E6F" w:rsidP="00C22D9F" w:rsidRDefault="003B0E6F" w14:paraId="60C83B7D" w14:textId="7FE6D6C8">
      <w:pPr>
        <w:pStyle w:val="Heading3"/>
      </w:pPr>
      <w:bookmarkStart w:name="_Toc134906283" w:id="118"/>
      <w:bookmarkStart w:name="_Toc142469148" w:id="119"/>
      <w:r w:rsidRPr="00C13B26">
        <w:t xml:space="preserve">Cash &amp; </w:t>
      </w:r>
      <w:r w:rsidRPr="00C13B26" w:rsidR="000228CE">
        <w:t>voucher assistance</w:t>
      </w:r>
      <w:r w:rsidR="009F1486">
        <w:rPr>
          <w:rStyle w:val="FootnoteReference"/>
        </w:rPr>
        <w:footnoteReference w:id="119"/>
      </w:r>
      <w:r w:rsidRPr="00C13B26">
        <w:t xml:space="preserve"> (see also </w:t>
      </w:r>
      <w:r w:rsidRPr="00C13B26" w:rsidR="00CB5A06">
        <w:t>section</w:t>
      </w:r>
      <w:r w:rsidRPr="00C13B26">
        <w:t xml:space="preserve"> 6.3)</w:t>
      </w:r>
      <w:bookmarkEnd w:id="118"/>
      <w:bookmarkEnd w:id="119"/>
    </w:p>
    <w:tbl>
      <w:tblPr>
        <w:tblStyle w:val="TableGrid"/>
        <w:tblW w:w="0" w:type="auto"/>
        <w:tblLook w:val="04A0" w:firstRow="1" w:lastRow="0" w:firstColumn="1" w:lastColumn="0" w:noHBand="0" w:noVBand="1"/>
      </w:tblPr>
      <w:tblGrid>
        <w:gridCol w:w="9350"/>
      </w:tblGrid>
      <w:tr w:rsidR="009F1486" w:rsidTr="009F1486" w14:paraId="0CB196BD" w14:textId="77777777">
        <w:tc>
          <w:tcPr>
            <w:tcW w:w="9350" w:type="dxa"/>
          </w:tcPr>
          <w:p w:rsidRPr="009F7561" w:rsidR="00796448" w:rsidP="00796448" w:rsidRDefault="00796448" w14:paraId="28D2B19B" w14:textId="77777777">
            <w:pPr>
              <w:spacing w:before="120" w:after="120" w:line="300" w:lineRule="atLeast"/>
              <w:jc w:val="both"/>
              <w:rPr>
                <w:b/>
                <w:highlight w:val="white"/>
                <w:lang w:val="en-GB"/>
              </w:rPr>
            </w:pPr>
            <w:r w:rsidRPr="009F7561">
              <w:rPr>
                <w:b/>
                <w:highlight w:val="white"/>
                <w:lang w:val="en-GB"/>
              </w:rPr>
              <w:t>Essential issues to consider</w:t>
            </w:r>
          </w:p>
          <w:p w:rsidRPr="009F7561" w:rsidR="00796448" w:rsidP="00796448" w:rsidRDefault="00796448" w14:paraId="35F44FC4" w14:textId="77777777">
            <w:pPr>
              <w:spacing w:before="120" w:after="120" w:line="300" w:lineRule="atLeast"/>
              <w:jc w:val="both"/>
              <w:rPr>
                <w:highlight w:val="white"/>
                <w:lang w:val="en-GB"/>
              </w:rPr>
            </w:pPr>
            <w:r w:rsidRPr="009F7561">
              <w:rPr>
                <w:highlight w:val="white"/>
                <w:lang w:val="en-GB"/>
              </w:rPr>
              <w:t xml:space="preserve">Cash and voucher assistance (CVA) refers to all programmes where cash transfers or vouchers </w:t>
            </w:r>
            <w:r w:rsidRPr="00585205">
              <w:rPr>
                <w:spacing w:val="-2"/>
                <w:highlight w:val="white"/>
                <w:lang w:val="en-GB"/>
              </w:rPr>
              <w:t>for goods or services are provided directly to recipients. In the context of humanitarian assistance</w:t>
            </w:r>
            <w:r w:rsidRPr="009F7561">
              <w:rPr>
                <w:highlight w:val="white"/>
                <w:lang w:val="en-GB"/>
              </w:rPr>
              <w:t>, the term is used to refer to the provision of cash transfers or vouchers to individuals and household or community recipients only (not to governments or other State actors). The terms “cash” or “cash assistance” refer specifically to cash transfers (and do not include vouchers).</w:t>
            </w:r>
          </w:p>
          <w:p w:rsidR="009F1486" w:rsidP="00796448" w:rsidRDefault="00796448" w14:paraId="49062B22" w14:textId="741E0499">
            <w:pPr>
              <w:spacing w:before="120" w:after="120" w:line="300" w:lineRule="atLeast"/>
              <w:jc w:val="both"/>
              <w:rPr>
                <w:b/>
                <w:highlight w:val="white"/>
                <w:lang w:val="en-GB"/>
              </w:rPr>
            </w:pPr>
            <w:r w:rsidRPr="00585205">
              <w:rPr>
                <w:spacing w:val="-4"/>
                <w:highlight w:val="white"/>
                <w:lang w:val="en-GB"/>
              </w:rPr>
              <w:t xml:space="preserve">Cash </w:t>
            </w:r>
            <w:r>
              <w:rPr>
                <w:spacing w:val="-4"/>
                <w:highlight w:val="white"/>
                <w:lang w:val="en-GB"/>
              </w:rPr>
              <w:t xml:space="preserve">is </w:t>
            </w:r>
            <w:r w:rsidRPr="00585205">
              <w:rPr>
                <w:spacing w:val="-4"/>
                <w:highlight w:val="white"/>
                <w:lang w:val="en-GB"/>
              </w:rPr>
              <w:t xml:space="preserve">(1) a way to mitigate GBV risks and/or (2) a component of survivor centred GBV case management services. </w:t>
            </w:r>
            <w:r w:rsidRPr="00585205">
              <w:rPr>
                <w:spacing w:val="-4"/>
                <w:lang w:val="en-GB"/>
              </w:rPr>
              <w:t xml:space="preserve">Cash can be lifesaving; for example, it can help a survivor meet the costs (e.g. rent, temporary shelter, transportation, food, clothing) associated with fleeing an abusive relationship. </w:t>
            </w:r>
            <w:r w:rsidRPr="00585205">
              <w:rPr>
                <w:spacing w:val="-4"/>
                <w:highlight w:val="white"/>
                <w:lang w:val="en-GB"/>
              </w:rPr>
              <w:t xml:space="preserve">In situations where core GBV response services (e.g. health, safe shelter or legal </w:t>
            </w:r>
            <w:r w:rsidRPr="00585205">
              <w:rPr>
                <w:spacing w:val="-4"/>
                <w:highlight w:val="white"/>
                <w:lang w:val="en-GB"/>
              </w:rPr>
              <w:t xml:space="preserve">services) have associated costs and/or are not available free of charge, cash transfers facilitate access and support recovery. </w:t>
            </w:r>
          </w:p>
        </w:tc>
      </w:tr>
    </w:tbl>
    <w:p w:rsidRPr="009F7561" w:rsidR="003B0E6F" w:rsidP="00796448" w:rsidRDefault="003B0E6F" w14:paraId="7E1B3BE3" w14:textId="4440E6CB">
      <w:pPr>
        <w:spacing w:before="120" w:after="120" w:line="300" w:lineRule="atLeast"/>
        <w:jc w:val="both"/>
        <w:rPr>
          <w:highlight w:val="magenta"/>
          <w:lang w:val="en-GB"/>
        </w:rPr>
      </w:pPr>
      <w:r w:rsidRPr="00585205">
        <w:rPr>
          <w:spacing w:val="-4"/>
          <w:highlight w:val="white"/>
          <w:lang w:val="en-GB"/>
        </w:rPr>
        <w:t xml:space="preserve">This section describes CVA as part of GBV case management services. For more information on CVA as part of GBV risk mitigation, see </w:t>
      </w:r>
      <w:r w:rsidRPr="00585205" w:rsidR="00CB5A06">
        <w:rPr>
          <w:spacing w:val="-4"/>
          <w:lang w:val="en-GB"/>
        </w:rPr>
        <w:t>section</w:t>
      </w:r>
      <w:r w:rsidRPr="00585205">
        <w:rPr>
          <w:spacing w:val="-4"/>
          <w:lang w:val="en-GB"/>
        </w:rPr>
        <w:t xml:space="preserve"> 6.</w:t>
      </w:r>
      <w:r w:rsidRPr="00585205" w:rsidR="00C00163">
        <w:rPr>
          <w:spacing w:val="-4"/>
          <w:lang w:val="en-GB"/>
        </w:rPr>
        <w:t>3</w:t>
      </w:r>
      <w:r w:rsidRPr="009F7561">
        <w:rPr>
          <w:lang w:val="en-GB"/>
        </w:rPr>
        <w:t>.</w:t>
      </w:r>
    </w:p>
    <w:p w:rsidRPr="009F7561" w:rsidR="003B0E6F" w:rsidP="00796448" w:rsidRDefault="003B0E6F" w14:paraId="186A1CCE" w14:textId="0973FE11">
      <w:pPr>
        <w:spacing w:before="120" w:after="120" w:line="300" w:lineRule="atLeast"/>
        <w:jc w:val="both"/>
        <w:rPr>
          <w:highlight w:val="white"/>
          <w:lang w:val="en-GB"/>
        </w:rPr>
      </w:pPr>
      <w:r w:rsidRPr="00585205">
        <w:rPr>
          <w:spacing w:val="-3"/>
          <w:highlight w:val="white"/>
          <w:lang w:val="en-GB"/>
        </w:rPr>
        <w:t>GBV case management should assess any financial needs that a survivor might have (</w:t>
      </w:r>
      <w:r w:rsidRPr="00585205" w:rsidR="000228CE">
        <w:rPr>
          <w:spacing w:val="-3"/>
          <w:highlight w:val="white"/>
          <w:lang w:val="en-GB"/>
        </w:rPr>
        <w:t>for example</w:t>
      </w:r>
      <w:r w:rsidRPr="009F7561" w:rsidR="000228CE">
        <w:rPr>
          <w:highlight w:val="white"/>
          <w:lang w:val="en-GB"/>
        </w:rPr>
        <w:t xml:space="preserve"> </w:t>
      </w:r>
      <w:r w:rsidRPr="009F7561">
        <w:rPr>
          <w:highlight w:val="white"/>
          <w:lang w:val="en-GB"/>
        </w:rPr>
        <w:t>that may hinder service access) and refer the client for cash assistance (whether the service is provided directly by the case management actor or other actors providing cash support). Cash works best when it complements rather than replaces other types of assistance and services within GBV case management. It should be viewed as</w:t>
      </w:r>
      <w:r w:rsidR="00050660">
        <w:rPr>
          <w:highlight w:val="white"/>
          <w:lang w:val="en-GB"/>
        </w:rPr>
        <w:t xml:space="preserve"> </w:t>
      </w:r>
      <w:r w:rsidRPr="009F7561">
        <w:rPr>
          <w:highlight w:val="white"/>
          <w:lang w:val="en-GB"/>
        </w:rPr>
        <w:t>one option among GBV response services and wider prevention and empowerment efforts.</w:t>
      </w:r>
    </w:p>
    <w:p w:rsidRPr="009F7561" w:rsidR="003B0E6F" w:rsidP="00796448" w:rsidRDefault="003B0E6F" w14:paraId="28CDDFC2" w14:textId="1C45F3A2">
      <w:pPr>
        <w:spacing w:before="120" w:after="120" w:line="300" w:lineRule="atLeast"/>
        <w:jc w:val="both"/>
        <w:rPr>
          <w:lang w:val="en-GB"/>
        </w:rPr>
      </w:pPr>
      <w:r w:rsidRPr="009F7561">
        <w:rPr>
          <w:lang w:val="en-GB"/>
        </w:rPr>
        <w:t xml:space="preserve">GBV programme actors in humanitarian settings must establish clear internal or </w:t>
      </w:r>
      <w:r w:rsidR="001E5896">
        <w:rPr>
          <w:lang w:val="en-GB"/>
        </w:rPr>
        <w:t>i</w:t>
      </w:r>
      <w:r w:rsidR="00D15C40">
        <w:rPr>
          <w:lang w:val="en-GB"/>
        </w:rPr>
        <w:t>nter-agency</w:t>
      </w:r>
      <w:r w:rsidRPr="009F7561">
        <w:rPr>
          <w:lang w:val="en-GB"/>
        </w:rPr>
        <w:t xml:space="preserve"> protocols to outline the roles and responsibilities of cash and GBV programme actors to ensure the availability of quality services and timely and accessible care for survivors.</w:t>
      </w:r>
    </w:p>
    <w:p w:rsidRPr="00585205" w:rsidR="003B0E6F" w:rsidP="00796448" w:rsidRDefault="003B0E6F" w14:paraId="169AD687" w14:textId="77777777">
      <w:pPr>
        <w:spacing w:before="120" w:after="120" w:line="300" w:lineRule="atLeast"/>
        <w:jc w:val="both"/>
        <w:rPr>
          <w:lang w:val="en-GB"/>
        </w:rPr>
      </w:pPr>
      <w:r w:rsidRPr="00585205">
        <w:rPr>
          <w:lang w:val="en-GB"/>
        </w:rPr>
        <w:t xml:space="preserve">Coordination between cash and GBV programme actors is essential to prioritizing clients and </w:t>
      </w:r>
      <w:r w:rsidRPr="00585205">
        <w:rPr>
          <w:spacing w:val="-3"/>
          <w:lang w:val="en-GB"/>
        </w:rPr>
        <w:t>developing systems and procedures that effectively meet the specific needs of diverse populations</w:t>
      </w:r>
      <w:r w:rsidRPr="00585205">
        <w:rPr>
          <w:lang w:val="en-GB"/>
        </w:rPr>
        <w:t>, including women and girls at increased risk of GBV, while preserving confidentiality and safety.</w:t>
      </w:r>
    </w:p>
    <w:p w:rsidRPr="00C22D9F" w:rsidR="003B0E6F" w:rsidP="00796448" w:rsidRDefault="00C22D9F" w14:paraId="2156AB40" w14:textId="64EFDF1C">
      <w:pPr>
        <w:spacing w:before="120" w:after="120" w:line="300" w:lineRule="atLeast"/>
        <w:jc w:val="both"/>
        <w:rPr>
          <w:i/>
          <w:iCs/>
          <w:color w:val="0070C0"/>
          <w:lang w:val="en-GB"/>
        </w:rPr>
      </w:pPr>
      <w:r w:rsidRPr="00C22D9F">
        <w:rPr>
          <w:i/>
          <w:iCs/>
          <w:color w:val="0070C0"/>
          <w:spacing w:val="-2"/>
          <w:lang w:val="en-GB"/>
        </w:rPr>
        <w:t>[</w:t>
      </w:r>
      <w:r w:rsidRPr="00C22D9F" w:rsidR="003B0E6F">
        <w:rPr>
          <w:i/>
          <w:iCs/>
          <w:color w:val="0070C0"/>
          <w:spacing w:val="-2"/>
          <w:lang w:val="en-GB"/>
        </w:rPr>
        <w:t>List here any organ</w:t>
      </w:r>
      <w:r w:rsidRPr="00C22D9F" w:rsidR="002D1850">
        <w:rPr>
          <w:i/>
          <w:iCs/>
          <w:color w:val="0070C0"/>
          <w:spacing w:val="-2"/>
          <w:lang w:val="en-GB"/>
        </w:rPr>
        <w:t>iza</w:t>
      </w:r>
      <w:r w:rsidRPr="00C22D9F" w:rsidR="003B0E6F">
        <w:rPr>
          <w:i/>
          <w:iCs/>
          <w:color w:val="0070C0"/>
          <w:spacing w:val="-2"/>
          <w:lang w:val="en-GB"/>
        </w:rPr>
        <w:t>tions that distribute cash to women, girls or survivors of GBV and reference</w:t>
      </w:r>
      <w:r w:rsidRPr="00C22D9F" w:rsidR="003B0E6F">
        <w:rPr>
          <w:i/>
          <w:iCs/>
          <w:color w:val="0070C0"/>
          <w:lang w:val="en-GB"/>
        </w:rPr>
        <w:t xml:space="preserve"> any </w:t>
      </w:r>
      <w:r w:rsidRPr="00C22D9F" w:rsidR="00D15C40">
        <w:rPr>
          <w:i/>
          <w:iCs/>
          <w:color w:val="0070C0"/>
          <w:lang w:val="en-GB"/>
        </w:rPr>
        <w:t>inter-agency</w:t>
      </w:r>
      <w:r w:rsidRPr="00C22D9F" w:rsidR="003B0E6F">
        <w:rPr>
          <w:i/>
          <w:iCs/>
          <w:color w:val="0070C0"/>
          <w:lang w:val="en-GB"/>
        </w:rPr>
        <w:t xml:space="preserve"> protocols, SOPs or action plans between cash and GBV programme actors.</w:t>
      </w:r>
      <w:r w:rsidRPr="00C22D9F">
        <w:rPr>
          <w:i/>
          <w:iCs/>
          <w:color w:val="0070C0"/>
          <w:lang w:val="en-GB"/>
        </w:rPr>
        <w:t>]</w:t>
      </w:r>
    </w:p>
    <w:tbl>
      <w:tblPr>
        <w:tblStyle w:val="TableGrid"/>
        <w:tblW w:w="0" w:type="auto"/>
        <w:tblLook w:val="04A0" w:firstRow="1" w:lastRow="0" w:firstColumn="1" w:lastColumn="0" w:noHBand="0" w:noVBand="1"/>
      </w:tblPr>
      <w:tblGrid>
        <w:gridCol w:w="9350"/>
      </w:tblGrid>
      <w:tr w:rsidR="00796448" w:rsidTr="00796448" w14:paraId="572D7D98" w14:textId="77777777">
        <w:tc>
          <w:tcPr>
            <w:tcW w:w="9350" w:type="dxa"/>
          </w:tcPr>
          <w:p w:rsidRPr="009F7561" w:rsidR="00796448" w:rsidP="00796448" w:rsidRDefault="00796448" w14:paraId="7BE46B1A" w14:textId="77777777">
            <w:pPr>
              <w:spacing w:before="120" w:after="120" w:line="300" w:lineRule="atLeast"/>
              <w:jc w:val="both"/>
              <w:rPr>
                <w:lang w:val="en-GB"/>
              </w:rPr>
            </w:pPr>
            <w:r w:rsidRPr="009F7561">
              <w:rPr>
                <w:b/>
                <w:lang w:val="en-GB"/>
              </w:rPr>
              <w:t>Case study: Establishing a cash working group and gender-based violence sub-cluster task force</w:t>
            </w:r>
            <w:r w:rsidRPr="009F7561">
              <w:rPr>
                <w:b/>
                <w:vertAlign w:val="superscript"/>
                <w:lang w:val="en-GB"/>
              </w:rPr>
              <w:footnoteReference w:id="120"/>
            </w:r>
            <w:r w:rsidRPr="009F7561">
              <w:rPr>
                <w:sz w:val="42"/>
                <w:szCs w:val="42"/>
                <w:lang w:val="en-GB"/>
              </w:rPr>
              <w:t xml:space="preserve"> </w:t>
            </w:r>
          </w:p>
          <w:p w:rsidR="00796448" w:rsidP="00796448" w:rsidRDefault="00796448" w14:paraId="7E1A6F51" w14:textId="6B53D9DA">
            <w:pPr>
              <w:spacing w:before="120" w:after="120" w:line="300" w:lineRule="atLeast"/>
              <w:jc w:val="both"/>
              <w:rPr>
                <w:b/>
                <w:lang w:val="en-GB"/>
              </w:rPr>
            </w:pPr>
            <w:r w:rsidRPr="009F7561">
              <w:rPr>
                <w:lang w:val="en-GB"/>
              </w:rPr>
              <w:t>In Northwest Syria, the Cash Working Group and the GBV Sub-Cluster established a task force to build bridges between GBV and CVA actors. The task force has</w:t>
            </w:r>
            <w:r>
              <w:rPr>
                <w:lang w:val="en-GB"/>
              </w:rPr>
              <w:t xml:space="preserve"> </w:t>
            </w:r>
            <w:r w:rsidRPr="009F7561">
              <w:rPr>
                <w:lang w:val="en-GB"/>
              </w:rPr>
              <w:t>focused on strengthening partner capacities to enable systematic referrals from GBV case management to CVA to transition GBV survivors from relief to recovery. Task force members are all active GBV Sub-Cluster and Cash Working Group members working in GBV response and programming with CVA. The task force engagement with other clusters</w:t>
            </w:r>
            <w:r w:rsidRPr="009F7561">
              <w:rPr>
                <w:sz w:val="14"/>
                <w:szCs w:val="14"/>
                <w:lang w:val="en-GB"/>
              </w:rPr>
              <w:t xml:space="preserve"> </w:t>
            </w:r>
            <w:r w:rsidRPr="009F7561">
              <w:rPr>
                <w:lang w:val="en-GB"/>
              </w:rPr>
              <w:t xml:space="preserve">has widened the scope of implementing partners to </w:t>
            </w:r>
            <w:r>
              <w:rPr>
                <w:lang w:val="en-GB"/>
              </w:rPr>
              <w:t xml:space="preserve">help </w:t>
            </w:r>
            <w:r w:rsidRPr="009F7561">
              <w:rPr>
                <w:lang w:val="en-GB"/>
              </w:rPr>
              <w:t>GBV survivors gain access to livelihood opportunities, safe shelter and other forms of assistance. The task force and its objectives have buy-in from Cash Working Group and GBV Sub-Cluster partners alike. Key learnings so far relate to establishing collaboration between GBV and CVA actors and to recognize how they – and not least rights holders – can benefit from the collaboration. CVA is recognized as a resource to access services and meet priority needs for GBV survivors and women and girls at risk</w:t>
            </w:r>
            <w:r>
              <w:rPr>
                <w:lang w:val="en-GB"/>
              </w:rPr>
              <w:t>.</w:t>
            </w:r>
            <w:r w:rsidRPr="009F7561">
              <w:rPr>
                <w:lang w:val="en-GB"/>
              </w:rPr>
              <w:t xml:space="preserve"> However</w:t>
            </w:r>
            <w:r>
              <w:rPr>
                <w:lang w:val="en-GB"/>
              </w:rPr>
              <w:t>,</w:t>
            </w:r>
            <w:r w:rsidRPr="009F7561">
              <w:rPr>
                <w:lang w:val="en-GB"/>
              </w:rPr>
              <w:t xml:space="preserve"> use of the modalities has to be designed and implemented safely. This requires continuous collaboration between GBV and CVA actors and specialists.</w:t>
            </w:r>
          </w:p>
        </w:tc>
      </w:tr>
    </w:tbl>
    <w:p w:rsidRPr="00585205" w:rsidR="003B0E6F" w:rsidP="003166F7" w:rsidRDefault="003B0E6F" w14:paraId="10345D12" w14:textId="4361046F">
      <w:pPr>
        <w:pStyle w:val="Heading2"/>
      </w:pPr>
      <w:bookmarkStart w:name="_Toc134906284" w:id="121"/>
      <w:bookmarkStart w:name="_Toc142469149" w:id="122"/>
      <w:r w:rsidRPr="00585205">
        <w:t xml:space="preserve">Economic </w:t>
      </w:r>
      <w:r w:rsidRPr="00585205" w:rsidR="00057632">
        <w:t>empowerment and livelihoods</w:t>
      </w:r>
      <w:bookmarkEnd w:id="121"/>
      <w:bookmarkEnd w:id="122"/>
    </w:p>
    <w:p w:rsidRPr="009F7561" w:rsidR="003B0E6F" w:rsidP="001E4169" w:rsidRDefault="003B0E6F" w14:paraId="7EF6CDF5" w14:textId="5CF5D602">
      <w:pPr>
        <w:spacing w:before="120" w:after="120" w:line="300" w:lineRule="atLeast"/>
        <w:jc w:val="both"/>
        <w:rPr>
          <w:lang w:val="en-GB"/>
        </w:rPr>
      </w:pPr>
      <w:r w:rsidRPr="009F7561">
        <w:rPr>
          <w:lang w:val="en-GB"/>
        </w:rPr>
        <w:t>GBV special</w:t>
      </w:r>
      <w:r w:rsidRPr="009F7561" w:rsidR="005E1813">
        <w:rPr>
          <w:lang w:val="en-GB"/>
        </w:rPr>
        <w:t>ize</w:t>
      </w:r>
      <w:r w:rsidRPr="009F7561">
        <w:rPr>
          <w:lang w:val="en-GB"/>
        </w:rPr>
        <w:t>d actors are not usually responsible for direct provision of economic empowerment and livelihood support. Instead, they consider how to work best with livelihood programmes and/or other partners to establish linkages and ensure that GBV survivors can access livelihood support as part of a comprehensive multisectoral approach to addressing GBV. As a response measure, livelihood and economic empowerment programmes can be entry points for GBV survivors to receive information and access services</w:t>
      </w:r>
      <w:r w:rsidRPr="009F7561" w:rsidR="008A1575">
        <w:rPr>
          <w:lang w:val="en-GB"/>
        </w:rPr>
        <w:t xml:space="preserve"> and </w:t>
      </w:r>
      <w:r w:rsidRPr="009F7561">
        <w:rPr>
          <w:lang w:val="en-GB"/>
        </w:rPr>
        <w:t>may also provide an outlet for emotional support and healing activities.</w:t>
      </w:r>
    </w:p>
    <w:p w:rsidRPr="009F7561" w:rsidR="003B0E6F" w:rsidP="001E4169" w:rsidRDefault="003B0E6F" w14:paraId="32E7702D" w14:textId="4CA96893">
      <w:pPr>
        <w:spacing w:before="120" w:after="120" w:line="300" w:lineRule="atLeast"/>
        <w:jc w:val="both"/>
        <w:rPr>
          <w:lang w:val="en-GB"/>
        </w:rPr>
      </w:pPr>
      <w:r w:rsidRPr="009F7561">
        <w:rPr>
          <w:b/>
          <w:lang w:val="en-GB"/>
        </w:rPr>
        <w:t xml:space="preserve">GBV survivors should not be the sole participants in a specific livelihood programme, </w:t>
      </w:r>
      <w:r w:rsidR="0098608A">
        <w:rPr>
          <w:b/>
          <w:lang w:val="en-GB"/>
        </w:rPr>
        <w:br/>
      </w:r>
      <w:r w:rsidRPr="009F7561">
        <w:rPr>
          <w:b/>
          <w:lang w:val="en-GB"/>
        </w:rPr>
        <w:t xml:space="preserve">as this can increase stigma and compromise confidentiality, safety and security. </w:t>
      </w:r>
      <w:r w:rsidRPr="009F7561">
        <w:rPr>
          <w:lang w:val="en-GB"/>
        </w:rPr>
        <w:t xml:space="preserve">One approach is to work with communities to identify the women and adolescent girls who are most at risk of violence. Programmes can target these groups and/or individuals as well as survivors, in a way that does not compromise confidentiality or expose the survivors. </w:t>
      </w:r>
    </w:p>
    <w:p w:rsidRPr="00940C28" w:rsidR="003B0E6F" w:rsidP="001E4169" w:rsidRDefault="00940C28" w14:paraId="3C68EACB" w14:textId="5F646A96">
      <w:pPr>
        <w:spacing w:before="120" w:after="120" w:line="300" w:lineRule="atLeast"/>
        <w:jc w:val="both"/>
        <w:rPr>
          <w:i/>
          <w:iCs/>
          <w:color w:val="0070C0"/>
          <w:lang w:val="en-GB"/>
        </w:rPr>
      </w:pPr>
      <w:r w:rsidRPr="00940C28">
        <w:rPr>
          <w:i/>
          <w:iCs/>
          <w:color w:val="0070C0"/>
          <w:lang w:val="en-GB"/>
        </w:rPr>
        <w:t>[</w:t>
      </w:r>
      <w:r w:rsidRPr="00940C28" w:rsidR="003B0E6F">
        <w:rPr>
          <w:i/>
          <w:iCs/>
          <w:color w:val="0070C0"/>
          <w:lang w:val="en-GB"/>
        </w:rPr>
        <w:t xml:space="preserve">List here any livelihood actors or </w:t>
      </w:r>
      <w:r w:rsidRPr="00940C28" w:rsidR="00464EB6">
        <w:rPr>
          <w:i/>
          <w:iCs/>
          <w:color w:val="0070C0"/>
          <w:lang w:val="en-GB"/>
        </w:rPr>
        <w:t>programmes</w:t>
      </w:r>
      <w:r w:rsidRPr="00940C28" w:rsidR="003B0E6F">
        <w:rPr>
          <w:i/>
          <w:iCs/>
          <w:color w:val="0070C0"/>
          <w:lang w:val="en-GB"/>
        </w:rPr>
        <w:t xml:space="preserve"> in which survivors of GBV and marginalized women and girls may be integrated.</w:t>
      </w:r>
      <w:r w:rsidRPr="00940C28">
        <w:rPr>
          <w:i/>
          <w:iCs/>
          <w:color w:val="0070C0"/>
          <w:lang w:val="en-GB"/>
        </w:rPr>
        <w:t>]</w:t>
      </w:r>
    </w:p>
    <w:p w:rsidRPr="00E2452E" w:rsidR="003B0E6F" w:rsidP="00C22D9F" w:rsidRDefault="003B0E6F" w14:paraId="0869DA60" w14:textId="2AD117D7">
      <w:pPr>
        <w:pStyle w:val="Heading3"/>
      </w:pPr>
      <w:bookmarkStart w:name="_Toc134906285" w:id="123"/>
      <w:bookmarkStart w:name="_Toc142469150" w:id="124"/>
      <w:r w:rsidRPr="00E2452E">
        <w:t xml:space="preserve">Additional </w:t>
      </w:r>
      <w:r w:rsidRPr="00E2452E" w:rsidR="00B64F5C">
        <w:t>support services</w:t>
      </w:r>
      <w:bookmarkEnd w:id="123"/>
      <w:bookmarkEnd w:id="124"/>
    </w:p>
    <w:p w:rsidRPr="00585205" w:rsidR="003B0E6F" w:rsidP="00EB5B8E" w:rsidRDefault="003B0E6F" w14:paraId="61A50675" w14:textId="01BAD3E7">
      <w:pPr>
        <w:spacing w:before="120" w:after="120" w:line="300" w:lineRule="atLeast"/>
        <w:jc w:val="both"/>
        <w:rPr>
          <w:lang w:val="en-GB"/>
        </w:rPr>
      </w:pPr>
      <w:r w:rsidRPr="00585205">
        <w:rPr>
          <w:lang w:val="en-GB"/>
        </w:rPr>
        <w:t>Survivors may need basic assistance in order to ensure their immediate wellbeing, safety and security. Material assistance, such as emergency food and non-food items (NFI), shelter and other assistance can be</w:t>
      </w:r>
      <w:r w:rsidR="00E21B53">
        <w:rPr>
          <w:lang w:val="en-GB"/>
        </w:rPr>
        <w:t xml:space="preserve"> </w:t>
      </w:r>
      <w:r w:rsidRPr="00585205">
        <w:rPr>
          <w:lang w:val="en-GB"/>
        </w:rPr>
        <w:t xml:space="preserve">provided through referrals. </w:t>
      </w:r>
      <w:r w:rsidRPr="00585205">
        <w:rPr>
          <w:b/>
          <w:bCs/>
          <w:lang w:val="en-GB"/>
        </w:rPr>
        <w:t>Assistance should never stigmatize GBV survivors by identifying them as survivors in the specific services they receive or at the locations in which services are provided.</w:t>
      </w:r>
    </w:p>
    <w:p w:rsidRPr="00940C28" w:rsidR="003B0E6F" w:rsidP="00EB5B8E" w:rsidRDefault="00940C28" w14:paraId="76247E4C" w14:textId="698A86A5">
      <w:pPr>
        <w:spacing w:before="120" w:after="120" w:line="300" w:lineRule="atLeast"/>
        <w:jc w:val="both"/>
        <w:rPr>
          <w:i/>
          <w:iCs/>
          <w:color w:val="0070C0"/>
          <w:lang w:val="en-GB"/>
        </w:rPr>
      </w:pPr>
      <w:r w:rsidRPr="00940C28">
        <w:rPr>
          <w:i/>
          <w:iCs/>
          <w:color w:val="0070C0"/>
          <w:sz w:val="20"/>
          <w:szCs w:val="20"/>
          <w:lang w:val="en-GB"/>
        </w:rPr>
        <w:t>[</w:t>
      </w:r>
      <w:r w:rsidRPr="00940C28" w:rsidR="003B0E6F">
        <w:rPr>
          <w:i/>
          <w:iCs/>
          <w:color w:val="0070C0"/>
          <w:lang w:val="en-GB"/>
        </w:rPr>
        <w:t>Please complete the table below and add additional rows as needed:</w:t>
      </w:r>
    </w:p>
    <w:tbl>
      <w:tblPr>
        <w:tblW w:w="998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4045"/>
        <w:gridCol w:w="3330"/>
        <w:gridCol w:w="2610"/>
      </w:tblGrid>
      <w:tr w:rsidRPr="00434D90" w:rsidR="00434D90" w14:paraId="7CDAA874" w14:textId="77777777">
        <w:tc>
          <w:tcPr>
            <w:tcW w:w="4045" w:type="dxa"/>
          </w:tcPr>
          <w:p w:rsidRPr="00940C28" w:rsidR="003B0E6F" w:rsidP="00E82689" w:rsidRDefault="003B0E6F" w14:paraId="439E2DF8" w14:textId="77777777">
            <w:pPr>
              <w:spacing w:before="120" w:after="120"/>
              <w:jc w:val="both"/>
              <w:rPr>
                <w:b/>
                <w:i/>
                <w:iCs/>
                <w:color w:val="0070C0"/>
                <w:lang w:val="en-GB"/>
              </w:rPr>
            </w:pPr>
            <w:r w:rsidRPr="00940C28">
              <w:rPr>
                <w:b/>
                <w:i/>
                <w:iCs/>
                <w:color w:val="0070C0"/>
                <w:lang w:val="en-GB"/>
              </w:rPr>
              <w:t>Service</w:t>
            </w:r>
          </w:p>
        </w:tc>
        <w:tc>
          <w:tcPr>
            <w:tcW w:w="3330" w:type="dxa"/>
          </w:tcPr>
          <w:p w:rsidRPr="00940C28" w:rsidR="003B0E6F" w:rsidP="00E82689" w:rsidRDefault="003B0E6F" w14:paraId="26564BDA" w14:textId="76EA448F">
            <w:pPr>
              <w:spacing w:before="120" w:after="120"/>
              <w:jc w:val="both"/>
              <w:rPr>
                <w:b/>
                <w:i/>
                <w:iCs/>
                <w:color w:val="0070C0"/>
                <w:lang w:val="en-GB"/>
              </w:rPr>
            </w:pPr>
            <w:r w:rsidRPr="00940C28">
              <w:rPr>
                <w:b/>
                <w:i/>
                <w:iCs/>
                <w:color w:val="0070C0"/>
                <w:lang w:val="en-GB"/>
              </w:rPr>
              <w:t>Agency / Organ</w:t>
            </w:r>
            <w:r w:rsidRPr="00940C28" w:rsidR="002D1850">
              <w:rPr>
                <w:b/>
                <w:i/>
                <w:iCs/>
                <w:color w:val="0070C0"/>
                <w:lang w:val="en-GB"/>
              </w:rPr>
              <w:t>iza</w:t>
            </w:r>
            <w:r w:rsidRPr="00940C28">
              <w:rPr>
                <w:b/>
                <w:i/>
                <w:iCs/>
                <w:color w:val="0070C0"/>
                <w:lang w:val="en-GB"/>
              </w:rPr>
              <w:t>tion</w:t>
            </w:r>
          </w:p>
        </w:tc>
        <w:tc>
          <w:tcPr>
            <w:tcW w:w="2610" w:type="dxa"/>
          </w:tcPr>
          <w:p w:rsidRPr="00940C28" w:rsidR="003B0E6F" w:rsidP="00E82689" w:rsidRDefault="003B0E6F" w14:paraId="57A8ABFB" w14:textId="77777777">
            <w:pPr>
              <w:spacing w:before="120" w:after="120"/>
              <w:jc w:val="both"/>
              <w:rPr>
                <w:b/>
                <w:i/>
                <w:iCs/>
                <w:color w:val="0070C0"/>
                <w:lang w:val="en-GB"/>
              </w:rPr>
            </w:pPr>
            <w:r w:rsidRPr="00940C28">
              <w:rPr>
                <w:b/>
                <w:i/>
                <w:iCs/>
                <w:color w:val="0070C0"/>
                <w:lang w:val="en-GB"/>
              </w:rPr>
              <w:t>Criteria for Inclusion</w:t>
            </w:r>
          </w:p>
        </w:tc>
      </w:tr>
      <w:tr w:rsidRPr="00434D90" w:rsidR="00434D90" w14:paraId="3377083E" w14:textId="77777777">
        <w:tc>
          <w:tcPr>
            <w:tcW w:w="4045" w:type="dxa"/>
          </w:tcPr>
          <w:p w:rsidRPr="00940C28" w:rsidR="003B0E6F" w:rsidP="00E82689" w:rsidRDefault="003B0E6F" w14:paraId="6B7D5609" w14:textId="77777777">
            <w:pPr>
              <w:spacing w:before="120" w:after="120"/>
              <w:jc w:val="both"/>
              <w:rPr>
                <w:i/>
                <w:iCs/>
                <w:color w:val="0070C0"/>
                <w:lang w:val="en-GB"/>
              </w:rPr>
            </w:pPr>
            <w:r w:rsidRPr="00940C28">
              <w:rPr>
                <w:i/>
                <w:iCs/>
                <w:color w:val="0070C0"/>
                <w:lang w:val="en-GB"/>
              </w:rPr>
              <w:t>Nutrition &amp; Food Assistance</w:t>
            </w:r>
          </w:p>
        </w:tc>
        <w:tc>
          <w:tcPr>
            <w:tcW w:w="3330" w:type="dxa"/>
          </w:tcPr>
          <w:p w:rsidRPr="00940C28" w:rsidR="003B0E6F" w:rsidP="00E82689" w:rsidRDefault="003B0E6F" w14:paraId="425A86B0" w14:textId="77777777">
            <w:pPr>
              <w:spacing w:before="120" w:after="120"/>
              <w:jc w:val="both"/>
              <w:rPr>
                <w:i/>
                <w:iCs/>
                <w:color w:val="0070C0"/>
                <w:lang w:val="en-GB"/>
              </w:rPr>
            </w:pPr>
          </w:p>
        </w:tc>
        <w:tc>
          <w:tcPr>
            <w:tcW w:w="2610" w:type="dxa"/>
          </w:tcPr>
          <w:p w:rsidRPr="00940C28" w:rsidR="003B0E6F" w:rsidP="00E82689" w:rsidRDefault="003B0E6F" w14:paraId="25EDEBAD" w14:textId="77777777">
            <w:pPr>
              <w:spacing w:before="120" w:after="120"/>
              <w:jc w:val="both"/>
              <w:rPr>
                <w:i/>
                <w:iCs/>
                <w:color w:val="0070C0"/>
                <w:lang w:val="en-GB"/>
              </w:rPr>
            </w:pPr>
          </w:p>
        </w:tc>
      </w:tr>
      <w:tr w:rsidRPr="00434D90" w:rsidR="00434D90" w14:paraId="75D94371" w14:textId="77777777">
        <w:tc>
          <w:tcPr>
            <w:tcW w:w="4045" w:type="dxa"/>
          </w:tcPr>
          <w:p w:rsidRPr="00940C28" w:rsidR="003B0E6F" w:rsidP="00E82689" w:rsidRDefault="003B0E6F" w14:paraId="7883F56E" w14:textId="77777777">
            <w:pPr>
              <w:spacing w:before="120" w:after="120"/>
              <w:jc w:val="both"/>
              <w:rPr>
                <w:i/>
                <w:iCs/>
                <w:color w:val="0070C0"/>
                <w:lang w:val="en-GB"/>
              </w:rPr>
            </w:pPr>
            <w:r w:rsidRPr="00940C28">
              <w:rPr>
                <w:i/>
                <w:iCs/>
                <w:color w:val="0070C0"/>
                <w:lang w:val="en-GB"/>
              </w:rPr>
              <w:t>Non-Food Items, including Dignity or Hygiene Kits</w:t>
            </w:r>
          </w:p>
        </w:tc>
        <w:tc>
          <w:tcPr>
            <w:tcW w:w="3330" w:type="dxa"/>
          </w:tcPr>
          <w:p w:rsidRPr="00940C28" w:rsidR="003B0E6F" w:rsidP="00E82689" w:rsidRDefault="003B0E6F" w14:paraId="796B8507" w14:textId="77777777">
            <w:pPr>
              <w:spacing w:before="120" w:after="120"/>
              <w:jc w:val="both"/>
              <w:rPr>
                <w:i/>
                <w:iCs/>
                <w:color w:val="0070C0"/>
                <w:lang w:val="en-GB"/>
              </w:rPr>
            </w:pPr>
          </w:p>
        </w:tc>
        <w:tc>
          <w:tcPr>
            <w:tcW w:w="2610" w:type="dxa"/>
          </w:tcPr>
          <w:p w:rsidRPr="00940C28" w:rsidR="003B0E6F" w:rsidP="00E82689" w:rsidRDefault="003B0E6F" w14:paraId="2CDB585A" w14:textId="77777777">
            <w:pPr>
              <w:spacing w:before="120" w:after="120"/>
              <w:jc w:val="both"/>
              <w:rPr>
                <w:i/>
                <w:iCs/>
                <w:color w:val="0070C0"/>
                <w:lang w:val="en-GB"/>
              </w:rPr>
            </w:pPr>
          </w:p>
        </w:tc>
      </w:tr>
      <w:tr w:rsidRPr="00434D90" w:rsidR="00434D90" w14:paraId="3A86DCB7" w14:textId="77777777">
        <w:tc>
          <w:tcPr>
            <w:tcW w:w="4045" w:type="dxa"/>
          </w:tcPr>
          <w:p w:rsidRPr="00940C28" w:rsidR="003B0E6F" w:rsidP="00E82689" w:rsidRDefault="003B0E6F" w14:paraId="2AFD4295" w14:textId="77777777">
            <w:pPr>
              <w:spacing w:before="120" w:after="120"/>
              <w:jc w:val="both"/>
              <w:rPr>
                <w:i/>
                <w:iCs/>
                <w:color w:val="0070C0"/>
                <w:lang w:val="en-GB"/>
              </w:rPr>
            </w:pPr>
            <w:r w:rsidRPr="00940C28">
              <w:rPr>
                <w:i/>
                <w:iCs/>
                <w:color w:val="0070C0"/>
                <w:lang w:val="en-GB"/>
              </w:rPr>
              <w:t>Non-formal Education</w:t>
            </w:r>
          </w:p>
        </w:tc>
        <w:tc>
          <w:tcPr>
            <w:tcW w:w="3330" w:type="dxa"/>
          </w:tcPr>
          <w:p w:rsidRPr="00940C28" w:rsidR="003B0E6F" w:rsidP="00E82689" w:rsidRDefault="003B0E6F" w14:paraId="50F023C5" w14:textId="77777777">
            <w:pPr>
              <w:spacing w:before="120" w:after="120"/>
              <w:jc w:val="both"/>
              <w:rPr>
                <w:i/>
                <w:iCs/>
                <w:color w:val="0070C0"/>
                <w:lang w:val="en-GB"/>
              </w:rPr>
            </w:pPr>
          </w:p>
        </w:tc>
        <w:tc>
          <w:tcPr>
            <w:tcW w:w="2610" w:type="dxa"/>
          </w:tcPr>
          <w:p w:rsidRPr="00940C28" w:rsidR="003B0E6F" w:rsidP="00E82689" w:rsidRDefault="003B0E6F" w14:paraId="27992E02" w14:textId="77777777">
            <w:pPr>
              <w:spacing w:before="120" w:after="120"/>
              <w:jc w:val="both"/>
              <w:rPr>
                <w:i/>
                <w:iCs/>
                <w:color w:val="0070C0"/>
                <w:lang w:val="en-GB"/>
              </w:rPr>
            </w:pPr>
          </w:p>
        </w:tc>
      </w:tr>
      <w:tr w:rsidRPr="00434D90" w:rsidR="00434D90" w:rsidTr="00434D90" w14:paraId="2B0E66D1" w14:textId="77777777">
        <w:trPr>
          <w:trHeight w:val="30"/>
        </w:trPr>
        <w:tc>
          <w:tcPr>
            <w:tcW w:w="4045" w:type="dxa"/>
          </w:tcPr>
          <w:p w:rsidRPr="00940C28" w:rsidR="003B0E6F" w:rsidP="00E82689" w:rsidRDefault="003B0E6F" w14:paraId="62CE3816" w14:textId="77777777">
            <w:pPr>
              <w:spacing w:before="120" w:after="120"/>
              <w:jc w:val="both"/>
              <w:rPr>
                <w:i/>
                <w:iCs/>
                <w:color w:val="0070C0"/>
                <w:lang w:val="en-GB"/>
              </w:rPr>
            </w:pPr>
            <w:r w:rsidRPr="00940C28">
              <w:rPr>
                <w:i/>
                <w:iCs/>
                <w:color w:val="0070C0"/>
                <w:lang w:val="en-GB"/>
              </w:rPr>
              <w:t>Education</w:t>
            </w:r>
          </w:p>
        </w:tc>
        <w:tc>
          <w:tcPr>
            <w:tcW w:w="3330" w:type="dxa"/>
          </w:tcPr>
          <w:p w:rsidRPr="00940C28" w:rsidR="003B0E6F" w:rsidP="00E82689" w:rsidRDefault="003B0E6F" w14:paraId="1C4A9B81" w14:textId="77777777">
            <w:pPr>
              <w:spacing w:before="120" w:after="120"/>
              <w:jc w:val="both"/>
              <w:rPr>
                <w:i/>
                <w:iCs/>
                <w:color w:val="0070C0"/>
                <w:lang w:val="en-GB"/>
              </w:rPr>
            </w:pPr>
          </w:p>
        </w:tc>
        <w:tc>
          <w:tcPr>
            <w:tcW w:w="2610" w:type="dxa"/>
          </w:tcPr>
          <w:p w:rsidRPr="00940C28" w:rsidR="003B0E6F" w:rsidP="00E82689" w:rsidRDefault="003B0E6F" w14:paraId="753C72D6" w14:textId="77777777">
            <w:pPr>
              <w:spacing w:before="120" w:after="120"/>
              <w:jc w:val="both"/>
              <w:rPr>
                <w:i/>
                <w:iCs/>
                <w:color w:val="0070C0"/>
                <w:lang w:val="en-GB"/>
              </w:rPr>
            </w:pPr>
          </w:p>
        </w:tc>
      </w:tr>
      <w:tr w:rsidRPr="009F7561" w:rsidR="007B57E6" w14:paraId="7864EF69" w14:textId="77777777">
        <w:tc>
          <w:tcPr>
            <w:tcW w:w="4045" w:type="dxa"/>
          </w:tcPr>
          <w:p w:rsidRPr="00585205" w:rsidR="003B0E6F" w:rsidP="00E82689" w:rsidRDefault="003B0E6F" w14:paraId="628B2921" w14:textId="77777777">
            <w:pPr>
              <w:spacing w:before="120" w:after="120"/>
              <w:jc w:val="both"/>
              <w:rPr>
                <w:lang w:val="en-GB"/>
              </w:rPr>
            </w:pPr>
          </w:p>
        </w:tc>
        <w:tc>
          <w:tcPr>
            <w:tcW w:w="3330" w:type="dxa"/>
          </w:tcPr>
          <w:p w:rsidRPr="00585205" w:rsidR="003B0E6F" w:rsidP="00E82689" w:rsidRDefault="003B0E6F" w14:paraId="0FB5C297" w14:textId="77777777">
            <w:pPr>
              <w:spacing w:before="120" w:after="120"/>
              <w:jc w:val="both"/>
              <w:rPr>
                <w:lang w:val="en-GB"/>
              </w:rPr>
            </w:pPr>
          </w:p>
        </w:tc>
        <w:tc>
          <w:tcPr>
            <w:tcW w:w="2610" w:type="dxa"/>
          </w:tcPr>
          <w:p w:rsidRPr="00585205" w:rsidR="003B0E6F" w:rsidP="00E82689" w:rsidRDefault="003B0E6F" w14:paraId="4AF6C809" w14:textId="77777777">
            <w:pPr>
              <w:spacing w:before="120" w:after="120"/>
              <w:jc w:val="both"/>
              <w:rPr>
                <w:lang w:val="en-GB"/>
              </w:rPr>
            </w:pPr>
          </w:p>
        </w:tc>
      </w:tr>
    </w:tbl>
    <w:p w:rsidRPr="00E2452E" w:rsidR="003B0E6F" w:rsidP="003166F7" w:rsidRDefault="003B0E6F" w14:paraId="53418FCC" w14:textId="4DBB4E6D">
      <w:pPr>
        <w:pStyle w:val="Heading2"/>
      </w:pPr>
      <w:bookmarkStart w:name="_Toc134906286" w:id="125"/>
      <w:bookmarkStart w:name="_Toc142469151" w:id="126"/>
      <w:r w:rsidRPr="00E2452E">
        <w:t xml:space="preserve">Refugee </w:t>
      </w:r>
      <w:r w:rsidRPr="00E2452E" w:rsidR="00DD3969">
        <w:t>case processing</w:t>
      </w:r>
      <w:bookmarkEnd w:id="125"/>
      <w:bookmarkEnd w:id="126"/>
    </w:p>
    <w:p w:rsidRPr="009F7561" w:rsidR="000D4FD9" w:rsidP="00A0327B" w:rsidRDefault="000D4FD9" w14:paraId="037DA5D6" w14:textId="55336DB8">
      <w:pPr>
        <w:spacing w:before="120" w:after="120" w:line="300" w:lineRule="atLeast"/>
        <w:jc w:val="both"/>
        <w:rPr>
          <w:lang w:val="en-GB"/>
        </w:rPr>
      </w:pPr>
      <w:r w:rsidRPr="009F7561">
        <w:rPr>
          <w:lang w:val="en-GB"/>
        </w:rPr>
        <w:t xml:space="preserve">In refugee contexts survivors might need access to additional services </w:t>
      </w:r>
      <w:r w:rsidRPr="00CA3C2D" w:rsidR="00CA3C2D">
        <w:rPr>
          <w:lang w:val="en-GB"/>
        </w:rPr>
        <w:t xml:space="preserve">such as documentation and durable solutions </w:t>
      </w:r>
      <w:r w:rsidRPr="009F7561">
        <w:rPr>
          <w:lang w:val="en-GB"/>
        </w:rPr>
        <w:t>that are not applicable in other contexts.</w:t>
      </w:r>
      <w:r w:rsidRPr="009F7561" w:rsidR="003C264D">
        <w:rPr>
          <w:lang w:val="en-GB"/>
        </w:rPr>
        <w:t xml:space="preserve"> </w:t>
      </w:r>
      <w:r w:rsidRPr="009F7561">
        <w:rPr>
          <w:lang w:val="en-GB"/>
        </w:rPr>
        <w:t>These services are related to their status as asylum seekers or refugees or might be available due to this status.</w:t>
      </w:r>
      <w:r w:rsidRPr="009F7561" w:rsidR="003C264D">
        <w:rPr>
          <w:lang w:val="en-GB"/>
        </w:rPr>
        <w:t xml:space="preserve"> </w:t>
      </w:r>
      <w:r w:rsidRPr="009F7561">
        <w:rPr>
          <w:lang w:val="en-GB"/>
        </w:rPr>
        <w:t xml:space="preserve">When developing service mappings and referral pathways in refugee contexts it is important to be aware of the following services and integrate them as appropriate into referral pathways and identify GBV focal points within the relevant services and include them in development of the SOPs. </w:t>
      </w:r>
    </w:p>
    <w:p w:rsidRPr="009F7561" w:rsidR="000D4FD9" w:rsidP="00577267" w:rsidRDefault="000D4FD9" w14:paraId="3C5EBBE1" w14:textId="37A979B2">
      <w:pPr>
        <w:pStyle w:val="Heading3"/>
        <w:rPr>
          <w:lang w:val="en-GB"/>
        </w:rPr>
      </w:pPr>
      <w:bookmarkStart w:name="_Toc142469152" w:id="127"/>
      <w:r w:rsidRPr="009F7561">
        <w:rPr>
          <w:lang w:val="en-GB"/>
        </w:rPr>
        <w:t>Registration</w:t>
      </w:r>
      <w:bookmarkEnd w:id="127"/>
    </w:p>
    <w:p w:rsidRPr="009F7561" w:rsidR="000D4FD9" w:rsidP="00A0327B" w:rsidRDefault="000D4FD9" w14:paraId="195A785E" w14:textId="745AB964">
      <w:pPr>
        <w:spacing w:before="120" w:after="120" w:line="300" w:lineRule="atLeast"/>
        <w:jc w:val="both"/>
        <w:rPr>
          <w:lang w:val="en-GB"/>
        </w:rPr>
      </w:pPr>
      <w:r w:rsidRPr="009F7561">
        <w:rPr>
          <w:lang w:val="en-GB"/>
        </w:rPr>
        <w:t>Registration gives access to documentation and legal protection which reduces the risk of GBV and provides</w:t>
      </w:r>
      <w:r w:rsidRPr="009F7561" w:rsidR="003C264D">
        <w:rPr>
          <w:lang w:val="en-GB"/>
        </w:rPr>
        <w:t xml:space="preserve"> </w:t>
      </w:r>
      <w:r w:rsidRPr="009F7561">
        <w:rPr>
          <w:lang w:val="en-GB"/>
        </w:rPr>
        <w:t xml:space="preserve">access to services, including </w:t>
      </w:r>
      <w:r w:rsidRPr="009F7561" w:rsidR="000B19FF">
        <w:rPr>
          <w:lang w:val="en-GB"/>
        </w:rPr>
        <w:t>income</w:t>
      </w:r>
      <w:r w:rsidR="000B19FF">
        <w:rPr>
          <w:lang w:val="en-GB"/>
        </w:rPr>
        <w:t>-</w:t>
      </w:r>
      <w:r w:rsidRPr="009F7561">
        <w:rPr>
          <w:lang w:val="en-GB"/>
        </w:rPr>
        <w:t>generating activities and assistance provided by humanitarian actors.</w:t>
      </w:r>
      <w:r w:rsidRPr="009F7561" w:rsidR="003C264D">
        <w:rPr>
          <w:lang w:val="en-GB"/>
        </w:rPr>
        <w:t xml:space="preserve"> </w:t>
      </w:r>
      <w:r w:rsidRPr="009F7561">
        <w:rPr>
          <w:lang w:val="en-GB"/>
        </w:rPr>
        <w:t>Registration procedures usually give priority access to vulnerable asylum seekers at heightened risk, including women and girls at risk and GBV survivors, especially in contexts where high number of applications are received and waiting periods are long. Procedures for safe and confidential referral to registration should be</w:t>
      </w:r>
      <w:r w:rsidR="002C2842">
        <w:rPr>
          <w:lang w:val="en-GB"/>
        </w:rPr>
        <w:t xml:space="preserve"> </w:t>
      </w:r>
      <w:r w:rsidRPr="009F7561">
        <w:rPr>
          <w:lang w:val="en-GB"/>
        </w:rPr>
        <w:t xml:space="preserve">followed by GBV actors if the need for registration has been expressed by the survivor. </w:t>
      </w:r>
    </w:p>
    <w:p w:rsidRPr="009F7561" w:rsidR="000D4FD9" w:rsidP="00577267" w:rsidRDefault="000D4FD9" w14:paraId="285608CC" w14:textId="269D0DF9">
      <w:pPr>
        <w:pStyle w:val="Heading3"/>
        <w:rPr>
          <w:lang w:val="en-GB"/>
        </w:rPr>
      </w:pPr>
      <w:bookmarkStart w:name="_Toc142469153" w:id="128"/>
      <w:r w:rsidRPr="009F7561">
        <w:rPr>
          <w:lang w:val="en-GB"/>
        </w:rPr>
        <w:t xml:space="preserve">Refugee </w:t>
      </w:r>
      <w:r w:rsidRPr="009F7561" w:rsidR="00DD3969">
        <w:rPr>
          <w:lang w:val="en-GB"/>
        </w:rPr>
        <w:t>status determination</w:t>
      </w:r>
      <w:bookmarkEnd w:id="128"/>
    </w:p>
    <w:p w:rsidRPr="009F7561" w:rsidR="000D4FD9" w:rsidP="00A0327B" w:rsidRDefault="000D4FD9" w14:paraId="079C5381" w14:textId="4D510226">
      <w:pPr>
        <w:spacing w:before="120" w:after="120" w:line="300" w:lineRule="atLeast"/>
        <w:jc w:val="both"/>
        <w:rPr>
          <w:lang w:val="en-GB"/>
        </w:rPr>
      </w:pPr>
      <w:r w:rsidRPr="009F7561">
        <w:rPr>
          <w:lang w:val="en-GB"/>
        </w:rPr>
        <w:t>Refugee Status Determination (RSD) is conducted by national authorities or UNHCR depending on contexts and agreement between host country and UNHCR. The purpose of RSD is to permit UNHCR to determine whether asylum seekers fall within the criteria for international refugee protection. The determination of refugee status has potentially profound implications for the life and security of the individuals concerned.</w:t>
      </w:r>
      <w:r w:rsidRPr="009F7561" w:rsidR="003C264D">
        <w:rPr>
          <w:lang w:val="en-GB"/>
        </w:rPr>
        <w:t xml:space="preserve"> </w:t>
      </w:r>
      <w:r w:rsidRPr="009F7561">
        <w:rPr>
          <w:lang w:val="en-GB"/>
        </w:rPr>
        <w:t>RSD procedures give priority access to</w:t>
      </w:r>
      <w:r w:rsidRPr="009F7561" w:rsidR="003C264D">
        <w:rPr>
          <w:lang w:val="en-GB"/>
        </w:rPr>
        <w:t xml:space="preserve"> </w:t>
      </w:r>
      <w:r w:rsidRPr="009F7561">
        <w:rPr>
          <w:lang w:val="en-GB"/>
        </w:rPr>
        <w:t>asylum seekers at heightened risk, including women and girls at risk and GBV survivors, especially in contexts where high number of applications are received and waiting periods are long. Procedures for safe and confidential referral to RSD should be</w:t>
      </w:r>
      <w:r w:rsidR="00A9218F">
        <w:rPr>
          <w:lang w:val="en-GB"/>
        </w:rPr>
        <w:t xml:space="preserve"> </w:t>
      </w:r>
      <w:r w:rsidRPr="009F7561">
        <w:rPr>
          <w:lang w:val="en-GB"/>
        </w:rPr>
        <w:t xml:space="preserve">followed by GBV actors if the need for RSD has been expressed by survivors. </w:t>
      </w:r>
    </w:p>
    <w:p w:rsidRPr="00A0327B" w:rsidR="000D4FD9" w:rsidP="00577267" w:rsidRDefault="000D4FD9" w14:paraId="05336254" w14:textId="68BADB87">
      <w:pPr>
        <w:pStyle w:val="Heading3"/>
        <w:rPr>
          <w:lang w:val="en-GB"/>
        </w:rPr>
      </w:pPr>
      <w:bookmarkStart w:name="_Toc142469154" w:id="129"/>
      <w:r w:rsidRPr="00A0327B">
        <w:rPr>
          <w:lang w:val="en-GB"/>
        </w:rPr>
        <w:t xml:space="preserve">Durable </w:t>
      </w:r>
      <w:r w:rsidRPr="00A0327B" w:rsidR="00DD3969">
        <w:rPr>
          <w:lang w:val="en-GB"/>
        </w:rPr>
        <w:t>solutions</w:t>
      </w:r>
      <w:bookmarkEnd w:id="129"/>
      <w:r w:rsidRPr="00A0327B" w:rsidR="00DD3969">
        <w:rPr>
          <w:lang w:val="en-GB"/>
        </w:rPr>
        <w:t xml:space="preserve"> </w:t>
      </w:r>
    </w:p>
    <w:p w:rsidRPr="009F7561" w:rsidR="000D4FD9" w:rsidP="00A0327B" w:rsidRDefault="000D4FD9" w14:paraId="1F4FD622" w14:textId="7C6FFC67">
      <w:pPr>
        <w:spacing w:before="120" w:after="120" w:line="300" w:lineRule="atLeast"/>
        <w:jc w:val="both"/>
        <w:rPr>
          <w:lang w:val="en-GB"/>
        </w:rPr>
      </w:pPr>
      <w:r w:rsidRPr="009F7561">
        <w:rPr>
          <w:lang w:val="en-GB"/>
        </w:rPr>
        <w:t>Identification of durable solutions for refugees is part of UNHCR</w:t>
      </w:r>
      <w:r w:rsidR="00AA2517">
        <w:rPr>
          <w:lang w:val="en-GB"/>
        </w:rPr>
        <w:t>’s</w:t>
      </w:r>
      <w:r w:rsidRPr="009F7561">
        <w:rPr>
          <w:lang w:val="en-GB"/>
        </w:rPr>
        <w:t xml:space="preserve"> mandate. Local </w:t>
      </w:r>
      <w:r w:rsidR="009A3F22">
        <w:rPr>
          <w:lang w:val="en-GB"/>
        </w:rPr>
        <w:t>i</w:t>
      </w:r>
      <w:r w:rsidRPr="009F7561">
        <w:rPr>
          <w:lang w:val="en-GB"/>
        </w:rPr>
        <w:t xml:space="preserve">ntegration, resettlement and voluntary repatriation are means of providing international protection and durable solutions to refugees. While local integration and voluntary repatriation depend on </w:t>
      </w:r>
      <w:r w:rsidR="007A7F64">
        <w:rPr>
          <w:lang w:val="en-GB"/>
        </w:rPr>
        <w:t>a</w:t>
      </w:r>
      <w:r w:rsidRPr="009F7561" w:rsidR="007A7F64">
        <w:rPr>
          <w:lang w:val="en-GB"/>
        </w:rPr>
        <w:t xml:space="preserve"> </w:t>
      </w:r>
      <w:r w:rsidRPr="009F7561">
        <w:rPr>
          <w:lang w:val="en-GB"/>
        </w:rPr>
        <w:t xml:space="preserve">favourable environment in </w:t>
      </w:r>
      <w:r w:rsidR="007A7F64">
        <w:rPr>
          <w:lang w:val="en-GB"/>
        </w:rPr>
        <w:t xml:space="preserve">the </w:t>
      </w:r>
      <w:r w:rsidRPr="009F7561">
        <w:rPr>
          <w:lang w:val="en-GB"/>
        </w:rPr>
        <w:t>country of asylum and country of origin respectively, resettlement is part of UNHCR</w:t>
      </w:r>
      <w:r w:rsidRPr="009F7561" w:rsidR="00315391">
        <w:rPr>
          <w:lang w:val="en-GB"/>
        </w:rPr>
        <w:t>’s</w:t>
      </w:r>
      <w:r w:rsidRPr="009F7561">
        <w:rPr>
          <w:lang w:val="en-GB"/>
        </w:rPr>
        <w:t xml:space="preserve"> ongoing protection and assistance activities. Women and girls, including GBV survivors, are given priority </w:t>
      </w:r>
      <w:r w:rsidR="0037089A">
        <w:rPr>
          <w:lang w:val="en-GB"/>
        </w:rPr>
        <w:t xml:space="preserve">for </w:t>
      </w:r>
      <w:r w:rsidRPr="009F7561">
        <w:rPr>
          <w:lang w:val="en-GB"/>
        </w:rPr>
        <w:t>resettlement as mean</w:t>
      </w:r>
      <w:r w:rsidR="00AA2517">
        <w:rPr>
          <w:lang w:val="en-GB"/>
        </w:rPr>
        <w:t>s</w:t>
      </w:r>
      <w:r w:rsidRPr="009F7561">
        <w:rPr>
          <w:lang w:val="en-GB"/>
        </w:rPr>
        <w:t xml:space="preserve"> </w:t>
      </w:r>
      <w:r w:rsidR="00AA2517">
        <w:rPr>
          <w:lang w:val="en-GB"/>
        </w:rPr>
        <w:t xml:space="preserve">of </w:t>
      </w:r>
      <w:r w:rsidRPr="009F7561">
        <w:rPr>
          <w:lang w:val="en-GB"/>
        </w:rPr>
        <w:t>protection when they are at risk in the country of asylum or have specific protection needs or vulnerabilities for which resettlement is assessed as the most appropriate protection and durable protection solution. Procedures for safe and confidential referral to resettlement or other durable solution should be</w:t>
      </w:r>
      <w:r w:rsidR="0037089A">
        <w:rPr>
          <w:lang w:val="en-GB"/>
        </w:rPr>
        <w:t xml:space="preserve"> </w:t>
      </w:r>
      <w:r w:rsidRPr="009F7561">
        <w:rPr>
          <w:lang w:val="en-GB"/>
        </w:rPr>
        <w:t>followed by GBV actors.</w:t>
      </w:r>
    </w:p>
    <w:p w:rsidRPr="00AD0EE5" w:rsidR="000D4FD9" w:rsidP="00A0327B" w:rsidRDefault="00AD0EE5" w14:paraId="46808F88" w14:textId="366E6398">
      <w:pPr>
        <w:spacing w:before="120" w:after="120" w:line="300" w:lineRule="atLeast"/>
        <w:jc w:val="both"/>
        <w:rPr>
          <w:i/>
          <w:iCs/>
          <w:color w:val="0070C0"/>
          <w:lang w:val="en-GB"/>
        </w:rPr>
      </w:pPr>
      <w:r w:rsidRPr="00AD0EE5">
        <w:rPr>
          <w:i/>
          <w:iCs/>
          <w:color w:val="0070C0"/>
          <w:lang w:val="en-GB"/>
        </w:rPr>
        <w:t>[</w:t>
      </w:r>
      <w:r w:rsidRPr="00AD0EE5" w:rsidR="000D4FD9">
        <w:rPr>
          <w:i/>
          <w:iCs/>
          <w:color w:val="0070C0"/>
          <w:lang w:val="en-GB"/>
        </w:rPr>
        <w:t xml:space="preserve">Please complete the table below. Include relevant services, focal points and explain any agreement on referrals of GBV survivors to </w:t>
      </w:r>
      <w:r w:rsidRPr="00AD0EE5" w:rsidR="00D713AB">
        <w:rPr>
          <w:i/>
          <w:iCs/>
          <w:color w:val="0070C0"/>
          <w:lang w:val="en-GB"/>
        </w:rPr>
        <w:t xml:space="preserve">refugee case processing services </w:t>
      </w:r>
      <w:r w:rsidRPr="00AD0EE5" w:rsidR="000D4FD9">
        <w:rPr>
          <w:i/>
          <w:iCs/>
          <w:color w:val="0070C0"/>
          <w:lang w:val="en-GB"/>
        </w:rPr>
        <w:t>and inclusion criteria.</w:t>
      </w:r>
      <w:r w:rsidRPr="00AD0EE5">
        <w:rPr>
          <w:i/>
          <w:iCs/>
          <w:color w:val="0070C0"/>
          <w:lang w:val="en-GB"/>
        </w:rPr>
        <w:t>]</w:t>
      </w:r>
    </w:p>
    <w:tbl>
      <w:tblPr>
        <w:tblW w:w="9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2795"/>
        <w:gridCol w:w="2610"/>
        <w:gridCol w:w="2250"/>
        <w:gridCol w:w="2245"/>
      </w:tblGrid>
      <w:tr w:rsidRPr="00434D90" w:rsidR="00434D90" w:rsidTr="00FE5A89" w14:paraId="5612B3C0" w14:textId="77777777">
        <w:trPr>
          <w:jc w:val="center"/>
        </w:trPr>
        <w:tc>
          <w:tcPr>
            <w:tcW w:w="2795" w:type="dxa"/>
          </w:tcPr>
          <w:p w:rsidRPr="00AD0EE5" w:rsidR="000D4FD9" w:rsidP="0058754A" w:rsidRDefault="000D4FD9" w14:paraId="287E3577" w14:textId="77777777">
            <w:pPr>
              <w:spacing w:before="120" w:after="120"/>
              <w:jc w:val="center"/>
              <w:rPr>
                <w:b/>
                <w:i/>
                <w:iCs/>
                <w:color w:val="0070C0"/>
                <w:lang w:val="en-GB"/>
              </w:rPr>
            </w:pPr>
            <w:r w:rsidRPr="00AD0EE5">
              <w:rPr>
                <w:b/>
                <w:i/>
                <w:iCs/>
                <w:color w:val="0070C0"/>
                <w:lang w:val="en-GB"/>
              </w:rPr>
              <w:t>Service</w:t>
            </w:r>
          </w:p>
        </w:tc>
        <w:tc>
          <w:tcPr>
            <w:tcW w:w="2610" w:type="dxa"/>
          </w:tcPr>
          <w:p w:rsidRPr="00AD0EE5" w:rsidR="000D4FD9" w:rsidP="0058754A" w:rsidRDefault="000D4FD9" w14:paraId="0CD5CF7B" w14:textId="77777777">
            <w:pPr>
              <w:spacing w:before="120" w:after="120"/>
              <w:jc w:val="center"/>
              <w:rPr>
                <w:b/>
                <w:i/>
                <w:iCs/>
                <w:color w:val="0070C0"/>
                <w:lang w:val="en-GB"/>
              </w:rPr>
            </w:pPr>
            <w:r w:rsidRPr="00AD0EE5">
              <w:rPr>
                <w:b/>
                <w:i/>
                <w:iCs/>
                <w:color w:val="0070C0"/>
                <w:lang w:val="en-GB"/>
              </w:rPr>
              <w:t>Agency / Focal Point</w:t>
            </w:r>
          </w:p>
        </w:tc>
        <w:tc>
          <w:tcPr>
            <w:tcW w:w="2250" w:type="dxa"/>
          </w:tcPr>
          <w:p w:rsidRPr="00AD0EE5" w:rsidR="000D4FD9" w:rsidP="0058754A" w:rsidRDefault="000D4FD9" w14:paraId="01854C79" w14:textId="77777777">
            <w:pPr>
              <w:spacing w:before="120" w:after="120"/>
              <w:jc w:val="center"/>
              <w:rPr>
                <w:b/>
                <w:i/>
                <w:iCs/>
                <w:color w:val="0070C0"/>
                <w:lang w:val="en-GB"/>
              </w:rPr>
            </w:pPr>
            <w:r w:rsidRPr="00AD0EE5">
              <w:rPr>
                <w:b/>
                <w:i/>
                <w:iCs/>
                <w:color w:val="0070C0"/>
                <w:lang w:val="en-GB"/>
              </w:rPr>
              <w:t>Criteria for Inclusion</w:t>
            </w:r>
          </w:p>
        </w:tc>
        <w:tc>
          <w:tcPr>
            <w:tcW w:w="2245" w:type="dxa"/>
          </w:tcPr>
          <w:p w:rsidRPr="00AD0EE5" w:rsidR="000D4FD9" w:rsidP="0058754A" w:rsidRDefault="000D4FD9" w14:paraId="71D36691" w14:textId="77777777">
            <w:pPr>
              <w:spacing w:before="120" w:after="120"/>
              <w:jc w:val="center"/>
              <w:rPr>
                <w:b/>
                <w:i/>
                <w:iCs/>
                <w:color w:val="0070C0"/>
                <w:lang w:val="en-GB"/>
              </w:rPr>
            </w:pPr>
            <w:r w:rsidRPr="00AD0EE5">
              <w:rPr>
                <w:b/>
                <w:i/>
                <w:iCs/>
                <w:color w:val="0070C0"/>
                <w:lang w:val="en-GB"/>
              </w:rPr>
              <w:t>Referral Process</w:t>
            </w:r>
          </w:p>
        </w:tc>
      </w:tr>
      <w:tr w:rsidRPr="00434D90" w:rsidR="00434D90" w:rsidTr="00FE5A89" w14:paraId="44EFDBE2" w14:textId="77777777">
        <w:trPr>
          <w:jc w:val="center"/>
        </w:trPr>
        <w:tc>
          <w:tcPr>
            <w:tcW w:w="2795" w:type="dxa"/>
          </w:tcPr>
          <w:p w:rsidRPr="00AD0EE5" w:rsidR="000D4FD9" w:rsidP="00E82689" w:rsidRDefault="000D4FD9" w14:paraId="2686A17F" w14:textId="77777777">
            <w:pPr>
              <w:spacing w:before="120" w:after="120"/>
              <w:jc w:val="both"/>
              <w:rPr>
                <w:i/>
                <w:iCs/>
                <w:color w:val="0070C0"/>
                <w:lang w:val="en-GB"/>
              </w:rPr>
            </w:pPr>
            <w:r w:rsidRPr="00AD0EE5">
              <w:rPr>
                <w:i/>
                <w:iCs/>
                <w:color w:val="0070C0"/>
                <w:lang w:val="en-GB"/>
              </w:rPr>
              <w:t>Registration</w:t>
            </w:r>
          </w:p>
        </w:tc>
        <w:tc>
          <w:tcPr>
            <w:tcW w:w="2610" w:type="dxa"/>
          </w:tcPr>
          <w:p w:rsidRPr="00AD0EE5" w:rsidR="000D4FD9" w:rsidP="00E82689" w:rsidRDefault="000D4FD9" w14:paraId="15EE4953" w14:textId="77777777">
            <w:pPr>
              <w:spacing w:before="120" w:after="120"/>
              <w:jc w:val="both"/>
              <w:rPr>
                <w:i/>
                <w:iCs/>
                <w:color w:val="0070C0"/>
                <w:lang w:val="en-GB"/>
              </w:rPr>
            </w:pPr>
          </w:p>
        </w:tc>
        <w:tc>
          <w:tcPr>
            <w:tcW w:w="2250" w:type="dxa"/>
          </w:tcPr>
          <w:p w:rsidRPr="00AD0EE5" w:rsidR="000D4FD9" w:rsidP="00E82689" w:rsidRDefault="000D4FD9" w14:paraId="717FB3DD" w14:textId="77777777">
            <w:pPr>
              <w:spacing w:before="120" w:after="120"/>
              <w:jc w:val="both"/>
              <w:rPr>
                <w:i/>
                <w:iCs/>
                <w:color w:val="0070C0"/>
                <w:lang w:val="en-GB"/>
              </w:rPr>
            </w:pPr>
          </w:p>
        </w:tc>
        <w:tc>
          <w:tcPr>
            <w:tcW w:w="2245" w:type="dxa"/>
          </w:tcPr>
          <w:p w:rsidRPr="00AD0EE5" w:rsidR="000D4FD9" w:rsidP="00E82689" w:rsidRDefault="000D4FD9" w14:paraId="4B2426C3" w14:textId="77777777">
            <w:pPr>
              <w:spacing w:before="120" w:after="120"/>
              <w:jc w:val="both"/>
              <w:rPr>
                <w:i/>
                <w:iCs/>
                <w:color w:val="0070C0"/>
                <w:lang w:val="en-GB"/>
              </w:rPr>
            </w:pPr>
          </w:p>
        </w:tc>
      </w:tr>
      <w:tr w:rsidRPr="00434D90" w:rsidR="00434D90" w:rsidTr="00FE5A89" w14:paraId="23220415" w14:textId="77777777">
        <w:trPr>
          <w:jc w:val="center"/>
        </w:trPr>
        <w:tc>
          <w:tcPr>
            <w:tcW w:w="2795" w:type="dxa"/>
          </w:tcPr>
          <w:p w:rsidRPr="00AD0EE5" w:rsidR="000D4FD9" w:rsidP="00E82689" w:rsidRDefault="000D4FD9" w14:paraId="40D34D29" w14:textId="77777777">
            <w:pPr>
              <w:spacing w:before="120" w:after="120"/>
              <w:jc w:val="both"/>
              <w:rPr>
                <w:i/>
                <w:iCs/>
                <w:color w:val="0070C0"/>
                <w:lang w:val="en-GB"/>
              </w:rPr>
            </w:pPr>
            <w:r w:rsidRPr="00AD0EE5">
              <w:rPr>
                <w:i/>
                <w:iCs/>
                <w:color w:val="0070C0"/>
                <w:lang w:val="en-GB"/>
              </w:rPr>
              <w:t>RSD</w:t>
            </w:r>
          </w:p>
        </w:tc>
        <w:tc>
          <w:tcPr>
            <w:tcW w:w="2610" w:type="dxa"/>
          </w:tcPr>
          <w:p w:rsidRPr="00AD0EE5" w:rsidR="000D4FD9" w:rsidP="00E82689" w:rsidRDefault="000D4FD9" w14:paraId="0543F27E" w14:textId="77777777">
            <w:pPr>
              <w:spacing w:before="120" w:after="120"/>
              <w:jc w:val="both"/>
              <w:rPr>
                <w:i/>
                <w:iCs/>
                <w:color w:val="0070C0"/>
                <w:lang w:val="en-GB"/>
              </w:rPr>
            </w:pPr>
          </w:p>
        </w:tc>
        <w:tc>
          <w:tcPr>
            <w:tcW w:w="2250" w:type="dxa"/>
          </w:tcPr>
          <w:p w:rsidRPr="00AD0EE5" w:rsidR="000D4FD9" w:rsidP="00E82689" w:rsidRDefault="000D4FD9" w14:paraId="1ABA8206" w14:textId="77777777">
            <w:pPr>
              <w:spacing w:before="120" w:after="120"/>
              <w:jc w:val="both"/>
              <w:rPr>
                <w:i/>
                <w:iCs/>
                <w:color w:val="0070C0"/>
                <w:lang w:val="en-GB"/>
              </w:rPr>
            </w:pPr>
          </w:p>
        </w:tc>
        <w:tc>
          <w:tcPr>
            <w:tcW w:w="2245" w:type="dxa"/>
          </w:tcPr>
          <w:p w:rsidRPr="00AD0EE5" w:rsidR="000D4FD9" w:rsidP="00E82689" w:rsidRDefault="000D4FD9" w14:paraId="001AE724" w14:textId="77777777">
            <w:pPr>
              <w:spacing w:before="120" w:after="120"/>
              <w:jc w:val="both"/>
              <w:rPr>
                <w:i/>
                <w:iCs/>
                <w:color w:val="0070C0"/>
                <w:lang w:val="en-GB"/>
              </w:rPr>
            </w:pPr>
          </w:p>
        </w:tc>
      </w:tr>
      <w:tr w:rsidRPr="00434D90" w:rsidR="00434D90" w:rsidTr="00FE5A89" w14:paraId="4B04629D" w14:textId="77777777">
        <w:trPr>
          <w:jc w:val="center"/>
        </w:trPr>
        <w:tc>
          <w:tcPr>
            <w:tcW w:w="2795" w:type="dxa"/>
          </w:tcPr>
          <w:p w:rsidRPr="00AD0EE5" w:rsidR="000D4FD9" w:rsidP="00E82689" w:rsidRDefault="000D4FD9" w14:paraId="6B034F5A" w14:textId="77777777">
            <w:pPr>
              <w:spacing w:before="120" w:after="120"/>
              <w:jc w:val="both"/>
              <w:rPr>
                <w:i/>
                <w:iCs/>
                <w:color w:val="0070C0"/>
                <w:lang w:val="en-GB"/>
              </w:rPr>
            </w:pPr>
            <w:r w:rsidRPr="00AD0EE5">
              <w:rPr>
                <w:i/>
                <w:iCs/>
                <w:color w:val="0070C0"/>
                <w:lang w:val="en-GB"/>
              </w:rPr>
              <w:t>Durable Solutions</w:t>
            </w:r>
          </w:p>
        </w:tc>
        <w:tc>
          <w:tcPr>
            <w:tcW w:w="2610" w:type="dxa"/>
          </w:tcPr>
          <w:p w:rsidRPr="00AD0EE5" w:rsidR="000D4FD9" w:rsidP="00E82689" w:rsidRDefault="000D4FD9" w14:paraId="790820FC" w14:textId="77777777">
            <w:pPr>
              <w:spacing w:before="120" w:after="120"/>
              <w:jc w:val="both"/>
              <w:rPr>
                <w:i/>
                <w:iCs/>
                <w:color w:val="0070C0"/>
                <w:lang w:val="en-GB"/>
              </w:rPr>
            </w:pPr>
          </w:p>
        </w:tc>
        <w:tc>
          <w:tcPr>
            <w:tcW w:w="2250" w:type="dxa"/>
          </w:tcPr>
          <w:p w:rsidRPr="00AD0EE5" w:rsidR="000D4FD9" w:rsidP="00E82689" w:rsidRDefault="000D4FD9" w14:paraId="47E655F6" w14:textId="77777777">
            <w:pPr>
              <w:spacing w:before="120" w:after="120"/>
              <w:jc w:val="both"/>
              <w:rPr>
                <w:i/>
                <w:iCs/>
                <w:color w:val="0070C0"/>
                <w:lang w:val="en-GB"/>
              </w:rPr>
            </w:pPr>
          </w:p>
        </w:tc>
        <w:tc>
          <w:tcPr>
            <w:tcW w:w="2245" w:type="dxa"/>
          </w:tcPr>
          <w:p w:rsidRPr="00AD0EE5" w:rsidR="000D4FD9" w:rsidP="00E82689" w:rsidRDefault="000D4FD9" w14:paraId="6A7CA64A" w14:textId="77777777">
            <w:pPr>
              <w:spacing w:before="120" w:after="120"/>
              <w:jc w:val="both"/>
              <w:rPr>
                <w:i/>
                <w:iCs/>
                <w:color w:val="0070C0"/>
                <w:lang w:val="en-GB"/>
              </w:rPr>
            </w:pPr>
          </w:p>
        </w:tc>
      </w:tr>
      <w:tr w:rsidRPr="00434D90" w:rsidR="00434D90" w:rsidTr="00FE5A89" w14:paraId="03E18AC3" w14:textId="77777777">
        <w:trPr>
          <w:jc w:val="center"/>
        </w:trPr>
        <w:tc>
          <w:tcPr>
            <w:tcW w:w="2795" w:type="dxa"/>
          </w:tcPr>
          <w:p w:rsidRPr="00AD0EE5" w:rsidR="000D4FD9" w:rsidP="00E82689" w:rsidRDefault="000D4FD9" w14:paraId="0247F2F0" w14:textId="77777777">
            <w:pPr>
              <w:spacing w:before="120" w:after="120"/>
              <w:jc w:val="both"/>
              <w:rPr>
                <w:i/>
                <w:iCs/>
                <w:color w:val="0070C0"/>
                <w:lang w:val="en-GB"/>
              </w:rPr>
            </w:pPr>
            <w:r w:rsidRPr="00AD0EE5">
              <w:rPr>
                <w:i/>
                <w:iCs/>
                <w:color w:val="0070C0"/>
                <w:lang w:val="en-GB"/>
              </w:rPr>
              <w:t>RST Hotlines</w:t>
            </w:r>
          </w:p>
        </w:tc>
        <w:tc>
          <w:tcPr>
            <w:tcW w:w="2610" w:type="dxa"/>
          </w:tcPr>
          <w:p w:rsidRPr="00AD0EE5" w:rsidR="000D4FD9" w:rsidP="00E82689" w:rsidRDefault="000D4FD9" w14:paraId="1D3F82C2" w14:textId="77777777">
            <w:pPr>
              <w:spacing w:before="120" w:after="120"/>
              <w:jc w:val="both"/>
              <w:rPr>
                <w:i/>
                <w:iCs/>
                <w:color w:val="0070C0"/>
                <w:lang w:val="en-GB"/>
              </w:rPr>
            </w:pPr>
          </w:p>
        </w:tc>
        <w:tc>
          <w:tcPr>
            <w:tcW w:w="2250" w:type="dxa"/>
          </w:tcPr>
          <w:p w:rsidRPr="00AD0EE5" w:rsidR="000D4FD9" w:rsidP="00E82689" w:rsidRDefault="000D4FD9" w14:paraId="28880E58" w14:textId="77777777">
            <w:pPr>
              <w:spacing w:before="120" w:after="120"/>
              <w:jc w:val="both"/>
              <w:rPr>
                <w:i/>
                <w:iCs/>
                <w:color w:val="0070C0"/>
                <w:lang w:val="en-GB"/>
              </w:rPr>
            </w:pPr>
          </w:p>
        </w:tc>
        <w:tc>
          <w:tcPr>
            <w:tcW w:w="2245" w:type="dxa"/>
          </w:tcPr>
          <w:p w:rsidRPr="00AD0EE5" w:rsidR="000D4FD9" w:rsidP="00E82689" w:rsidRDefault="000D4FD9" w14:paraId="069B037D" w14:textId="77777777">
            <w:pPr>
              <w:spacing w:before="120" w:after="120"/>
              <w:jc w:val="both"/>
              <w:rPr>
                <w:i/>
                <w:iCs/>
                <w:color w:val="0070C0"/>
                <w:lang w:val="en-GB"/>
              </w:rPr>
            </w:pPr>
          </w:p>
        </w:tc>
      </w:tr>
    </w:tbl>
    <w:p w:rsidRPr="00AD0EE5" w:rsidR="000D4FD9" w:rsidP="00177F69" w:rsidRDefault="00AD0EE5" w14:paraId="090AA0B4" w14:textId="62DB05CB">
      <w:pPr>
        <w:spacing w:before="120" w:after="120" w:line="300" w:lineRule="atLeast"/>
        <w:jc w:val="both"/>
        <w:rPr>
          <w:i/>
          <w:iCs/>
          <w:color w:val="0070C0"/>
          <w:lang w:val="en-GB"/>
        </w:rPr>
      </w:pPr>
      <w:r w:rsidRPr="00AD0EE5">
        <w:rPr>
          <w:i/>
          <w:iCs/>
          <w:color w:val="0070C0"/>
          <w:lang w:val="en-GB"/>
        </w:rPr>
        <w:t>[</w:t>
      </w:r>
      <w:r w:rsidRPr="00AD0EE5" w:rsidR="000D4FD9">
        <w:rPr>
          <w:i/>
          <w:iCs/>
          <w:color w:val="0070C0"/>
          <w:lang w:val="en-GB"/>
        </w:rPr>
        <w:t>Link any existent SOPs and guidance documents (if they exist) for relevant refugee case processing in your context.</w:t>
      </w:r>
      <w:r w:rsidRPr="00AD0EE5">
        <w:rPr>
          <w:i/>
          <w:iCs/>
          <w:color w:val="0070C0"/>
          <w:lang w:val="en-GB"/>
        </w:rPr>
        <w:t>]</w:t>
      </w:r>
    </w:p>
    <w:p w:rsidRPr="00177F69" w:rsidR="003B0E6F" w:rsidP="003166F7" w:rsidRDefault="003B0E6F" w14:paraId="60C53F3B" w14:textId="42E9DB59">
      <w:pPr>
        <w:pStyle w:val="Heading2"/>
      </w:pPr>
      <w:bookmarkStart w:name="_Toc134906287" w:id="130"/>
      <w:bookmarkStart w:name="_Toc142469155" w:id="131"/>
      <w:r w:rsidRPr="00177F69">
        <w:t xml:space="preserve">Community </w:t>
      </w:r>
      <w:r w:rsidRPr="00177F69" w:rsidR="00DD3969">
        <w:t xml:space="preserve">outreach </w:t>
      </w:r>
      <w:r w:rsidRPr="00177F69">
        <w:t>for awareness raising</w:t>
      </w:r>
      <w:bookmarkEnd w:id="130"/>
      <w:r w:rsidR="00177F69">
        <w:rPr>
          <w:rStyle w:val="FootnoteReference"/>
        </w:rPr>
        <w:footnoteReference w:id="121"/>
      </w:r>
      <w:bookmarkEnd w:id="131"/>
    </w:p>
    <w:p w:rsidRPr="009F7561" w:rsidR="003B0E6F" w:rsidP="00177F69" w:rsidRDefault="003B0E6F" w14:paraId="4615EDCD" w14:textId="71A7F2DA">
      <w:pPr>
        <w:spacing w:before="120" w:after="120" w:line="300" w:lineRule="atLeast"/>
        <w:jc w:val="both"/>
        <w:rPr>
          <w:lang w:val="en-GB"/>
        </w:rPr>
      </w:pPr>
      <w:r w:rsidRPr="009F7561">
        <w:rPr>
          <w:lang w:val="en-GB"/>
        </w:rPr>
        <w:t xml:space="preserve">Community outreach for the purpose of awareness-raising serves to increase timely and safe access to services and to mitigate risks of GBV. </w:t>
      </w:r>
    </w:p>
    <w:p w:rsidRPr="009F7561" w:rsidR="003B0E6F" w:rsidP="00177F69" w:rsidRDefault="003B0E6F" w14:paraId="7964A947" w14:textId="5D31E44B">
      <w:pPr>
        <w:spacing w:before="120" w:after="120" w:line="300" w:lineRule="atLeast"/>
        <w:jc w:val="both"/>
        <w:rPr>
          <w:lang w:val="en-GB"/>
        </w:rPr>
      </w:pPr>
      <w:r w:rsidRPr="009F7561">
        <w:rPr>
          <w:lang w:val="en-GB"/>
        </w:rPr>
        <w:t>Community outreach methods vary based on the context and should always use preferred and trusted communication channels. Some ideas include loudspeakers; sharing of information, education, communication materials (IEC) (e.g. posters, pamphlets); meetings or small-group discussions; sharing information at distributions of materials or food; social media and websites.</w:t>
      </w:r>
    </w:p>
    <w:p w:rsidRPr="009F7561" w:rsidR="003B0E6F" w:rsidP="00177F69" w:rsidRDefault="003B0E6F" w14:paraId="2C0858FA" w14:textId="5E2FD689">
      <w:pPr>
        <w:spacing w:before="120" w:after="120" w:line="300" w:lineRule="atLeast"/>
        <w:jc w:val="both"/>
        <w:rPr>
          <w:lang w:val="en-GB"/>
        </w:rPr>
      </w:pPr>
      <w:r w:rsidRPr="009F7561">
        <w:rPr>
          <w:lang w:val="en-GB"/>
        </w:rPr>
        <w:t xml:space="preserve">Safety is an essential element to consider </w:t>
      </w:r>
      <w:r w:rsidR="00AB47B1">
        <w:rPr>
          <w:lang w:val="en-GB"/>
        </w:rPr>
        <w:t xml:space="preserve">when </w:t>
      </w:r>
      <w:r w:rsidRPr="009F7561">
        <w:rPr>
          <w:lang w:val="en-GB"/>
        </w:rPr>
        <w:t>designing community outreach information and methods. It is important to assess how certain information may be viewed by different members of the community or armed groups</w:t>
      </w:r>
      <w:r w:rsidRPr="009F7561" w:rsidR="008A1575">
        <w:rPr>
          <w:lang w:val="en-GB"/>
        </w:rPr>
        <w:t xml:space="preserve"> and </w:t>
      </w:r>
      <w:r w:rsidRPr="009F7561">
        <w:rPr>
          <w:lang w:val="en-GB"/>
        </w:rPr>
        <w:t xml:space="preserve">what this may mean for staff and women and girls. The means of sharing information with communities must also be weighed, </w:t>
      </w:r>
      <w:r w:rsidRPr="009F7561" w:rsidR="000228CE">
        <w:rPr>
          <w:lang w:val="en-GB"/>
        </w:rPr>
        <w:t>for example</w:t>
      </w:r>
      <w:r w:rsidRPr="009F7561">
        <w:rPr>
          <w:lang w:val="en-GB"/>
        </w:rPr>
        <w:t xml:space="preserve"> in some contexts, men will not allow women to meet together or mobilize. All GBV outreach should be</w:t>
      </w:r>
      <w:r w:rsidR="00AB47B1">
        <w:rPr>
          <w:lang w:val="en-GB"/>
        </w:rPr>
        <w:t xml:space="preserve"> </w:t>
      </w:r>
      <w:r w:rsidRPr="009F7561">
        <w:rPr>
          <w:lang w:val="en-GB"/>
        </w:rPr>
        <w:t>led by or coordinated with GBV specialized actors.</w:t>
      </w:r>
    </w:p>
    <w:p w:rsidRPr="009F7561" w:rsidR="003B0E6F" w:rsidP="00177F69" w:rsidRDefault="003B0E6F" w14:paraId="5323A2FF" w14:textId="77777777">
      <w:pPr>
        <w:spacing w:before="120" w:after="120" w:line="300" w:lineRule="atLeast"/>
        <w:jc w:val="both"/>
        <w:rPr>
          <w:lang w:val="en-GB"/>
        </w:rPr>
      </w:pPr>
      <w:r w:rsidRPr="009F7561">
        <w:rPr>
          <w:lang w:val="en-GB"/>
        </w:rPr>
        <w:t>Key attributes of effective community outreach messages on GBV include:</w:t>
      </w:r>
    </w:p>
    <w:p w:rsidRPr="009F7561" w:rsidR="003B0E6F" w:rsidP="00E96F61" w:rsidRDefault="003B0E6F" w14:paraId="03610A5A" w14:textId="77777777">
      <w:pPr>
        <w:numPr>
          <w:ilvl w:val="0"/>
          <w:numId w:val="7"/>
        </w:numPr>
        <w:pBdr>
          <w:top w:val="nil"/>
          <w:left w:val="nil"/>
          <w:bottom w:val="nil"/>
          <w:right w:val="nil"/>
          <w:between w:val="nil"/>
        </w:pBdr>
        <w:spacing w:before="120" w:after="120" w:line="240" w:lineRule="auto"/>
        <w:jc w:val="both"/>
        <w:rPr>
          <w:lang w:val="en-GB"/>
        </w:rPr>
      </w:pPr>
      <w:r w:rsidRPr="00585205">
        <w:rPr>
          <w:lang w:val="en-GB"/>
        </w:rPr>
        <w:t>Clarity: Keep the wording and meaning of the message simple.</w:t>
      </w:r>
    </w:p>
    <w:p w:rsidRPr="009F7561" w:rsidR="003B0E6F" w:rsidP="00E96F61" w:rsidRDefault="003B0E6F" w14:paraId="17C8597B" w14:textId="2A45E547">
      <w:pPr>
        <w:numPr>
          <w:ilvl w:val="0"/>
          <w:numId w:val="7"/>
        </w:numPr>
        <w:pBdr>
          <w:top w:val="nil"/>
          <w:left w:val="nil"/>
          <w:bottom w:val="nil"/>
          <w:right w:val="nil"/>
          <w:between w:val="nil"/>
        </w:pBdr>
        <w:spacing w:before="120" w:after="120" w:line="240" w:lineRule="auto"/>
        <w:jc w:val="both"/>
        <w:rPr>
          <w:lang w:val="en-GB"/>
        </w:rPr>
      </w:pPr>
      <w:r w:rsidRPr="00585205">
        <w:rPr>
          <w:lang w:val="en-GB"/>
        </w:rPr>
        <w:t>Easy to read/hear/understand: Images should be clear and culturally appropriate using common words which have been tested for comprehension with community members.</w:t>
      </w:r>
    </w:p>
    <w:p w:rsidRPr="009F7561" w:rsidR="003B0E6F" w:rsidP="00E96F61" w:rsidRDefault="003B0E6F" w14:paraId="106B9D57" w14:textId="0F258C0C">
      <w:pPr>
        <w:numPr>
          <w:ilvl w:val="0"/>
          <w:numId w:val="7"/>
        </w:numPr>
        <w:pBdr>
          <w:top w:val="nil"/>
          <w:left w:val="nil"/>
          <w:bottom w:val="nil"/>
          <w:right w:val="nil"/>
          <w:between w:val="nil"/>
        </w:pBdr>
        <w:spacing w:before="120" w:after="120" w:line="240" w:lineRule="auto"/>
        <w:jc w:val="both"/>
        <w:rPr>
          <w:lang w:val="en-GB"/>
        </w:rPr>
      </w:pPr>
      <w:r w:rsidRPr="00585205">
        <w:rPr>
          <w:lang w:val="en-GB"/>
        </w:rPr>
        <w:t>Action-oriented: Consider how the information conveyed helps the community, women and girls,</w:t>
      </w:r>
      <w:r w:rsidR="00101D69">
        <w:rPr>
          <w:lang w:val="en-GB"/>
        </w:rPr>
        <w:t xml:space="preserve"> and</w:t>
      </w:r>
      <w:r w:rsidRPr="00585205">
        <w:rPr>
          <w:lang w:val="en-GB"/>
        </w:rPr>
        <w:t xml:space="preserve"> GBV survivors know what to do to help themselves.</w:t>
      </w:r>
    </w:p>
    <w:p w:rsidRPr="009F7561" w:rsidR="003B0E6F" w:rsidP="00E96F61" w:rsidRDefault="003B0E6F" w14:paraId="3E85F4D2" w14:textId="77777777">
      <w:pPr>
        <w:numPr>
          <w:ilvl w:val="0"/>
          <w:numId w:val="7"/>
        </w:numPr>
        <w:pBdr>
          <w:top w:val="nil"/>
          <w:left w:val="nil"/>
          <w:bottom w:val="nil"/>
          <w:right w:val="nil"/>
          <w:between w:val="nil"/>
        </w:pBdr>
        <w:spacing w:before="120" w:after="120" w:line="240" w:lineRule="auto"/>
        <w:jc w:val="both"/>
        <w:rPr>
          <w:lang w:val="en-GB"/>
        </w:rPr>
      </w:pPr>
      <w:r w:rsidRPr="00585205">
        <w:rPr>
          <w:lang w:val="en-GB"/>
        </w:rPr>
        <w:t>Specific: Include instructive details.</w:t>
      </w:r>
    </w:p>
    <w:p w:rsidRPr="009F7561" w:rsidR="003B0E6F" w:rsidP="00E96F61" w:rsidRDefault="003B0E6F" w14:paraId="15F5E9AE" w14:textId="5E011542">
      <w:pPr>
        <w:numPr>
          <w:ilvl w:val="0"/>
          <w:numId w:val="7"/>
        </w:numPr>
        <w:pBdr>
          <w:top w:val="nil"/>
          <w:left w:val="nil"/>
          <w:bottom w:val="nil"/>
          <w:right w:val="nil"/>
          <w:between w:val="nil"/>
        </w:pBdr>
        <w:spacing w:before="120" w:after="120" w:line="240" w:lineRule="auto"/>
        <w:jc w:val="both"/>
        <w:rPr>
          <w:lang w:val="en-GB"/>
        </w:rPr>
      </w:pPr>
      <w:r w:rsidRPr="00585205">
        <w:rPr>
          <w:lang w:val="en-GB"/>
        </w:rPr>
        <w:t xml:space="preserve">Positive: Illustrate positive action and attitudes; do not patronize, shame or depict people in negative ways. </w:t>
      </w:r>
      <w:r w:rsidRPr="009F7561">
        <w:rPr>
          <w:lang w:val="en-GB"/>
        </w:rPr>
        <w:t xml:space="preserve">Images of violence against women and girls should not be used in </w:t>
      </w:r>
      <w:r w:rsidRPr="009F7561">
        <w:rPr>
          <w:lang w:val="en-GB"/>
        </w:rPr>
        <w:t>community outreach messaging as this can normalize violence and be a harmful trigger for survivors.</w:t>
      </w:r>
    </w:p>
    <w:p w:rsidRPr="009F7561" w:rsidR="003B0E6F" w:rsidP="00E96F61" w:rsidRDefault="003B0E6F" w14:paraId="5F7465AC" w14:textId="153621F1">
      <w:pPr>
        <w:numPr>
          <w:ilvl w:val="0"/>
          <w:numId w:val="7"/>
        </w:numPr>
        <w:pBdr>
          <w:top w:val="nil"/>
          <w:left w:val="nil"/>
          <w:bottom w:val="nil"/>
          <w:right w:val="nil"/>
          <w:between w:val="nil"/>
        </w:pBdr>
        <w:spacing w:before="120" w:after="120" w:line="240" w:lineRule="auto"/>
        <w:jc w:val="both"/>
        <w:rPr>
          <w:lang w:val="en-GB"/>
        </w:rPr>
      </w:pPr>
      <w:r w:rsidRPr="009F7561">
        <w:rPr>
          <w:lang w:val="en-GB"/>
        </w:rPr>
        <w:t>Inclusive: Messages should be</w:t>
      </w:r>
      <w:r w:rsidR="00F425EB">
        <w:rPr>
          <w:lang w:val="en-GB"/>
        </w:rPr>
        <w:t xml:space="preserve"> </w:t>
      </w:r>
      <w:r w:rsidRPr="009F7561">
        <w:rPr>
          <w:lang w:val="en-GB"/>
        </w:rPr>
        <w:t>as inclusive as possible by ensuring that different groups of women and girls – including all age groups, relevant ethnicities and those with different disabilities – are reflected in community outreach images. Design messages to reach the most people possible</w:t>
      </w:r>
      <w:r w:rsidR="00F425EB">
        <w:rPr>
          <w:lang w:val="en-GB"/>
        </w:rPr>
        <w:t>,</w:t>
      </w:r>
      <w:r w:rsidRPr="009F7561" w:rsidR="00F425EB">
        <w:rPr>
          <w:lang w:val="en-GB"/>
        </w:rPr>
        <w:t xml:space="preserve"> </w:t>
      </w:r>
      <w:r w:rsidRPr="009F7561">
        <w:rPr>
          <w:lang w:val="en-GB"/>
        </w:rPr>
        <w:t>for example, taking into account the literacy rate and</w:t>
      </w:r>
      <w:r w:rsidRPr="009F7561" w:rsidR="000228CE">
        <w:rPr>
          <w:lang w:val="en-GB"/>
        </w:rPr>
        <w:t>/or</w:t>
      </w:r>
      <w:r w:rsidRPr="009F7561">
        <w:rPr>
          <w:lang w:val="en-GB"/>
        </w:rPr>
        <w:t xml:space="preserve"> internet access. </w:t>
      </w:r>
    </w:p>
    <w:p w:rsidRPr="009F7561" w:rsidR="003B0E6F" w:rsidP="00177F69" w:rsidRDefault="003B0E6F" w14:paraId="754957E4" w14:textId="5BB2E60B">
      <w:pPr>
        <w:spacing w:before="120" w:after="120" w:line="300" w:lineRule="atLeast"/>
        <w:jc w:val="both"/>
        <w:rPr>
          <w:lang w:val="en-GB"/>
        </w:rPr>
      </w:pPr>
      <w:r w:rsidRPr="009F7561">
        <w:rPr>
          <w:lang w:val="en-GB"/>
        </w:rPr>
        <w:t>When deciding when and how to share information, consider the barriers that women and</w:t>
      </w:r>
      <w:r w:rsidR="00177F69">
        <w:rPr>
          <w:lang w:val="en-GB"/>
        </w:rPr>
        <w:t xml:space="preserve"> </w:t>
      </w:r>
      <w:r w:rsidRPr="009F7561">
        <w:rPr>
          <w:lang w:val="en-GB"/>
        </w:rPr>
        <w:t>girls may face in accessing information. It is important to use multiple channels to share information and consider how women and girls prefer to access information.</w:t>
      </w:r>
    </w:p>
    <w:p w:rsidRPr="009F7561" w:rsidR="003B0E6F" w:rsidP="00177F69" w:rsidRDefault="003B0E6F" w14:paraId="1C7A9FA9" w14:textId="628CE957">
      <w:pPr>
        <w:spacing w:before="120" w:after="120" w:line="300" w:lineRule="atLeast"/>
        <w:jc w:val="both"/>
        <w:rPr>
          <w:b/>
          <w:bCs/>
          <w:lang w:val="en-GB"/>
        </w:rPr>
      </w:pPr>
      <w:r w:rsidRPr="00585205">
        <w:rPr>
          <w:spacing w:val="-2"/>
          <w:lang w:val="en-GB"/>
        </w:rPr>
        <w:t xml:space="preserve">All outreach on GBV must include information on how survivors can access support. </w:t>
      </w:r>
      <w:r w:rsidRPr="00585205">
        <w:rPr>
          <w:b/>
          <w:bCs/>
          <w:spacing w:val="-2"/>
          <w:lang w:val="en-GB"/>
        </w:rPr>
        <w:t>Do not conduct outreach activities on GBV in locations where response services are not available</w:t>
      </w:r>
      <w:r w:rsidRPr="009F7561">
        <w:rPr>
          <w:b/>
          <w:bCs/>
          <w:lang w:val="en-GB"/>
        </w:rPr>
        <w:t>.</w:t>
      </w:r>
    </w:p>
    <w:p w:rsidRPr="00AD0EE5" w:rsidR="00855CAE" w:rsidP="00177F69" w:rsidRDefault="00AD0EE5" w14:paraId="24B9BD16" w14:textId="7228C581">
      <w:pPr>
        <w:spacing w:before="120" w:after="120" w:line="300" w:lineRule="atLeast"/>
        <w:jc w:val="both"/>
        <w:rPr>
          <w:i/>
          <w:iCs/>
          <w:color w:val="0070C0"/>
          <w:lang w:val="en-GB"/>
        </w:rPr>
      </w:pPr>
      <w:r w:rsidRPr="00AD0EE5">
        <w:rPr>
          <w:i/>
          <w:iCs/>
          <w:color w:val="0070C0"/>
          <w:lang w:val="en-GB"/>
        </w:rPr>
        <w:t>[</w:t>
      </w:r>
      <w:r w:rsidRPr="00AD0EE5" w:rsidR="003B0E6F">
        <w:rPr>
          <w:i/>
          <w:iCs/>
          <w:color w:val="0070C0"/>
          <w:lang w:val="en-GB"/>
        </w:rPr>
        <w:t>List here key information to share with the community to increase timely and safe access to services and mitigate risks of GBV. List safe and appropriate community outreach methods or include these in an annex.</w:t>
      </w:r>
      <w:r w:rsidRPr="00AD0EE5">
        <w:rPr>
          <w:i/>
          <w:iCs/>
          <w:color w:val="0070C0"/>
          <w:lang w:val="en-GB"/>
        </w:rPr>
        <w:t>]</w:t>
      </w:r>
    </w:p>
    <w:p w:rsidR="00855CAE" w:rsidRDefault="00855CAE" w14:paraId="0A962A8E" w14:textId="77777777">
      <w:pPr>
        <w:rPr>
          <w:color w:val="0070C0"/>
          <w:lang w:val="en-GB"/>
        </w:rPr>
      </w:pPr>
      <w:r>
        <w:rPr>
          <w:color w:val="0070C0"/>
          <w:lang w:val="en-GB"/>
        </w:rPr>
        <w:br w:type="page"/>
      </w:r>
    </w:p>
    <w:p w:rsidRPr="0042303E" w:rsidR="003B0E6F" w:rsidP="002D1E7B" w:rsidRDefault="003B0E6F" w14:paraId="446392FA" w14:textId="77777777">
      <w:pPr>
        <w:pStyle w:val="Heading1"/>
      </w:pPr>
      <w:bookmarkStart w:name="_Toc134906288" w:id="132"/>
      <w:bookmarkStart w:name="_Toc142469156" w:id="133"/>
      <w:r w:rsidRPr="0042303E">
        <w:t>SECTION 4: DOCUMENTATION CONSIDERATIONS FOR CASE MANAGEMENT PROVIDERS</w:t>
      </w:r>
      <w:bookmarkEnd w:id="132"/>
      <w:bookmarkEnd w:id="133"/>
      <w:r w:rsidRPr="0042303E">
        <w:t xml:space="preserve"> </w:t>
      </w:r>
    </w:p>
    <w:p w:rsidRPr="009F7561" w:rsidR="003B0E6F" w:rsidP="00F37804" w:rsidRDefault="003B0E6F" w14:paraId="1747B6F1" w14:textId="4642B4FB">
      <w:pPr>
        <w:spacing w:before="120" w:after="120" w:line="300" w:lineRule="atLeast"/>
        <w:jc w:val="both"/>
        <w:rPr>
          <w:lang w:val="en-GB"/>
        </w:rPr>
      </w:pPr>
      <w:r w:rsidRPr="009F7561">
        <w:rPr>
          <w:lang w:val="en-GB"/>
        </w:rPr>
        <w:t>Quality GBV case management services require a survivor-</w:t>
      </w:r>
      <w:r w:rsidRPr="009F7561" w:rsidR="004A74E4">
        <w:rPr>
          <w:lang w:val="en-GB"/>
        </w:rPr>
        <w:t>centred</w:t>
      </w:r>
      <w:r w:rsidRPr="009F7561">
        <w:rPr>
          <w:lang w:val="en-GB"/>
        </w:rPr>
        <w:t xml:space="preserve"> approach that includes the GBV </w:t>
      </w:r>
      <w:r w:rsidRPr="009F7561" w:rsidR="000228CE">
        <w:rPr>
          <w:lang w:val="en-GB"/>
        </w:rPr>
        <w:t xml:space="preserve">guiding principles </w:t>
      </w:r>
      <w:r w:rsidRPr="009F7561">
        <w:rPr>
          <w:lang w:val="en-GB"/>
        </w:rPr>
        <w:t xml:space="preserve">and supports survivors to meet their needs through a series of steps (see also </w:t>
      </w:r>
      <w:r w:rsidRPr="009F7561" w:rsidR="00CB5A06">
        <w:rPr>
          <w:lang w:val="en-GB"/>
        </w:rPr>
        <w:t>section</w:t>
      </w:r>
      <w:r w:rsidRPr="009F7561">
        <w:rPr>
          <w:lang w:val="en-GB"/>
        </w:rPr>
        <w:t xml:space="preserve"> 3.4.3). In addition to direct interaction with survivor</w:t>
      </w:r>
      <w:r w:rsidRPr="009F7561" w:rsidR="000228CE">
        <w:rPr>
          <w:lang w:val="en-GB"/>
        </w:rPr>
        <w:t>s</w:t>
      </w:r>
      <w:r w:rsidRPr="009F7561">
        <w:rPr>
          <w:lang w:val="en-GB"/>
        </w:rPr>
        <w:t>, other key activities are necessary to ensure the quality and safety of services.</w:t>
      </w:r>
      <w:r w:rsidRPr="009F7561" w:rsidR="003C264D">
        <w:rPr>
          <w:lang w:val="en-GB"/>
        </w:rPr>
        <w:t xml:space="preserve"> </w:t>
      </w:r>
      <w:r w:rsidRPr="009F7561">
        <w:rPr>
          <w:lang w:val="en-GB"/>
        </w:rPr>
        <w:t xml:space="preserve">Effective GBV coordination is necessary for quality GBV case management by ensuring that relevant actors know their roles and work according to minimum standards for compassionate and competent care as well as existing service mapping. How information </w:t>
      </w:r>
      <w:r w:rsidR="002F2F4A">
        <w:rPr>
          <w:lang w:val="en-GB"/>
        </w:rPr>
        <w:t xml:space="preserve">is </w:t>
      </w:r>
      <w:r w:rsidRPr="009F7561">
        <w:rPr>
          <w:lang w:val="en-GB"/>
        </w:rPr>
        <w:t xml:space="preserve">collected during the case management process is integral to providing quality care and ensuring safety. </w:t>
      </w:r>
    </w:p>
    <w:p w:rsidRPr="009F7561" w:rsidR="003B0E6F" w:rsidP="00F37804" w:rsidRDefault="003B0E6F" w14:paraId="3CCC591B" w14:textId="64B45CEC">
      <w:pPr>
        <w:spacing w:before="120" w:after="120" w:line="300" w:lineRule="atLeast"/>
        <w:jc w:val="both"/>
        <w:rPr>
          <w:lang w:val="en-GB"/>
        </w:rPr>
      </w:pPr>
      <w:r w:rsidRPr="009F7561">
        <w:rPr>
          <w:lang w:val="en-GB"/>
        </w:rPr>
        <w:t>Case documentation</w:t>
      </w:r>
      <w:r w:rsidRPr="00585205">
        <w:rPr>
          <w:vertAlign w:val="superscript"/>
          <w:lang w:val="en-GB"/>
        </w:rPr>
        <w:footnoteReference w:id="122"/>
      </w:r>
      <w:r w:rsidRPr="009F7561">
        <w:rPr>
          <w:lang w:val="en-GB"/>
        </w:rPr>
        <w:t xml:space="preserve"> refers to the documentation of information (either on paper or digitally) relating to an individual survivor</w:t>
      </w:r>
      <w:r w:rsidRPr="009F7561" w:rsidR="00315391">
        <w:rPr>
          <w:lang w:val="en-GB"/>
        </w:rPr>
        <w:t>’s</w:t>
      </w:r>
      <w:r w:rsidRPr="009F7561">
        <w:rPr>
          <w:lang w:val="en-GB"/>
        </w:rPr>
        <w:t xml:space="preserve"> case management service provision by a case management organ</w:t>
      </w:r>
      <w:r w:rsidRPr="009F7561" w:rsidR="002D1850">
        <w:rPr>
          <w:lang w:val="en-GB"/>
        </w:rPr>
        <w:t>iza</w:t>
      </w:r>
      <w:r w:rsidRPr="009F7561">
        <w:rPr>
          <w:lang w:val="en-GB"/>
        </w:rPr>
        <w:t>tion. Generally, case documentation information includes dates of services and summaries of discussions</w:t>
      </w:r>
      <w:r w:rsidR="002F2F4A">
        <w:rPr>
          <w:lang w:val="en-GB"/>
        </w:rPr>
        <w:t>,</w:t>
      </w:r>
      <w:r w:rsidRPr="009F7561" w:rsidR="002F2F4A">
        <w:rPr>
          <w:lang w:val="en-GB"/>
        </w:rPr>
        <w:t xml:space="preserve"> </w:t>
      </w:r>
      <w:r w:rsidRPr="009F7561">
        <w:rPr>
          <w:lang w:val="en-GB"/>
        </w:rPr>
        <w:t>a brief description of the incident and the survivor</w:t>
      </w:r>
      <w:r w:rsidRPr="009F7561" w:rsidR="00315391">
        <w:rPr>
          <w:lang w:val="en-GB"/>
        </w:rPr>
        <w:t>’s</w:t>
      </w:r>
      <w:r w:rsidRPr="009F7561">
        <w:rPr>
          <w:lang w:val="en-GB"/>
        </w:rPr>
        <w:t xml:space="preserve"> situation</w:t>
      </w:r>
      <w:r w:rsidR="002F2F4A">
        <w:rPr>
          <w:lang w:val="en-GB"/>
        </w:rPr>
        <w:t>,</w:t>
      </w:r>
      <w:r w:rsidRPr="009F7561" w:rsidR="002F2F4A">
        <w:rPr>
          <w:lang w:val="en-GB"/>
        </w:rPr>
        <w:t xml:space="preserve"> </w:t>
      </w:r>
      <w:r w:rsidRPr="009F7561">
        <w:rPr>
          <w:lang w:val="en-GB"/>
        </w:rPr>
        <w:t>relevant action plans and follow-up appointment information. Case documentation also includes the date and reason for closing the survivor</w:t>
      </w:r>
      <w:r w:rsidRPr="009F7561" w:rsidR="00315391">
        <w:rPr>
          <w:lang w:val="en-GB"/>
        </w:rPr>
        <w:t>’s</w:t>
      </w:r>
      <w:r w:rsidRPr="009F7561">
        <w:rPr>
          <w:lang w:val="en-GB"/>
        </w:rPr>
        <w:t xml:space="preserve"> case. </w:t>
      </w:r>
    </w:p>
    <w:p w:rsidRPr="009F7561" w:rsidR="003B0E6F" w:rsidP="00F37804" w:rsidRDefault="003B0E6F" w14:paraId="70CA425E" w14:textId="58AD291C">
      <w:pPr>
        <w:spacing w:before="120" w:after="120" w:line="300" w:lineRule="atLeast"/>
        <w:jc w:val="both"/>
        <w:rPr>
          <w:lang w:val="en-GB"/>
        </w:rPr>
      </w:pPr>
      <w:r w:rsidRPr="009F7561">
        <w:rPr>
          <w:lang w:val="en-GB"/>
        </w:rPr>
        <w:t>Although documentation supports the quality of service provision to survivors and promotes accountability, it is not required to provide quality case management services</w:t>
      </w:r>
      <w:r w:rsidRPr="009F7561" w:rsidR="008A1575">
        <w:rPr>
          <w:lang w:val="en-GB"/>
        </w:rPr>
        <w:t xml:space="preserve"> and </w:t>
      </w:r>
      <w:r w:rsidRPr="009F7561">
        <w:rPr>
          <w:lang w:val="en-GB"/>
        </w:rPr>
        <w:t>might be inappropriate under certain conditions. Setting up a system to document individual case information is appropriate only if a service is offered and paper or digital records can be securely stored. Any type of survivor information should</w:t>
      </w:r>
      <w:r w:rsidR="00BF75C3">
        <w:rPr>
          <w:lang w:val="en-GB"/>
        </w:rPr>
        <w:t xml:space="preserve"> </w:t>
      </w:r>
      <w:r w:rsidRPr="009F7561">
        <w:rPr>
          <w:lang w:val="en-GB"/>
        </w:rPr>
        <w:t xml:space="preserve">only be collected in line with the GBV </w:t>
      </w:r>
      <w:r w:rsidRPr="009F7561" w:rsidR="000228CE">
        <w:rPr>
          <w:lang w:val="en-GB"/>
        </w:rPr>
        <w:t>guiding principles</w:t>
      </w:r>
      <w:r w:rsidRPr="009F7561">
        <w:rPr>
          <w:lang w:val="en-GB"/>
        </w:rPr>
        <w:t>, on a need-to-know basis</w:t>
      </w:r>
      <w:r w:rsidRPr="009F7561" w:rsidR="008A1575">
        <w:rPr>
          <w:lang w:val="en-GB"/>
        </w:rPr>
        <w:t xml:space="preserve"> and </w:t>
      </w:r>
      <w:r w:rsidRPr="009F7561">
        <w:rPr>
          <w:lang w:val="en-GB"/>
        </w:rPr>
        <w:t>as part of direct service provision. It is not appropriate, for example, to seek out or record identifiable information about survivors solely for the purpose of protection or human rights monitoring.</w:t>
      </w:r>
    </w:p>
    <w:p w:rsidRPr="009F7561" w:rsidR="003B0E6F" w:rsidP="00F37804" w:rsidRDefault="003B0E6F" w14:paraId="14537158" w14:textId="68156DEE">
      <w:pPr>
        <w:spacing w:before="120" w:after="120" w:line="300" w:lineRule="atLeast"/>
        <w:jc w:val="both"/>
        <w:rPr>
          <w:lang w:val="en-GB"/>
        </w:rPr>
      </w:pPr>
      <w:r w:rsidRPr="009F7561">
        <w:rPr>
          <w:lang w:val="en-GB"/>
        </w:rPr>
        <w:t>It is important to be cautious in all contexts when deciding if and when to begin documenting and maintaining survivor case files because of the security risks to survivors, their families and staff. The decision of whether to collect survivor data depends on an organ</w:t>
      </w:r>
      <w:r w:rsidRPr="009F7561" w:rsidR="002D1850">
        <w:rPr>
          <w:lang w:val="en-GB"/>
        </w:rPr>
        <w:t>iza</w:t>
      </w:r>
      <w:r w:rsidRPr="009F7561">
        <w:rPr>
          <w:lang w:val="en-GB"/>
        </w:rPr>
        <w:t>tion</w:t>
      </w:r>
      <w:r w:rsidRPr="009F7561" w:rsidR="00315391">
        <w:rPr>
          <w:lang w:val="en-GB"/>
        </w:rPr>
        <w:t>’s</w:t>
      </w:r>
      <w:r w:rsidRPr="009F7561">
        <w:rPr>
          <w:lang w:val="en-GB"/>
        </w:rPr>
        <w:t xml:space="preserve"> capacity to ensure safe, confidential storage of all information. All documentation containing information about survivors should be</w:t>
      </w:r>
      <w:r w:rsidR="00A7165E">
        <w:rPr>
          <w:lang w:val="en-GB"/>
        </w:rPr>
        <w:t xml:space="preserve"> </w:t>
      </w:r>
      <w:r w:rsidRPr="009F7561">
        <w:rPr>
          <w:lang w:val="en-GB"/>
        </w:rPr>
        <w:t>collected and stored in adherence to international standards that priorit</w:t>
      </w:r>
      <w:r w:rsidRPr="009F7561" w:rsidR="005E1813">
        <w:rPr>
          <w:lang w:val="en-GB"/>
        </w:rPr>
        <w:t>ize</w:t>
      </w:r>
      <w:r w:rsidRPr="009F7561">
        <w:rPr>
          <w:lang w:val="en-GB"/>
        </w:rPr>
        <w:t xml:space="preserve"> survivors</w:t>
      </w:r>
      <w:r w:rsidRPr="009F7561" w:rsidR="000228CE">
        <w:rPr>
          <w:lang w:val="en-GB"/>
        </w:rPr>
        <w:t>’</w:t>
      </w:r>
      <w:r w:rsidRPr="009F7561">
        <w:rPr>
          <w:lang w:val="en-GB"/>
        </w:rPr>
        <w:t xml:space="preserve"> confidentiality, safety and security. In the absence of secure storage for information, it should be assumed that data is not secure and may be subject to unauthorized access and dissemination. </w:t>
      </w:r>
    </w:p>
    <w:p w:rsidRPr="00C2587C" w:rsidR="003B0E6F" w:rsidP="00E96F61" w:rsidRDefault="003B0E6F" w14:paraId="2D6C9174" w14:textId="11CC19AE">
      <w:pPr>
        <w:pStyle w:val="Heading2"/>
        <w:numPr>
          <w:ilvl w:val="1"/>
          <w:numId w:val="41"/>
        </w:numPr>
      </w:pPr>
      <w:bookmarkStart w:name="_Toc134906289" w:id="135"/>
      <w:bookmarkStart w:name="_Toc142469157" w:id="136"/>
      <w:r w:rsidRPr="00C2587C">
        <w:t xml:space="preserve">Case </w:t>
      </w:r>
      <w:r w:rsidRPr="00C2587C" w:rsidR="000228CE">
        <w:t>management forms and case files</w:t>
      </w:r>
      <w:bookmarkEnd w:id="135"/>
      <w:r w:rsidR="00B84B36">
        <w:rPr>
          <w:rStyle w:val="FootnoteReference"/>
        </w:rPr>
        <w:footnoteReference w:id="123"/>
      </w:r>
      <w:bookmarkEnd w:id="136"/>
    </w:p>
    <w:p w:rsidRPr="009F7561" w:rsidR="003B0E6F" w:rsidP="00591A92" w:rsidRDefault="003B0E6F" w14:paraId="70AB28D4" w14:textId="07E863F4">
      <w:pPr>
        <w:spacing w:before="120" w:after="120" w:line="300" w:lineRule="atLeast"/>
        <w:jc w:val="both"/>
        <w:rPr>
          <w:i/>
          <w:lang w:val="en-GB"/>
        </w:rPr>
      </w:pPr>
      <w:r w:rsidRPr="009F7561">
        <w:rPr>
          <w:lang w:val="en-GB"/>
        </w:rPr>
        <w:t xml:space="preserve">If it is safe to establish a system for case management documentation, </w:t>
      </w:r>
      <w:hyperlink r:id="rId21">
        <w:r w:rsidRPr="00585205" w:rsidR="000228CE">
          <w:rPr>
            <w:u w:val="single"/>
            <w:lang w:val="en-GB"/>
          </w:rPr>
          <w:t>consent form</w:t>
        </w:r>
      </w:hyperlink>
      <w:r w:rsidRPr="009F7561" w:rsidR="000228CE">
        <w:rPr>
          <w:lang w:val="en-GB"/>
        </w:rPr>
        <w:t xml:space="preserve"> </w:t>
      </w:r>
      <w:r w:rsidRPr="009F7561">
        <w:rPr>
          <w:lang w:val="en-GB"/>
        </w:rPr>
        <w:t xml:space="preserve">and </w:t>
      </w:r>
      <w:hyperlink r:id="rId22">
        <w:r w:rsidRPr="00585205" w:rsidR="000228CE">
          <w:rPr>
            <w:u w:val="single"/>
            <w:lang w:val="en-GB"/>
          </w:rPr>
          <w:t>standard GBV intake and assessment form</w:t>
        </w:r>
      </w:hyperlink>
      <w:r w:rsidR="00D03A32">
        <w:rPr>
          <w:u w:val="single"/>
          <w:lang w:val="en-GB"/>
        </w:rPr>
        <w:t xml:space="preserve"> should be developed and used</w:t>
      </w:r>
      <w:r w:rsidRPr="009F7561">
        <w:rPr>
          <w:lang w:val="en-GB"/>
        </w:rPr>
        <w:t xml:space="preserve">. Other forms that can be part </w:t>
      </w:r>
      <w:r w:rsidRPr="009F7561">
        <w:rPr>
          <w:lang w:val="en-GB"/>
        </w:rPr>
        <w:t xml:space="preserve">of case documentation include </w:t>
      </w:r>
      <w:hyperlink r:id="rId23">
        <w:r w:rsidRPr="00585205">
          <w:rPr>
            <w:u w:val="single"/>
            <w:lang w:val="en-GB"/>
          </w:rPr>
          <w:t>case action plan</w:t>
        </w:r>
      </w:hyperlink>
      <w:r w:rsidRPr="009F7561">
        <w:rPr>
          <w:vertAlign w:val="superscript"/>
          <w:lang w:val="en-GB"/>
        </w:rPr>
        <w:footnoteReference w:id="124"/>
      </w:r>
      <w:r w:rsidRPr="009F7561">
        <w:rPr>
          <w:lang w:val="en-GB"/>
        </w:rPr>
        <w:t xml:space="preserve">, </w:t>
      </w:r>
      <w:hyperlink r:id="rId24">
        <w:r w:rsidRPr="00585205">
          <w:rPr>
            <w:u w:val="single"/>
            <w:lang w:val="en-GB"/>
          </w:rPr>
          <w:t>written safety plan</w:t>
        </w:r>
      </w:hyperlink>
      <w:r w:rsidRPr="009F7561">
        <w:rPr>
          <w:lang w:val="en-GB"/>
        </w:rPr>
        <w:t xml:space="preserve">, </w:t>
      </w:r>
      <w:hyperlink r:id="rId25">
        <w:r w:rsidRPr="00585205">
          <w:rPr>
            <w:u w:val="single"/>
            <w:lang w:val="en-GB"/>
          </w:rPr>
          <w:t>referral form</w:t>
        </w:r>
      </w:hyperlink>
      <w:r w:rsidRPr="009F7561">
        <w:rPr>
          <w:lang w:val="en-GB"/>
        </w:rPr>
        <w:t xml:space="preserve">, </w:t>
      </w:r>
      <w:hyperlink r:id="rId26">
        <w:r w:rsidRPr="00585205">
          <w:rPr>
            <w:u w:val="single"/>
            <w:lang w:val="en-GB"/>
          </w:rPr>
          <w:t>case follow-up form</w:t>
        </w:r>
      </w:hyperlink>
      <w:r w:rsidRPr="009F7561">
        <w:rPr>
          <w:vertAlign w:val="superscript"/>
          <w:lang w:val="en-GB"/>
        </w:rPr>
        <w:footnoteReference w:id="125"/>
      </w:r>
      <w:r w:rsidRPr="009F7561">
        <w:rPr>
          <w:lang w:val="en-GB"/>
        </w:rPr>
        <w:t xml:space="preserve"> and </w:t>
      </w:r>
      <w:hyperlink r:id="rId27">
        <w:r w:rsidRPr="00585205">
          <w:rPr>
            <w:u w:val="single"/>
            <w:lang w:val="en-GB"/>
          </w:rPr>
          <w:t>case closure form</w:t>
        </w:r>
      </w:hyperlink>
      <w:r w:rsidRPr="009F7561">
        <w:rPr>
          <w:vertAlign w:val="superscript"/>
          <w:lang w:val="en-GB"/>
        </w:rPr>
        <w:footnoteReference w:id="126"/>
      </w:r>
      <w:r w:rsidRPr="009F7561">
        <w:rPr>
          <w:lang w:val="en-GB"/>
        </w:rPr>
        <w:t xml:space="preserve"> (see the </w:t>
      </w:r>
      <w:hyperlink r:id="rId28">
        <w:r w:rsidRPr="00585205" w:rsidR="000228CE">
          <w:rPr>
            <w:u w:val="single"/>
            <w:lang w:val="en-GB"/>
          </w:rPr>
          <w:t>case management guidelines</w:t>
        </w:r>
      </w:hyperlink>
      <w:r w:rsidRPr="009F7561">
        <w:rPr>
          <w:lang w:val="en-GB"/>
        </w:rPr>
        <w:t>).</w:t>
      </w:r>
      <w:r w:rsidRPr="009F7561">
        <w:rPr>
          <w:vertAlign w:val="superscript"/>
          <w:lang w:val="en-GB"/>
        </w:rPr>
        <w:footnoteReference w:id="127"/>
      </w:r>
      <w:r w:rsidRPr="009F7561">
        <w:rPr>
          <w:lang w:val="en-GB"/>
        </w:rPr>
        <w:t xml:space="preserve"> These can be added as your case management system becomes more developed. If case management services existed prior to the emergency, consult</w:t>
      </w:r>
      <w:r w:rsidR="001D62CC">
        <w:rPr>
          <w:lang w:val="en-GB"/>
        </w:rPr>
        <w:t>ation should take place with</w:t>
      </w:r>
      <w:r w:rsidRPr="009F7561">
        <w:rPr>
          <w:lang w:val="en-GB"/>
        </w:rPr>
        <w:t xml:space="preserve"> these service providers about the tools they use </w:t>
      </w:r>
      <w:r w:rsidR="001D62CC">
        <w:rPr>
          <w:lang w:val="en-GB"/>
        </w:rPr>
        <w:t>to determine</w:t>
      </w:r>
      <w:r w:rsidRPr="009F7561">
        <w:rPr>
          <w:lang w:val="en-GB"/>
        </w:rPr>
        <w:t xml:space="preserve"> whether they are standardized</w:t>
      </w:r>
      <w:r w:rsidR="001D62CC">
        <w:rPr>
          <w:lang w:val="en-GB"/>
        </w:rPr>
        <w:t xml:space="preserve"> and </w:t>
      </w:r>
      <w:r w:rsidR="0077391C">
        <w:rPr>
          <w:lang w:val="en-GB"/>
        </w:rPr>
        <w:t xml:space="preserve">usable </w:t>
      </w:r>
      <w:r w:rsidRPr="009F7561">
        <w:rPr>
          <w:lang w:val="en-GB"/>
        </w:rPr>
        <w:t xml:space="preserve">across agencies. </w:t>
      </w:r>
    </w:p>
    <w:p w:rsidRPr="009F7561" w:rsidR="003B0E6F" w:rsidP="00591A92" w:rsidRDefault="003B0E6F" w14:paraId="4A0B5478" w14:textId="28218955">
      <w:pPr>
        <w:spacing w:before="120" w:after="120" w:line="300" w:lineRule="atLeast"/>
        <w:jc w:val="both"/>
        <w:rPr>
          <w:lang w:val="en-GB"/>
        </w:rPr>
      </w:pPr>
      <w:r w:rsidRPr="009F7561">
        <w:rPr>
          <w:lang w:val="en-GB"/>
        </w:rPr>
        <w:t>Each survivor should have</w:t>
      </w:r>
      <w:r w:rsidR="00745457">
        <w:rPr>
          <w:lang w:val="en-GB"/>
        </w:rPr>
        <w:t xml:space="preserve"> </w:t>
      </w:r>
      <w:r w:rsidRPr="009F7561">
        <w:rPr>
          <w:lang w:val="en-GB"/>
        </w:rPr>
        <w:t>a separate case file that includes all relevant completed case management forms. A code should be</w:t>
      </w:r>
      <w:r w:rsidR="00745457">
        <w:rPr>
          <w:lang w:val="en-GB"/>
        </w:rPr>
        <w:t xml:space="preserve"> </w:t>
      </w:r>
      <w:r w:rsidRPr="009F7561">
        <w:rPr>
          <w:lang w:val="en-GB"/>
        </w:rPr>
        <w:t xml:space="preserve">assigned to and marked on the front of each case file. </w:t>
      </w:r>
      <w:r w:rsidR="0098608A">
        <w:rPr>
          <w:lang w:val="en-GB"/>
        </w:rPr>
        <w:br/>
      </w:r>
      <w:r w:rsidRPr="009F7561">
        <w:rPr>
          <w:lang w:val="en-GB"/>
        </w:rPr>
        <w:t>To protect confidentiality, a list linking the case file codes to the survivors</w:t>
      </w:r>
      <w:r w:rsidRPr="009F7561" w:rsidR="000228CE">
        <w:rPr>
          <w:lang w:val="en-GB"/>
        </w:rPr>
        <w:t>’</w:t>
      </w:r>
      <w:r w:rsidRPr="009F7561">
        <w:rPr>
          <w:lang w:val="en-GB"/>
        </w:rPr>
        <w:t xml:space="preserve"> names should be</w:t>
      </w:r>
      <w:r w:rsidR="00745457">
        <w:rPr>
          <w:lang w:val="en-GB"/>
        </w:rPr>
        <w:t xml:space="preserve"> </w:t>
      </w:r>
      <w:r w:rsidRPr="009F7561">
        <w:rPr>
          <w:lang w:val="en-GB"/>
        </w:rPr>
        <w:t xml:space="preserve">stored in a different location, stored electronically through a </w:t>
      </w:r>
      <w:r w:rsidRPr="009F7561" w:rsidR="00086D4F">
        <w:rPr>
          <w:lang w:val="en-GB"/>
        </w:rPr>
        <w:t>password-protected</w:t>
      </w:r>
      <w:r w:rsidRPr="009F7561">
        <w:rPr>
          <w:lang w:val="en-GB"/>
        </w:rPr>
        <w:t xml:space="preserve"> file</w:t>
      </w:r>
      <w:r w:rsidRPr="009F7561" w:rsidR="00461384">
        <w:rPr>
          <w:lang w:val="en-GB"/>
        </w:rPr>
        <w:t xml:space="preserve"> or </w:t>
      </w:r>
      <w:r w:rsidRPr="009F7561">
        <w:rPr>
          <w:lang w:val="en-GB"/>
        </w:rPr>
        <w:t>in a secure digital case management platform. Consent forms, which contain identifiable information about the survivor, should be</w:t>
      </w:r>
      <w:r w:rsidR="00745457">
        <w:rPr>
          <w:lang w:val="en-GB"/>
        </w:rPr>
        <w:t xml:space="preserve"> </w:t>
      </w:r>
      <w:r w:rsidRPr="009F7561">
        <w:rPr>
          <w:lang w:val="en-GB"/>
        </w:rPr>
        <w:t xml:space="preserve">stored separately to the case file. </w:t>
      </w:r>
    </w:p>
    <w:p w:rsidRPr="009F7561" w:rsidR="003B0E6F" w:rsidP="00591A92" w:rsidRDefault="003B0E6F" w14:paraId="33735909" w14:textId="6EBEA8E9">
      <w:pPr>
        <w:spacing w:before="120" w:after="120" w:line="300" w:lineRule="atLeast"/>
        <w:jc w:val="both"/>
        <w:rPr>
          <w:lang w:val="en-GB"/>
        </w:rPr>
      </w:pPr>
      <w:r w:rsidRPr="009F7561">
        <w:rPr>
          <w:lang w:val="en-GB"/>
        </w:rPr>
        <w:t>Information collected about</w:t>
      </w:r>
      <w:r w:rsidR="00745457">
        <w:rPr>
          <w:lang w:val="en-GB"/>
        </w:rPr>
        <w:t xml:space="preserve"> </w:t>
      </w:r>
      <w:r w:rsidRPr="009F7561">
        <w:rPr>
          <w:lang w:val="en-GB"/>
        </w:rPr>
        <w:t>survivors</w:t>
      </w:r>
      <w:r w:rsidR="00EF3053">
        <w:rPr>
          <w:lang w:val="en-GB"/>
        </w:rPr>
        <w:t xml:space="preserve"> as part of GBV service provision</w:t>
      </w:r>
      <w:r w:rsidRPr="009F7561">
        <w:rPr>
          <w:lang w:val="en-GB"/>
        </w:rPr>
        <w:t xml:space="preserve"> belongs to them</w:t>
      </w:r>
      <w:r w:rsidR="0077391C">
        <w:rPr>
          <w:lang w:val="en-GB"/>
        </w:rPr>
        <w:t>.</w:t>
      </w:r>
      <w:r w:rsidRPr="009F7561" w:rsidR="008A1575">
        <w:rPr>
          <w:lang w:val="en-GB"/>
        </w:rPr>
        <w:t xml:space="preserve"> </w:t>
      </w:r>
      <w:r w:rsidR="00CE66BC">
        <w:rPr>
          <w:lang w:val="en-GB"/>
        </w:rPr>
        <w:t>T</w:t>
      </w:r>
      <w:r w:rsidRPr="003B36E0" w:rsidR="003B36E0">
        <w:rPr>
          <w:lang w:val="en-GB"/>
        </w:rPr>
        <w:t xml:space="preserve">o ensure their meaningful participation </w:t>
      </w:r>
      <w:r w:rsidR="00CE66BC">
        <w:rPr>
          <w:lang w:val="en-GB"/>
        </w:rPr>
        <w:t xml:space="preserve">in the process, </w:t>
      </w:r>
      <w:r w:rsidRPr="009F7561">
        <w:rPr>
          <w:lang w:val="en-GB"/>
        </w:rPr>
        <w:t xml:space="preserve">they must have access </w:t>
      </w:r>
      <w:r w:rsidR="00CE66BC">
        <w:rPr>
          <w:lang w:val="en-GB"/>
        </w:rPr>
        <w:t xml:space="preserve">to it </w:t>
      </w:r>
      <w:r w:rsidRPr="00745457" w:rsidR="00745457">
        <w:rPr>
          <w:lang w:val="en-GB"/>
        </w:rPr>
        <w:t>at any time</w:t>
      </w:r>
      <w:r w:rsidR="00EF3053">
        <w:rPr>
          <w:lang w:val="en-GB"/>
        </w:rPr>
        <w:t>.</w:t>
      </w:r>
    </w:p>
    <w:p w:rsidRPr="00B84B36" w:rsidR="003B0E6F" w:rsidP="00591A92" w:rsidRDefault="00B84B36" w14:paraId="7C17D99F" w14:textId="6D36D411">
      <w:pPr>
        <w:spacing w:before="120" w:after="120" w:line="300" w:lineRule="atLeast"/>
        <w:jc w:val="both"/>
        <w:rPr>
          <w:i/>
          <w:iCs/>
          <w:color w:val="0070C0"/>
          <w:lang w:val="en-GB"/>
        </w:rPr>
      </w:pPr>
      <w:r w:rsidRPr="00B84B36">
        <w:rPr>
          <w:i/>
          <w:iCs/>
          <w:color w:val="0070C0"/>
          <w:lang w:val="en-GB"/>
        </w:rPr>
        <w:t>[</w:t>
      </w:r>
      <w:r w:rsidRPr="00B84B36" w:rsidR="003B0E6F">
        <w:rPr>
          <w:i/>
          <w:iCs/>
          <w:color w:val="0070C0"/>
          <w:lang w:val="en-GB"/>
        </w:rPr>
        <w:t xml:space="preserve">List here the agreements of the coordination group around case documentation and forms to be used, including whether these will be paper, electronic, digital or a platform like GBVIMS+/Primero or </w:t>
      </w:r>
      <w:proofErr w:type="spellStart"/>
      <w:r w:rsidRPr="00B84B36" w:rsidR="000A5927">
        <w:rPr>
          <w:i/>
          <w:iCs/>
          <w:color w:val="0070C0"/>
          <w:lang w:val="en-GB"/>
        </w:rPr>
        <w:t>p</w:t>
      </w:r>
      <w:r w:rsidRPr="00B84B36" w:rsidR="00DF4A28">
        <w:rPr>
          <w:i/>
          <w:iCs/>
          <w:color w:val="0070C0"/>
          <w:lang w:val="en-GB"/>
        </w:rPr>
        <w:t>roGres</w:t>
      </w:r>
      <w:proofErr w:type="spellEnd"/>
      <w:r w:rsidRPr="00B84B36" w:rsidR="003B0E6F">
        <w:rPr>
          <w:i/>
          <w:iCs/>
          <w:color w:val="0070C0"/>
          <w:lang w:val="en-GB"/>
        </w:rPr>
        <w:t>.</w:t>
      </w:r>
      <w:r w:rsidRPr="00B84B36" w:rsidR="003B0E6F">
        <w:rPr>
          <w:i/>
          <w:iCs/>
          <w:color w:val="0070C0"/>
          <w:vertAlign w:val="superscript"/>
          <w:lang w:val="en-GB"/>
        </w:rPr>
        <w:footnoteReference w:id="128"/>
      </w:r>
      <w:r w:rsidRPr="00B84B36" w:rsidR="003B0E6F">
        <w:rPr>
          <w:i/>
          <w:iCs/>
          <w:color w:val="0070C0"/>
          <w:lang w:val="en-GB"/>
        </w:rPr>
        <w:t xml:space="preserve"> List the forms used for case management and referral (and include these as annexes).</w:t>
      </w:r>
      <w:r w:rsidRPr="00B84B36">
        <w:rPr>
          <w:i/>
          <w:iCs/>
          <w:color w:val="0070C0"/>
          <w:lang w:val="en-GB"/>
        </w:rPr>
        <w:t>]</w:t>
      </w:r>
      <w:r w:rsidRPr="00B84B36" w:rsidR="003B0E6F">
        <w:rPr>
          <w:i/>
          <w:iCs/>
          <w:color w:val="0070C0"/>
          <w:lang w:val="en-GB"/>
        </w:rPr>
        <w:t xml:space="preserve"> </w:t>
      </w:r>
    </w:p>
    <w:p w:rsidRPr="00591A92" w:rsidR="003B0E6F" w:rsidP="00E96F61" w:rsidRDefault="003B0E6F" w14:paraId="3A04A990" w14:textId="1F6FB1D6">
      <w:pPr>
        <w:pStyle w:val="Heading2"/>
        <w:numPr>
          <w:ilvl w:val="1"/>
          <w:numId w:val="41"/>
        </w:numPr>
      </w:pPr>
      <w:bookmarkStart w:name="_Toc134906290" w:id="140"/>
      <w:bookmarkStart w:name="_Toc142469158" w:id="141"/>
      <w:r w:rsidRPr="00591A92">
        <w:t xml:space="preserve">Refugee </w:t>
      </w:r>
      <w:r w:rsidRPr="00591A92" w:rsidR="0034227C">
        <w:t>case processing documentation and information sharing</w:t>
      </w:r>
      <w:bookmarkEnd w:id="140"/>
      <w:bookmarkEnd w:id="141"/>
    </w:p>
    <w:p w:rsidR="00855CAE" w:rsidP="00E82689" w:rsidRDefault="003B0E6F" w14:paraId="5FE9DC71" w14:textId="54F68045">
      <w:pPr>
        <w:spacing w:before="120" w:after="120"/>
        <w:jc w:val="both"/>
        <w:rPr>
          <w:lang w:val="en-GB"/>
        </w:rPr>
      </w:pPr>
      <w:r w:rsidRPr="009F7561">
        <w:rPr>
          <w:lang w:val="en-GB"/>
        </w:rPr>
        <w:t xml:space="preserve">It is important when referring individuals for </w:t>
      </w:r>
      <w:r w:rsidRPr="009F7561" w:rsidR="0034227C">
        <w:rPr>
          <w:lang w:val="en-GB"/>
        </w:rPr>
        <w:t xml:space="preserve">refugee case processing </w:t>
      </w:r>
      <w:r w:rsidRPr="009F7561">
        <w:rPr>
          <w:lang w:val="en-GB"/>
        </w:rPr>
        <w:t>services that best practices around data security and information sharing are adhered to. Referrals for services such as resettlement can require more abstract informed consent discussions with survivors around information sharing for potential and future services.</w:t>
      </w:r>
      <w:r w:rsidRPr="009F7561" w:rsidR="003C264D">
        <w:rPr>
          <w:lang w:val="en-GB"/>
        </w:rPr>
        <w:t xml:space="preserve"> </w:t>
      </w:r>
      <w:r w:rsidRPr="009F7561">
        <w:rPr>
          <w:lang w:val="en-GB"/>
        </w:rPr>
        <w:t xml:space="preserve">It is therefore important that the processes for referring to these services are clearly described above (see </w:t>
      </w:r>
      <w:r w:rsidRPr="009F7561" w:rsidR="004A7CA1">
        <w:rPr>
          <w:lang w:val="en-GB"/>
        </w:rPr>
        <w:t xml:space="preserve">section </w:t>
      </w:r>
      <w:r w:rsidRPr="009F7561">
        <w:rPr>
          <w:lang w:val="en-GB"/>
        </w:rPr>
        <w:t>3.5</w:t>
      </w:r>
      <w:r w:rsidRPr="009F7561" w:rsidR="004A7CA1">
        <w:rPr>
          <w:lang w:val="en-GB"/>
        </w:rPr>
        <w:t>,</w:t>
      </w:r>
      <w:r w:rsidRPr="009F7561">
        <w:rPr>
          <w:lang w:val="en-GB"/>
        </w:rPr>
        <w:t xml:space="preserve"> </w:t>
      </w:r>
      <w:r w:rsidRPr="009F7561" w:rsidR="004A7CA1">
        <w:rPr>
          <w:lang w:val="en-GB"/>
        </w:rPr>
        <w:t>refugee case processing</w:t>
      </w:r>
      <w:r w:rsidRPr="009F7561">
        <w:rPr>
          <w:lang w:val="en-GB"/>
        </w:rPr>
        <w:t>).</w:t>
      </w:r>
      <w:r w:rsidRPr="009F7561" w:rsidR="003C264D">
        <w:rPr>
          <w:lang w:val="en-GB"/>
        </w:rPr>
        <w:t xml:space="preserve"> </w:t>
      </w:r>
      <w:r w:rsidRPr="009F7561">
        <w:rPr>
          <w:lang w:val="en-GB"/>
        </w:rPr>
        <w:t xml:space="preserve">Additionally, the sharing of personal data to facilitate these referrals should always be in line with best practices outlined in </w:t>
      </w:r>
      <w:r w:rsidRPr="009F7561">
        <w:rPr>
          <w:iCs/>
          <w:lang w:val="en-GB"/>
        </w:rPr>
        <w:t xml:space="preserve">the </w:t>
      </w:r>
      <w:r w:rsidRPr="009F7561">
        <w:rPr>
          <w:i/>
          <w:u w:val="single"/>
          <w:lang w:val="en-GB"/>
        </w:rPr>
        <w:t>Technical Note on Sharing Personal Protection Data</w:t>
      </w:r>
      <w:r w:rsidRPr="009F7561" w:rsidR="008930B4">
        <w:rPr>
          <w:i/>
          <w:u w:val="single"/>
          <w:lang w:val="en-GB"/>
        </w:rPr>
        <w:t>.</w:t>
      </w:r>
      <w:r w:rsidRPr="009F7561">
        <w:rPr>
          <w:vertAlign w:val="superscript"/>
          <w:lang w:val="en-GB"/>
        </w:rPr>
        <w:footnoteReference w:id="129"/>
      </w:r>
      <w:r w:rsidRPr="009F7561">
        <w:rPr>
          <w:lang w:val="en-GB"/>
        </w:rPr>
        <w:t xml:space="preserve"> </w:t>
      </w:r>
    </w:p>
    <w:p w:rsidR="00855CAE" w:rsidRDefault="00855CAE" w14:paraId="0FA3BE52" w14:textId="77777777">
      <w:pPr>
        <w:rPr>
          <w:lang w:val="en-GB"/>
        </w:rPr>
      </w:pPr>
      <w:r>
        <w:rPr>
          <w:lang w:val="en-GB"/>
        </w:rPr>
        <w:br w:type="page"/>
      </w:r>
    </w:p>
    <w:p w:rsidRPr="00591A92" w:rsidR="00591A92" w:rsidP="00E355B6" w:rsidRDefault="003B0E6F" w14:paraId="52BB1631" w14:textId="77A2654F">
      <w:pPr>
        <w:pStyle w:val="Heading1"/>
      </w:pPr>
      <w:bookmarkStart w:name="_Toc134906291" w:id="142"/>
      <w:bookmarkStart w:name="_Toc142469159" w:id="143"/>
      <w:r w:rsidRPr="00591A92">
        <w:t>SECTION 5: PROTECTION FROM SEXUAL EXPLOITATION AND ABUSE</w:t>
      </w:r>
      <w:bookmarkEnd w:id="142"/>
      <w:bookmarkEnd w:id="143"/>
      <w:r w:rsidRPr="00591A92">
        <w:t xml:space="preserve"> </w:t>
      </w:r>
    </w:p>
    <w:tbl>
      <w:tblPr>
        <w:tblStyle w:val="TableGrid"/>
        <w:tblW w:w="0" w:type="auto"/>
        <w:tblLook w:val="04A0" w:firstRow="1" w:lastRow="0" w:firstColumn="1" w:lastColumn="0" w:noHBand="0" w:noVBand="1"/>
      </w:tblPr>
      <w:tblGrid>
        <w:gridCol w:w="9350"/>
      </w:tblGrid>
      <w:tr w:rsidR="00591A92" w:rsidTr="00591A92" w14:paraId="0303D9E7" w14:textId="77777777">
        <w:tc>
          <w:tcPr>
            <w:tcW w:w="9350" w:type="dxa"/>
          </w:tcPr>
          <w:p w:rsidRPr="009F7561" w:rsidR="00591A92" w:rsidP="00591A92" w:rsidRDefault="00591A92" w14:paraId="54C34223" w14:textId="77777777">
            <w:pPr>
              <w:spacing w:before="120" w:after="120" w:line="300" w:lineRule="atLeast"/>
              <w:jc w:val="both"/>
              <w:rPr>
                <w:b/>
                <w:lang w:val="en-GB"/>
              </w:rPr>
            </w:pPr>
            <w:r w:rsidRPr="009F7561">
              <w:rPr>
                <w:b/>
                <w:lang w:val="en-GB"/>
              </w:rPr>
              <w:t>Essential issues to consider</w:t>
            </w:r>
          </w:p>
          <w:p w:rsidRPr="00585205" w:rsidR="00591A92" w:rsidP="00591A92" w:rsidRDefault="00591A92" w14:paraId="16897E04" w14:textId="77777777">
            <w:pPr>
              <w:spacing w:before="120" w:after="120" w:line="300" w:lineRule="atLeast"/>
              <w:jc w:val="both"/>
              <w:rPr>
                <w:rFonts w:eastAsia="Roboto"/>
                <w:sz w:val="21"/>
                <w:szCs w:val="21"/>
                <w:lang w:val="en-GB"/>
              </w:rPr>
            </w:pPr>
            <w:r w:rsidRPr="00585205">
              <w:rPr>
                <w:rFonts w:eastAsia="Roboto"/>
                <w:sz w:val="21"/>
                <w:szCs w:val="21"/>
                <w:lang w:val="en-GB"/>
              </w:rPr>
              <w:t>GBV actors and the GBV coordination group are not responsible for the implementation of PSEA prevention and response interventions; this is the responsibility of the PSEA network coordinator and ultimately humanitarian leadership. However, GBV actors and coordinators play an important role in:</w:t>
            </w:r>
          </w:p>
          <w:p w:rsidRPr="00585205" w:rsidR="00591A92" w:rsidP="00E96F61" w:rsidRDefault="00591A92" w14:paraId="33B414E1" w14:textId="48A72C47">
            <w:pPr>
              <w:numPr>
                <w:ilvl w:val="0"/>
                <w:numId w:val="32"/>
              </w:numPr>
              <w:spacing w:before="120" w:after="120"/>
              <w:ind w:left="714" w:hanging="357"/>
              <w:jc w:val="both"/>
              <w:rPr>
                <w:rFonts w:eastAsia="Roboto"/>
                <w:sz w:val="21"/>
                <w:szCs w:val="21"/>
                <w:lang w:val="en-GB"/>
              </w:rPr>
            </w:pPr>
            <w:r w:rsidRPr="00585205">
              <w:rPr>
                <w:rFonts w:eastAsia="Roboto"/>
                <w:sz w:val="21"/>
                <w:szCs w:val="21"/>
                <w:lang w:val="en-GB"/>
              </w:rPr>
              <w:t>Ensuring that GBV services and referral pathways reflect the needs of SEA survivors and that the support is streamlined (i.e. that no parallel referral pathway is created)</w:t>
            </w:r>
            <w:r>
              <w:rPr>
                <w:rFonts w:eastAsia="Roboto"/>
                <w:sz w:val="21"/>
                <w:szCs w:val="21"/>
                <w:lang w:val="en-GB"/>
              </w:rPr>
              <w:t>.</w:t>
            </w:r>
          </w:p>
          <w:p w:rsidRPr="00585205" w:rsidR="00591A92" w:rsidP="00E96F61" w:rsidRDefault="00591A92" w14:paraId="1E91C2C6" w14:textId="38D3DAB7">
            <w:pPr>
              <w:numPr>
                <w:ilvl w:val="0"/>
                <w:numId w:val="32"/>
              </w:numPr>
              <w:spacing w:before="120" w:after="120"/>
              <w:ind w:left="714" w:hanging="357"/>
              <w:jc w:val="both"/>
              <w:rPr>
                <w:rFonts w:eastAsia="Roboto"/>
                <w:sz w:val="21"/>
                <w:szCs w:val="21"/>
                <w:lang w:val="en-GB"/>
              </w:rPr>
            </w:pPr>
            <w:r w:rsidRPr="00585205">
              <w:rPr>
                <w:rFonts w:eastAsia="Roboto"/>
                <w:sz w:val="21"/>
                <w:szCs w:val="21"/>
                <w:lang w:val="en-GB"/>
              </w:rPr>
              <w:t>Sharing information on referral pathways with the PSEA coordinator and focal points</w:t>
            </w:r>
            <w:r>
              <w:rPr>
                <w:rFonts w:eastAsia="Roboto"/>
                <w:sz w:val="21"/>
                <w:szCs w:val="21"/>
                <w:lang w:val="en-GB"/>
              </w:rPr>
              <w:t>.</w:t>
            </w:r>
          </w:p>
          <w:p w:rsidRPr="00585205" w:rsidR="00591A92" w:rsidP="00E96F61" w:rsidRDefault="00591A92" w14:paraId="58E9E0E6" w14:textId="1F163716">
            <w:pPr>
              <w:numPr>
                <w:ilvl w:val="0"/>
                <w:numId w:val="32"/>
              </w:numPr>
              <w:spacing w:before="120" w:after="120"/>
              <w:ind w:left="714" w:hanging="357"/>
              <w:jc w:val="both"/>
              <w:rPr>
                <w:rFonts w:eastAsia="Roboto"/>
                <w:sz w:val="21"/>
                <w:szCs w:val="21"/>
                <w:lang w:val="en-GB"/>
              </w:rPr>
            </w:pPr>
            <w:r w:rsidRPr="00585205">
              <w:rPr>
                <w:rFonts w:eastAsia="Roboto"/>
                <w:sz w:val="21"/>
                <w:szCs w:val="21"/>
                <w:lang w:val="en-GB"/>
              </w:rPr>
              <w:t>Supporting training for PSEA focal points and network members on GBV SOPs and referral pathways</w:t>
            </w:r>
            <w:r>
              <w:rPr>
                <w:rFonts w:eastAsia="Roboto"/>
                <w:sz w:val="21"/>
                <w:szCs w:val="21"/>
                <w:lang w:val="en-GB"/>
              </w:rPr>
              <w:t>.</w:t>
            </w:r>
          </w:p>
          <w:p w:rsidRPr="00585205" w:rsidR="00591A92" w:rsidP="00E96F61" w:rsidRDefault="00591A92" w14:paraId="1F65AF86" w14:textId="27CEDF87">
            <w:pPr>
              <w:numPr>
                <w:ilvl w:val="0"/>
                <w:numId w:val="32"/>
              </w:numPr>
              <w:spacing w:before="120" w:after="120"/>
              <w:ind w:left="714" w:hanging="357"/>
              <w:jc w:val="both"/>
              <w:rPr>
                <w:rFonts w:eastAsia="Roboto"/>
                <w:sz w:val="21"/>
                <w:szCs w:val="21"/>
                <w:lang w:val="en-GB"/>
              </w:rPr>
            </w:pPr>
            <w:r w:rsidRPr="00585205">
              <w:rPr>
                <w:rFonts w:eastAsia="Roboto"/>
                <w:sz w:val="21"/>
                <w:szCs w:val="21"/>
                <w:lang w:val="en-GB"/>
              </w:rPr>
              <w:t>Promoting PSEA training and codes of conduct for GBV actors</w:t>
            </w:r>
            <w:r>
              <w:rPr>
                <w:rFonts w:eastAsia="Roboto"/>
                <w:sz w:val="21"/>
                <w:szCs w:val="21"/>
                <w:lang w:val="en-GB"/>
              </w:rPr>
              <w:t>.</w:t>
            </w:r>
          </w:p>
          <w:p w:rsidRPr="00585205" w:rsidR="00591A92" w:rsidP="00E96F61" w:rsidRDefault="00591A92" w14:paraId="1B0B6499" w14:textId="37A63F8A">
            <w:pPr>
              <w:numPr>
                <w:ilvl w:val="0"/>
                <w:numId w:val="32"/>
              </w:numPr>
              <w:spacing w:before="120" w:after="120"/>
              <w:ind w:left="714" w:hanging="357"/>
              <w:jc w:val="both"/>
              <w:rPr>
                <w:rFonts w:eastAsia="Roboto"/>
                <w:sz w:val="21"/>
                <w:szCs w:val="21"/>
                <w:lang w:val="en-GB"/>
              </w:rPr>
            </w:pPr>
            <w:r w:rsidRPr="00585205">
              <w:rPr>
                <w:rFonts w:eastAsia="Roboto"/>
                <w:sz w:val="21"/>
                <w:szCs w:val="21"/>
                <w:lang w:val="en-GB"/>
              </w:rPr>
              <w:t>Supporting the development of PSEA SOPs to ensure the integration of GBV guiding principles and survivor-centred approach</w:t>
            </w:r>
            <w:r>
              <w:rPr>
                <w:rFonts w:eastAsia="Roboto"/>
                <w:sz w:val="21"/>
                <w:szCs w:val="21"/>
                <w:lang w:val="en-GB"/>
              </w:rPr>
              <w:t>.</w:t>
            </w:r>
          </w:p>
          <w:p w:rsidRPr="00591A92" w:rsidR="00591A92" w:rsidP="00E96F61" w:rsidRDefault="00591A92" w14:paraId="6C7C98EE" w14:textId="661A4C0F">
            <w:pPr>
              <w:numPr>
                <w:ilvl w:val="0"/>
                <w:numId w:val="32"/>
              </w:numPr>
              <w:spacing w:before="120" w:after="120"/>
              <w:ind w:left="714" w:hanging="357"/>
              <w:jc w:val="both"/>
              <w:rPr>
                <w:rFonts w:eastAsia="Roboto"/>
                <w:sz w:val="21"/>
                <w:szCs w:val="21"/>
                <w:lang w:val="en-GB"/>
              </w:rPr>
            </w:pPr>
            <w:r w:rsidRPr="00585205">
              <w:rPr>
                <w:rFonts w:eastAsia="Roboto"/>
                <w:sz w:val="21"/>
                <w:szCs w:val="21"/>
                <w:lang w:val="en-GB"/>
              </w:rPr>
              <w:t xml:space="preserve">Promoting the establishment or support of community accountability and feedback mechanisms. </w:t>
            </w:r>
          </w:p>
        </w:tc>
      </w:tr>
    </w:tbl>
    <w:p w:rsidRPr="009F7561" w:rsidR="003B0E6F" w:rsidP="00591A92" w:rsidRDefault="003B0E6F" w14:paraId="20805F9A" w14:textId="77A2654F">
      <w:pPr>
        <w:spacing w:before="120" w:after="120" w:line="300" w:lineRule="atLeast"/>
        <w:jc w:val="both"/>
        <w:rPr>
          <w:lang w:val="en-GB"/>
        </w:rPr>
      </w:pPr>
      <w:r w:rsidRPr="009F7561">
        <w:rPr>
          <w:lang w:val="en-GB"/>
        </w:rPr>
        <w:t>Protection from sexual exploitation and abuse (PSEA) refers to the responsibilities of</w:t>
      </w:r>
      <w:r w:rsidR="0098608A">
        <w:rPr>
          <w:lang w:val="en-GB"/>
        </w:rPr>
        <w:t xml:space="preserve"> </w:t>
      </w:r>
      <w:r w:rsidRPr="009F7561">
        <w:rPr>
          <w:lang w:val="en-GB"/>
        </w:rPr>
        <w:t>international humanitarian, development and peacekeeping actors to prevent and respond to</w:t>
      </w:r>
      <w:r w:rsidR="0098608A">
        <w:rPr>
          <w:lang w:val="en-GB"/>
        </w:rPr>
        <w:t xml:space="preserve"> </w:t>
      </w:r>
      <w:r w:rsidRPr="009F7561">
        <w:rPr>
          <w:lang w:val="en-GB"/>
        </w:rPr>
        <w:t>incidents of sexual exploitation and abuse by United Nations, non-governmental (NGO) and</w:t>
      </w:r>
      <w:r w:rsidR="0098608A">
        <w:rPr>
          <w:lang w:val="en-GB"/>
        </w:rPr>
        <w:t xml:space="preserve"> </w:t>
      </w:r>
      <w:r w:rsidRPr="009F7561">
        <w:rPr>
          <w:lang w:val="en-GB"/>
        </w:rPr>
        <w:t>other humanitarian personnel against beneficiaries of assistance, other members</w:t>
      </w:r>
      <w:r w:rsidR="0098608A">
        <w:rPr>
          <w:lang w:val="en-GB"/>
        </w:rPr>
        <w:t xml:space="preserve"> </w:t>
      </w:r>
      <w:r w:rsidRPr="009F7561">
        <w:rPr>
          <w:lang w:val="en-GB"/>
        </w:rPr>
        <w:t>of affected populations</w:t>
      </w:r>
      <w:r w:rsidRPr="009F7561" w:rsidR="008A1575">
        <w:rPr>
          <w:lang w:val="en-GB"/>
        </w:rPr>
        <w:t xml:space="preserve"> and </w:t>
      </w:r>
      <w:r w:rsidRPr="009F7561">
        <w:rPr>
          <w:lang w:val="en-GB"/>
        </w:rPr>
        <w:t>other humanitarian personnel.</w:t>
      </w:r>
    </w:p>
    <w:p w:rsidRPr="009F7561" w:rsidR="003B0E6F" w:rsidP="00591A92" w:rsidRDefault="003B0E6F" w14:paraId="7687B561" w14:textId="019DE266">
      <w:pPr>
        <w:spacing w:before="120" w:after="120" w:line="300" w:lineRule="atLeast"/>
        <w:jc w:val="both"/>
        <w:rPr>
          <w:lang w:val="en-GB"/>
        </w:rPr>
      </w:pPr>
      <w:r w:rsidRPr="009F7561">
        <w:rPr>
          <w:lang w:val="en-GB"/>
        </w:rPr>
        <w:t>As outlined in the UN Secretary-General</w:t>
      </w:r>
      <w:r w:rsidRPr="009F7561" w:rsidR="00315391">
        <w:rPr>
          <w:lang w:val="en-GB"/>
        </w:rPr>
        <w:t>’s</w:t>
      </w:r>
      <w:r w:rsidRPr="009F7561">
        <w:rPr>
          <w:lang w:val="en-GB"/>
        </w:rPr>
        <w:t xml:space="preserve"> </w:t>
      </w:r>
      <w:r w:rsidRPr="009F7561" w:rsidR="00E6654E">
        <w:rPr>
          <w:lang w:val="en-GB"/>
        </w:rPr>
        <w:t>bulletin for protection from sexual exploitation and abuse,</w:t>
      </w:r>
      <w:r w:rsidRPr="009F7561">
        <w:rPr>
          <w:vertAlign w:val="superscript"/>
          <w:lang w:val="en-GB"/>
        </w:rPr>
        <w:footnoteReference w:id="130"/>
      </w:r>
      <w:r w:rsidRPr="009F7561">
        <w:rPr>
          <w:lang w:val="en-GB"/>
        </w:rPr>
        <w:t xml:space="preserve"> sexual exploitation and abuse violates universally recognized international legal norms and standards</w:t>
      </w:r>
      <w:r w:rsidRPr="009F7561" w:rsidR="008A1575">
        <w:rPr>
          <w:lang w:val="en-GB"/>
        </w:rPr>
        <w:t xml:space="preserve"> and </w:t>
      </w:r>
      <w:r w:rsidRPr="009F7561">
        <w:rPr>
          <w:lang w:val="en-GB"/>
        </w:rPr>
        <w:t>is prohibited conduct for humanitarian aid personnel. It harms those whom humanitarian actors are mandated to protect.</w:t>
      </w:r>
    </w:p>
    <w:p w:rsidRPr="009F7561" w:rsidR="003B0E6F" w:rsidP="00591A92" w:rsidRDefault="003B0E6F" w14:paraId="57AB16E6" w14:textId="50E39B05">
      <w:pPr>
        <w:spacing w:before="120" w:after="120" w:line="300" w:lineRule="atLeast"/>
        <w:jc w:val="both"/>
        <w:rPr>
          <w:lang w:val="en-GB"/>
        </w:rPr>
      </w:pPr>
      <w:r w:rsidRPr="009F7561">
        <w:rPr>
          <w:lang w:val="en-GB"/>
        </w:rPr>
        <w:t>All humanitarian aid organ</w:t>
      </w:r>
      <w:r w:rsidRPr="009F7561" w:rsidR="002D1850">
        <w:rPr>
          <w:lang w:val="en-GB"/>
        </w:rPr>
        <w:t>iza</w:t>
      </w:r>
      <w:r w:rsidRPr="009F7561">
        <w:rPr>
          <w:lang w:val="en-GB"/>
        </w:rPr>
        <w:t>tions are required to adapt or develop, fund</w:t>
      </w:r>
      <w:r w:rsidRPr="009F7561" w:rsidR="008A1575">
        <w:rPr>
          <w:lang w:val="en-GB"/>
        </w:rPr>
        <w:t xml:space="preserve"> and </w:t>
      </w:r>
      <w:r w:rsidRPr="009F7561">
        <w:rPr>
          <w:lang w:val="en-GB"/>
        </w:rPr>
        <w:t>implement effective and comprehensive systems for prevention and response to SEA. Protection from sexual exploitation and abuse is the responsibility of entire organ</w:t>
      </w:r>
      <w:r w:rsidRPr="009F7561" w:rsidR="002D1850">
        <w:rPr>
          <w:lang w:val="en-GB"/>
        </w:rPr>
        <w:t>iza</w:t>
      </w:r>
      <w:r w:rsidRPr="009F7561">
        <w:rPr>
          <w:lang w:val="en-GB"/>
        </w:rPr>
        <w:t>tions, including management, operations, human resources and programme staff.</w:t>
      </w:r>
    </w:p>
    <w:p w:rsidR="003B0E6F" w:rsidP="00591A92" w:rsidRDefault="003B0E6F" w14:paraId="118B345B" w14:textId="12C55A1A">
      <w:pPr>
        <w:spacing w:before="120" w:after="120" w:line="300" w:lineRule="atLeast"/>
        <w:jc w:val="both"/>
        <w:rPr>
          <w:lang w:val="en-GB"/>
        </w:rPr>
      </w:pPr>
      <w:r w:rsidRPr="009F7561">
        <w:rPr>
          <w:lang w:val="en-GB"/>
        </w:rPr>
        <w:t xml:space="preserve">Although GBV programme staff can play a role in advocating for PSEA measures, implementation of internal measures and the coordination of </w:t>
      </w:r>
      <w:r w:rsidR="00D15C40">
        <w:rPr>
          <w:lang w:val="en-GB"/>
        </w:rPr>
        <w:t>inter-agency</w:t>
      </w:r>
      <w:r w:rsidRPr="009F7561">
        <w:rPr>
          <w:lang w:val="en-GB"/>
        </w:rPr>
        <w:t xml:space="preserve"> processes to address sexual exploitation and abuse are outside the purview of the GBV coordination group. They are the responsibility of the UN country team assigned PSEA focal points. This is important to ensure the independence, integrity and confidentiality of mandatory reporting mechanisms and investigation processes.</w:t>
      </w:r>
    </w:p>
    <w:tbl>
      <w:tblPr>
        <w:tblStyle w:val="TableGrid"/>
        <w:tblW w:w="0" w:type="auto"/>
        <w:tblLook w:val="04A0" w:firstRow="1" w:lastRow="0" w:firstColumn="1" w:lastColumn="0" w:noHBand="0" w:noVBand="1"/>
      </w:tblPr>
      <w:tblGrid>
        <w:gridCol w:w="9350"/>
      </w:tblGrid>
      <w:tr w:rsidR="00591A92" w:rsidTr="00591A92" w14:paraId="75EA622A" w14:textId="77777777">
        <w:tc>
          <w:tcPr>
            <w:tcW w:w="9350" w:type="dxa"/>
          </w:tcPr>
          <w:p w:rsidRPr="009F7561" w:rsidR="00591A92" w:rsidP="00591A92" w:rsidRDefault="00591A92" w14:paraId="65F37FEF" w14:textId="77777777">
            <w:pPr>
              <w:spacing w:before="120" w:after="120" w:line="273" w:lineRule="auto"/>
              <w:jc w:val="both"/>
              <w:rPr>
                <w:b/>
                <w:sz w:val="20"/>
                <w:szCs w:val="20"/>
                <w:lang w:val="en-GB"/>
              </w:rPr>
            </w:pPr>
            <w:r w:rsidRPr="009F7561">
              <w:rPr>
                <w:b/>
                <w:sz w:val="20"/>
                <w:szCs w:val="20"/>
                <w:lang w:val="en-GB"/>
              </w:rPr>
              <w:t>Limits to confidentiality</w:t>
            </w:r>
          </w:p>
          <w:p w:rsidR="00591A92" w:rsidP="00591A92" w:rsidRDefault="00591A92" w14:paraId="7385FA90" w14:textId="309AB7E5">
            <w:pPr>
              <w:spacing w:before="120" w:after="120" w:line="273" w:lineRule="auto"/>
              <w:jc w:val="both"/>
              <w:rPr>
                <w:i/>
                <w:lang w:val="en-GB"/>
              </w:rPr>
            </w:pPr>
            <w:r w:rsidRPr="009F7561">
              <w:rPr>
                <w:sz w:val="20"/>
                <w:szCs w:val="20"/>
                <w:lang w:val="en-GB"/>
              </w:rPr>
              <w:t xml:space="preserve">There are mandatory reporting policies for cases of sexual exploitation and abuse that involve humanitarian workers. In these situations, organizations need to be clear on the </w:t>
            </w:r>
            <w:r>
              <w:rPr>
                <w:sz w:val="20"/>
                <w:szCs w:val="20"/>
                <w:lang w:val="en-GB"/>
              </w:rPr>
              <w:t>inter-agency</w:t>
            </w:r>
            <w:r w:rsidRPr="009F7561">
              <w:rPr>
                <w:sz w:val="20"/>
                <w:szCs w:val="20"/>
                <w:lang w:val="en-GB"/>
              </w:rPr>
              <w:t xml:space="preserve"> protocol and inform the survivor about to whom the case </w:t>
            </w:r>
            <w:r>
              <w:rPr>
                <w:sz w:val="20"/>
                <w:szCs w:val="20"/>
                <w:lang w:val="en-GB"/>
              </w:rPr>
              <w:t>will</w:t>
            </w:r>
            <w:r w:rsidRPr="009F7561">
              <w:rPr>
                <w:sz w:val="20"/>
                <w:szCs w:val="20"/>
                <w:lang w:val="en-GB"/>
              </w:rPr>
              <w:t xml:space="preserve"> be reported</w:t>
            </w:r>
            <w:r>
              <w:rPr>
                <w:sz w:val="20"/>
                <w:szCs w:val="20"/>
                <w:lang w:val="en-GB"/>
              </w:rPr>
              <w:t>,</w:t>
            </w:r>
            <w:r w:rsidRPr="009F7561">
              <w:rPr>
                <w:sz w:val="20"/>
                <w:szCs w:val="20"/>
                <w:lang w:val="en-GB"/>
              </w:rPr>
              <w:t xml:space="preserve"> what information </w:t>
            </w:r>
            <w:r>
              <w:rPr>
                <w:sz w:val="20"/>
                <w:szCs w:val="20"/>
                <w:lang w:val="en-GB"/>
              </w:rPr>
              <w:t>will</w:t>
            </w:r>
            <w:r w:rsidRPr="009F7561">
              <w:rPr>
                <w:sz w:val="20"/>
                <w:szCs w:val="20"/>
                <w:lang w:val="en-GB"/>
              </w:rPr>
              <w:t xml:space="preserve"> be shared</w:t>
            </w:r>
            <w:r>
              <w:rPr>
                <w:sz w:val="20"/>
                <w:szCs w:val="20"/>
                <w:lang w:val="en-GB"/>
              </w:rPr>
              <w:t>,</w:t>
            </w:r>
            <w:r w:rsidRPr="009F7561">
              <w:rPr>
                <w:sz w:val="20"/>
                <w:szCs w:val="20"/>
                <w:lang w:val="en-GB"/>
              </w:rPr>
              <w:t xml:space="preserve"> and what the expectations </w:t>
            </w:r>
            <w:r>
              <w:rPr>
                <w:sz w:val="20"/>
                <w:szCs w:val="20"/>
                <w:lang w:val="en-GB"/>
              </w:rPr>
              <w:t>will</w:t>
            </w:r>
            <w:r w:rsidRPr="009F7561">
              <w:rPr>
                <w:sz w:val="20"/>
                <w:szCs w:val="20"/>
                <w:lang w:val="en-GB"/>
              </w:rPr>
              <w:t xml:space="preserve"> be regarding the survivor’s involvement (e.g. will the survivor have to file a report and, if so, to whom?).</w:t>
            </w:r>
          </w:p>
        </w:tc>
      </w:tr>
    </w:tbl>
    <w:p w:rsidR="003B0E6F" w:rsidP="00E82689" w:rsidRDefault="003B0E6F" w14:paraId="34CA2FD1" w14:textId="0811213B">
      <w:pPr>
        <w:spacing w:before="120" w:after="120" w:line="240" w:lineRule="auto"/>
        <w:jc w:val="both"/>
        <w:rPr>
          <w:lang w:val="en-GB"/>
        </w:rPr>
      </w:pPr>
    </w:p>
    <w:tbl>
      <w:tblPr>
        <w:tblStyle w:val="TableGrid"/>
        <w:tblW w:w="0" w:type="auto"/>
        <w:tblLook w:val="04A0" w:firstRow="1" w:lastRow="0" w:firstColumn="1" w:lastColumn="0" w:noHBand="0" w:noVBand="1"/>
      </w:tblPr>
      <w:tblGrid>
        <w:gridCol w:w="9350"/>
      </w:tblGrid>
      <w:tr w:rsidR="00F435C3" w:rsidTr="00F435C3" w14:paraId="55ECA83B" w14:textId="77777777">
        <w:tc>
          <w:tcPr>
            <w:tcW w:w="9350" w:type="dxa"/>
          </w:tcPr>
          <w:p w:rsidRPr="009F7561" w:rsidR="00F435C3" w:rsidP="00F435C3" w:rsidRDefault="00F435C3" w14:paraId="017D69F0" w14:textId="77777777">
            <w:pPr>
              <w:spacing w:before="120" w:after="120" w:line="300" w:lineRule="atLeast"/>
              <w:jc w:val="both"/>
              <w:rPr>
                <w:b/>
                <w:sz w:val="20"/>
                <w:szCs w:val="20"/>
                <w:lang w:val="en-GB"/>
              </w:rPr>
            </w:pPr>
            <w:r w:rsidRPr="009F7561">
              <w:rPr>
                <w:b/>
                <w:sz w:val="20"/>
                <w:szCs w:val="20"/>
                <w:lang w:val="en-GB"/>
              </w:rPr>
              <w:t>Harmonized service provision</w:t>
            </w:r>
          </w:p>
          <w:p w:rsidRPr="009F7561" w:rsidR="00F435C3" w:rsidP="00F435C3" w:rsidRDefault="00F435C3" w14:paraId="4355CCAB" w14:textId="77777777">
            <w:pPr>
              <w:spacing w:before="120" w:after="120" w:line="300" w:lineRule="atLeast"/>
              <w:jc w:val="both"/>
              <w:rPr>
                <w:sz w:val="20"/>
                <w:szCs w:val="20"/>
                <w:lang w:val="en-GB"/>
              </w:rPr>
            </w:pPr>
            <w:r w:rsidRPr="009F7561">
              <w:rPr>
                <w:sz w:val="20"/>
                <w:szCs w:val="20"/>
                <w:lang w:val="en-GB"/>
              </w:rPr>
              <w:t xml:space="preserve">Survivors of sexual exploitation and abuse are survivors of GBV and </w:t>
            </w:r>
            <w:r>
              <w:rPr>
                <w:sz w:val="20"/>
                <w:szCs w:val="20"/>
                <w:lang w:val="en-GB"/>
              </w:rPr>
              <w:t xml:space="preserve">are </w:t>
            </w:r>
            <w:r w:rsidRPr="009F7561">
              <w:rPr>
                <w:sz w:val="20"/>
                <w:szCs w:val="20"/>
                <w:lang w:val="en-GB"/>
              </w:rPr>
              <w:t>referred to existing GBV services; no</w:t>
            </w:r>
            <w:r>
              <w:rPr>
                <w:sz w:val="20"/>
                <w:szCs w:val="20"/>
                <w:lang w:val="en-GB"/>
              </w:rPr>
              <w:t xml:space="preserve"> </w:t>
            </w:r>
            <w:r w:rsidRPr="009F7561">
              <w:rPr>
                <w:sz w:val="20"/>
                <w:szCs w:val="20"/>
                <w:lang w:val="en-GB"/>
              </w:rPr>
              <w:t>parallel referral pathway should be established.</w:t>
            </w:r>
          </w:p>
          <w:p w:rsidRPr="009F7561" w:rsidR="00F435C3" w:rsidP="00F435C3" w:rsidRDefault="00F435C3" w14:paraId="155A9B31" w14:textId="77777777">
            <w:pPr>
              <w:spacing w:before="120" w:after="120" w:line="300" w:lineRule="atLeast"/>
              <w:jc w:val="both"/>
              <w:rPr>
                <w:sz w:val="20"/>
                <w:szCs w:val="20"/>
                <w:lang w:val="en-GB"/>
              </w:rPr>
            </w:pPr>
            <w:r w:rsidRPr="009F7561">
              <w:rPr>
                <w:sz w:val="20"/>
                <w:szCs w:val="20"/>
                <w:lang w:val="en-GB"/>
              </w:rPr>
              <w:t>The GBV response system is the appropriate referral system for women and girls to access support if they experience sexual exploitation and abuse perpetrated by humanitarian actors or other duty bearers.</w:t>
            </w:r>
          </w:p>
          <w:p w:rsidRPr="00F435C3" w:rsidR="00F435C3" w:rsidP="00F435C3" w:rsidRDefault="00F435C3" w14:paraId="5D59B7CA" w14:textId="3B5C42D2">
            <w:pPr>
              <w:spacing w:before="120" w:after="120" w:line="300" w:lineRule="atLeast"/>
              <w:jc w:val="both"/>
              <w:rPr>
                <w:highlight w:val="yellow"/>
                <w:lang w:val="en-GB"/>
              </w:rPr>
            </w:pPr>
            <w:r>
              <w:rPr>
                <w:i/>
                <w:sz w:val="20"/>
                <w:szCs w:val="20"/>
                <w:lang w:val="en-GB"/>
              </w:rPr>
              <w:t>Inter-agency</w:t>
            </w:r>
            <w:r w:rsidRPr="009F7561">
              <w:rPr>
                <w:i/>
                <w:sz w:val="20"/>
                <w:szCs w:val="20"/>
                <w:lang w:val="en-GB"/>
              </w:rPr>
              <w:t xml:space="preserve"> GBV minimum standards, p. 23.</w:t>
            </w:r>
          </w:p>
        </w:tc>
      </w:tr>
    </w:tbl>
    <w:p w:rsidRPr="00042935" w:rsidR="003B0E6F" w:rsidP="00E96F61" w:rsidRDefault="003B0E6F" w14:paraId="2698DCF9" w14:textId="591C1388">
      <w:pPr>
        <w:pStyle w:val="Heading2"/>
        <w:numPr>
          <w:ilvl w:val="1"/>
          <w:numId w:val="42"/>
        </w:numPr>
      </w:pPr>
      <w:bookmarkStart w:name="_Toc142469160" w:id="144"/>
      <w:r w:rsidRPr="00042935">
        <w:t>Prevention</w:t>
      </w:r>
      <w:bookmarkEnd w:id="144"/>
      <w:r w:rsidRPr="00042935">
        <w:t xml:space="preserve"> </w:t>
      </w:r>
    </w:p>
    <w:p w:rsidRPr="009F7561" w:rsidR="003B0E6F" w:rsidP="00855CAE" w:rsidRDefault="003B0E6F" w14:paraId="3743DE38" w14:textId="4B53DCBC">
      <w:pPr>
        <w:spacing w:before="120" w:after="120" w:line="300" w:lineRule="atLeast"/>
        <w:jc w:val="both"/>
        <w:rPr>
          <w:lang w:val="en-GB"/>
        </w:rPr>
      </w:pPr>
      <w:r w:rsidRPr="009F7561">
        <w:rPr>
          <w:lang w:val="en-GB"/>
        </w:rPr>
        <w:t xml:space="preserve">All programme staff must design and implement interventions in a way that minimizes risks of sexual exploitation and abuse. Managers and human resource staff are responsible for ensuring that all staff and partners are trained on PSEA and have signed a code of conduct. </w:t>
      </w:r>
    </w:p>
    <w:p w:rsidRPr="00042935" w:rsidR="003B0E6F" w:rsidP="00E96F61" w:rsidRDefault="003B0E6F" w14:paraId="382F07C4" w14:textId="4DF8324E">
      <w:pPr>
        <w:pStyle w:val="Heading2"/>
        <w:numPr>
          <w:ilvl w:val="1"/>
          <w:numId w:val="42"/>
        </w:numPr>
      </w:pPr>
      <w:bookmarkStart w:name="_Toc142469161" w:id="145"/>
      <w:r w:rsidRPr="00042935">
        <w:t xml:space="preserve">Reporting and </w:t>
      </w:r>
      <w:r w:rsidRPr="00042935" w:rsidR="005F7676">
        <w:t>response</w:t>
      </w:r>
      <w:bookmarkEnd w:id="145"/>
    </w:p>
    <w:p w:rsidRPr="009F7561" w:rsidR="003B0E6F" w:rsidP="00855CAE" w:rsidRDefault="003B0E6F" w14:paraId="4C93A46D" w14:textId="168AC6DC">
      <w:pPr>
        <w:spacing w:before="120" w:after="120" w:line="300" w:lineRule="atLeast"/>
        <w:jc w:val="both"/>
        <w:rPr>
          <w:lang w:val="en-GB"/>
        </w:rPr>
      </w:pPr>
      <w:r w:rsidRPr="009F7561">
        <w:rPr>
          <w:lang w:val="en-GB"/>
        </w:rPr>
        <w:t>The GBV response system is the appropriate referral system for women and girls to access support if they experience sexual exploitation and abuse perpetrated by humanitarian actors or other duty bearers.</w:t>
      </w:r>
      <w:r w:rsidRPr="009F7561">
        <w:rPr>
          <w:vertAlign w:val="superscript"/>
          <w:lang w:val="en-GB"/>
        </w:rPr>
        <w:footnoteReference w:id="131"/>
      </w:r>
    </w:p>
    <w:p w:rsidRPr="009F7561" w:rsidR="003B0E6F" w:rsidP="00855CAE" w:rsidRDefault="003B0E6F" w14:paraId="458EF2E9" w14:textId="3A400F01">
      <w:pPr>
        <w:spacing w:before="120" w:after="120" w:line="300" w:lineRule="atLeast"/>
        <w:jc w:val="both"/>
        <w:rPr>
          <w:lang w:val="en-GB"/>
        </w:rPr>
      </w:pPr>
      <w:r w:rsidRPr="009F7561">
        <w:rPr>
          <w:lang w:val="en-GB"/>
        </w:rPr>
        <w:t>Each organ</w:t>
      </w:r>
      <w:r w:rsidRPr="009F7561" w:rsidR="002D1850">
        <w:rPr>
          <w:lang w:val="en-GB"/>
        </w:rPr>
        <w:t>iza</w:t>
      </w:r>
      <w:r w:rsidRPr="009F7561">
        <w:rPr>
          <w:lang w:val="en-GB"/>
        </w:rPr>
        <w:t xml:space="preserve">tion is responsible for ensuring that their staff understand their individual responsibilities to report any suspected incidents and know the mechanisms in place for mandatory reporting (see </w:t>
      </w:r>
      <w:r w:rsidRPr="009F7561" w:rsidR="00CB5A06">
        <w:rPr>
          <w:lang w:val="en-GB"/>
        </w:rPr>
        <w:t>section</w:t>
      </w:r>
      <w:r w:rsidRPr="009F7561">
        <w:rPr>
          <w:lang w:val="en-GB"/>
        </w:rPr>
        <w:t xml:space="preserve"> 3.3.3). They must also establish reporting mechanisms if these are not already in place. </w:t>
      </w:r>
    </w:p>
    <w:p w:rsidRPr="009F7561" w:rsidR="003B0E6F" w:rsidP="00855CAE" w:rsidRDefault="003B0E6F" w14:paraId="480FCA5B" w14:textId="06BFECCC">
      <w:pPr>
        <w:spacing w:before="120" w:after="120" w:line="300" w:lineRule="atLeast"/>
        <w:jc w:val="both"/>
        <w:rPr>
          <w:lang w:val="en-GB"/>
        </w:rPr>
      </w:pPr>
      <w:r w:rsidRPr="009F7561">
        <w:rPr>
          <w:lang w:val="en-GB"/>
        </w:rPr>
        <w:t>In particular, GBV response service providers should be</w:t>
      </w:r>
      <w:r w:rsidR="00A831FB">
        <w:rPr>
          <w:lang w:val="en-GB"/>
        </w:rPr>
        <w:t xml:space="preserve"> </w:t>
      </w:r>
      <w:r w:rsidRPr="009F7561">
        <w:rPr>
          <w:lang w:val="en-GB"/>
        </w:rPr>
        <w:t>aware of community-based reporting mechanisms and investigation processes to</w:t>
      </w:r>
      <w:r w:rsidR="00A831FB">
        <w:rPr>
          <w:lang w:val="en-GB"/>
        </w:rPr>
        <w:t xml:space="preserve"> </w:t>
      </w:r>
      <w:r w:rsidRPr="009F7561">
        <w:rPr>
          <w:lang w:val="en-GB"/>
        </w:rPr>
        <w:t xml:space="preserve">ensure these can be clearly explained for informed consent when supporting survivors of SEA (see </w:t>
      </w:r>
      <w:r w:rsidRPr="009F7561" w:rsidR="00212786">
        <w:rPr>
          <w:lang w:val="en-GB"/>
        </w:rPr>
        <w:t>section 3.3.2 on consent and section 3.4.3 on case management).</w:t>
      </w:r>
    </w:p>
    <w:p w:rsidRPr="009F7561" w:rsidR="003B0E6F" w:rsidP="00855CAE" w:rsidRDefault="003B0E6F" w14:paraId="533700D0" w14:textId="732ED108">
      <w:pPr>
        <w:spacing w:before="120" w:after="120" w:line="300" w:lineRule="atLeast"/>
        <w:jc w:val="both"/>
        <w:rPr>
          <w:lang w:val="en-GB"/>
        </w:rPr>
      </w:pPr>
      <w:r w:rsidRPr="009F7561">
        <w:rPr>
          <w:lang w:val="en-GB"/>
        </w:rPr>
        <w:t>Reporting of sexual exploitation and abuse is mandatory for all United Nations staff and partners. All reporting must be</w:t>
      </w:r>
      <w:r w:rsidR="002A28E8">
        <w:rPr>
          <w:lang w:val="en-GB"/>
        </w:rPr>
        <w:t xml:space="preserve"> </w:t>
      </w:r>
      <w:r w:rsidRPr="009F7561">
        <w:rPr>
          <w:lang w:val="en-GB"/>
        </w:rPr>
        <w:t>confidential and be made through the in-country PSEA focal point, who is assigned</w:t>
      </w:r>
      <w:r w:rsidR="002A28E8">
        <w:rPr>
          <w:lang w:val="en-GB"/>
        </w:rPr>
        <w:t xml:space="preserve"> </w:t>
      </w:r>
      <w:r w:rsidRPr="009F7561">
        <w:rPr>
          <w:lang w:val="en-GB"/>
        </w:rPr>
        <w:t>by the Head of Mission within each UN country team/humanitarian country team.</w:t>
      </w:r>
    </w:p>
    <w:p w:rsidRPr="00E355B6" w:rsidR="003B0E6F" w:rsidP="00855CAE" w:rsidRDefault="00E355B6" w14:paraId="7776AA83" w14:textId="70CA3C9D">
      <w:pPr>
        <w:spacing w:before="120" w:after="120" w:line="300" w:lineRule="atLeast"/>
        <w:jc w:val="both"/>
        <w:rPr>
          <w:i/>
          <w:iCs/>
          <w:color w:val="0070C0"/>
          <w:lang w:val="en-GB"/>
        </w:rPr>
      </w:pPr>
      <w:r w:rsidRPr="00E355B6">
        <w:rPr>
          <w:i/>
          <w:iCs/>
          <w:color w:val="0070C0"/>
          <w:lang w:val="en-GB"/>
        </w:rPr>
        <w:t>[</w:t>
      </w:r>
      <w:r w:rsidRPr="00E355B6" w:rsidR="00907AF2">
        <w:rPr>
          <w:i/>
          <w:iCs/>
          <w:color w:val="0070C0"/>
          <w:lang w:val="en-GB"/>
        </w:rPr>
        <w:t xml:space="preserve">Describe how the GBV coordination group interacts with the PSEA network (e.g. are focal points established from each group to attend the other group’s meetings, are trainings jointly facilitated, </w:t>
      </w:r>
      <w:r w:rsidRPr="00E355B6" w:rsidR="00907AF2">
        <w:rPr>
          <w:i/>
          <w:iCs/>
          <w:color w:val="0070C0"/>
          <w:lang w:val="en-GB"/>
        </w:rPr>
        <w:t xml:space="preserve">etc.). </w:t>
      </w:r>
      <w:r w:rsidRPr="00E355B6" w:rsidR="003B0E6F">
        <w:rPr>
          <w:i/>
          <w:iCs/>
          <w:color w:val="0070C0"/>
          <w:lang w:val="en-GB"/>
        </w:rPr>
        <w:t>Insert the locally established PSEA protocols and procedures for receiving reports of suspected SEA perpetrated by humanitarian staff and investigating reports</w:t>
      </w:r>
      <w:r w:rsidRPr="00E355B6" w:rsidR="00907AF2">
        <w:rPr>
          <w:i/>
          <w:iCs/>
          <w:color w:val="0070C0"/>
          <w:lang w:val="en-GB"/>
        </w:rPr>
        <w:t>.</w:t>
      </w:r>
      <w:r w:rsidRPr="00E355B6">
        <w:rPr>
          <w:i/>
          <w:iCs/>
          <w:color w:val="0070C0"/>
          <w:lang w:val="en-GB"/>
        </w:rPr>
        <w:t>]</w:t>
      </w:r>
      <w:r w:rsidRPr="00E355B6" w:rsidR="00907AF2">
        <w:rPr>
          <w:i/>
          <w:iCs/>
          <w:color w:val="0070C0"/>
          <w:lang w:val="en-GB"/>
        </w:rPr>
        <w:t xml:space="preserve"> </w:t>
      </w:r>
    </w:p>
    <w:p w:rsidRPr="00585205" w:rsidR="003B0E6F" w:rsidP="00E82689" w:rsidRDefault="003B0E6F" w14:paraId="0C45BB1F" w14:textId="77777777">
      <w:pPr>
        <w:spacing w:before="120" w:after="120" w:line="240" w:lineRule="auto"/>
        <w:jc w:val="both"/>
        <w:rPr>
          <w:b/>
          <w:lang w:val="en-GB"/>
        </w:rPr>
      </w:pPr>
      <w:r w:rsidRPr="009F7561">
        <w:rPr>
          <w:lang w:val="en-GB"/>
        </w:rPr>
        <w:br w:type="page"/>
      </w:r>
    </w:p>
    <w:p w:rsidRPr="00855CAE" w:rsidR="00885226" w:rsidP="002D1E7B" w:rsidRDefault="00885226" w14:paraId="18662508" w14:textId="77777777">
      <w:pPr>
        <w:pStyle w:val="Heading1"/>
      </w:pPr>
      <w:bookmarkStart w:name="_Toc134906292" w:id="146"/>
      <w:bookmarkStart w:name="_Toc142469162" w:id="147"/>
      <w:r w:rsidRPr="00855CAE">
        <w:t>SECTION 6: RISK MITIGATION</w:t>
      </w:r>
      <w:bookmarkEnd w:id="146"/>
      <w:bookmarkEnd w:id="147"/>
    </w:p>
    <w:tbl>
      <w:tblPr>
        <w:tblStyle w:val="TableGrid"/>
        <w:tblW w:w="0" w:type="auto"/>
        <w:tblLook w:val="04A0" w:firstRow="1" w:lastRow="0" w:firstColumn="1" w:lastColumn="0" w:noHBand="0" w:noVBand="1"/>
      </w:tblPr>
      <w:tblGrid>
        <w:gridCol w:w="9350"/>
      </w:tblGrid>
      <w:tr w:rsidR="005F1D51" w:rsidTr="005F1D51" w14:paraId="191F5D47" w14:textId="77777777">
        <w:tc>
          <w:tcPr>
            <w:tcW w:w="9350" w:type="dxa"/>
          </w:tcPr>
          <w:p w:rsidRPr="00E355B6" w:rsidR="005F1D51" w:rsidP="00B86908" w:rsidRDefault="005F1D51" w14:paraId="5966D27F" w14:textId="77777777">
            <w:pPr>
              <w:spacing w:before="120" w:after="120" w:line="300" w:lineRule="atLeast"/>
              <w:jc w:val="both"/>
              <w:rPr>
                <w:b/>
                <w:lang w:val="en-GB"/>
              </w:rPr>
            </w:pPr>
            <w:r w:rsidRPr="00E355B6">
              <w:rPr>
                <w:b/>
                <w:lang w:val="en-GB"/>
              </w:rPr>
              <w:t>Essential issues to consider</w:t>
            </w:r>
          </w:p>
          <w:p w:rsidRPr="009F7561" w:rsidR="005F1D51" w:rsidP="00B86908" w:rsidRDefault="005F1D51" w14:paraId="58A62FF2" w14:textId="77777777">
            <w:pPr>
              <w:pBdr>
                <w:top w:val="nil"/>
                <w:left w:val="nil"/>
                <w:bottom w:val="nil"/>
                <w:right w:val="nil"/>
                <w:between w:val="nil"/>
              </w:pBdr>
              <w:spacing w:before="120" w:after="120" w:line="300" w:lineRule="atLeast"/>
              <w:jc w:val="both"/>
              <w:rPr>
                <w:lang w:val="en-GB"/>
              </w:rPr>
            </w:pPr>
            <w:r w:rsidRPr="009F7561">
              <w:rPr>
                <w:lang w:val="en-GB"/>
              </w:rPr>
              <w:t>In emergencies, women and girls face a wide range of GBV risks that increase during displacement and conflict, including sexual exploitation and abuse perpetrated by male humanitarian actors. Humanitarian agencies may unintentionally increase these risks without</w:t>
            </w:r>
            <w:r>
              <w:rPr>
                <w:lang w:val="en-GB"/>
              </w:rPr>
              <w:t xml:space="preserve"> </w:t>
            </w:r>
            <w:r w:rsidRPr="009F7561">
              <w:rPr>
                <w:lang w:val="en-GB"/>
              </w:rPr>
              <w:t>properly identifying and addressing the needs of women and girls and the potential obstacles they may face in accessing services safely.</w:t>
            </w:r>
          </w:p>
          <w:p w:rsidRPr="009F7561" w:rsidR="005F1D51" w:rsidP="00B86908" w:rsidRDefault="005F1D51" w14:paraId="7A8A40A2" w14:textId="77777777">
            <w:pPr>
              <w:pBdr>
                <w:top w:val="nil"/>
                <w:left w:val="nil"/>
                <w:bottom w:val="nil"/>
                <w:right w:val="nil"/>
                <w:between w:val="nil"/>
              </w:pBdr>
              <w:spacing w:before="120" w:after="120" w:line="300" w:lineRule="atLeast"/>
              <w:jc w:val="both"/>
              <w:rPr>
                <w:lang w:val="en-GB"/>
              </w:rPr>
            </w:pPr>
            <w:r w:rsidRPr="009F7561">
              <w:rPr>
                <w:lang w:val="en-GB"/>
              </w:rPr>
              <w:t>Humanitarian actors can both mitigate risks in advance (e.g. through code of conduct training) and quickly address many of these once they arise. Failure to take action against GBV represents</w:t>
            </w:r>
            <w:r>
              <w:rPr>
                <w:lang w:val="en-GB"/>
              </w:rPr>
              <w:t xml:space="preserve"> </w:t>
            </w:r>
            <w:r w:rsidRPr="009F7561">
              <w:rPr>
                <w:lang w:val="en-GB"/>
              </w:rPr>
              <w:t>a failure by humanitarian actors to meet their most basic responsibilities for promoting and protecting the rights of affected populations. Inaction and/or poorly designed programmes can cause further harm.</w:t>
            </w:r>
          </w:p>
          <w:p w:rsidR="005F1D51" w:rsidP="00B86908" w:rsidRDefault="005F1D51" w14:paraId="517BE57A" w14:textId="24DE925F">
            <w:pPr>
              <w:spacing w:before="120" w:after="120" w:line="300" w:lineRule="atLeast"/>
              <w:jc w:val="both"/>
              <w:rPr>
                <w:lang w:val="en-GB"/>
              </w:rPr>
            </w:pPr>
            <w:r w:rsidRPr="009F7561">
              <w:rPr>
                <w:lang w:val="en-GB"/>
              </w:rPr>
              <w:t>Risk mitigation strategies must be</w:t>
            </w:r>
            <w:r>
              <w:rPr>
                <w:lang w:val="en-GB"/>
              </w:rPr>
              <w:t xml:space="preserve"> </w:t>
            </w:r>
            <w:r w:rsidRPr="009F7561">
              <w:rPr>
                <w:lang w:val="en-GB"/>
              </w:rPr>
              <w:t>led by the relevant sector, with technical support from GBV specialists if needed and community involvement.</w:t>
            </w:r>
          </w:p>
        </w:tc>
      </w:tr>
    </w:tbl>
    <w:p w:rsidRPr="009F7561" w:rsidR="00885226" w:rsidP="002D1E7B" w:rsidRDefault="00885226" w14:paraId="6ABEA8C1" w14:textId="5A6A81DA">
      <w:pPr>
        <w:spacing w:before="120" w:after="120" w:line="300" w:lineRule="atLeast"/>
        <w:jc w:val="both"/>
        <w:rPr>
          <w:lang w:val="en-GB"/>
        </w:rPr>
      </w:pPr>
      <w:r w:rsidRPr="009F7561">
        <w:rPr>
          <w:lang w:val="en-GB"/>
        </w:rPr>
        <w:t>All humanitarian sectors and actors are responsible for promoting women</w:t>
      </w:r>
      <w:r w:rsidRPr="009F7561" w:rsidR="00315391">
        <w:rPr>
          <w:lang w:val="en-GB"/>
        </w:rPr>
        <w:t>’s</w:t>
      </w:r>
      <w:r w:rsidRPr="009F7561">
        <w:rPr>
          <w:lang w:val="en-GB"/>
        </w:rPr>
        <w:t xml:space="preserve"> and girls</w:t>
      </w:r>
      <w:r w:rsidRPr="009F7561" w:rsidR="00B35AB4">
        <w:rPr>
          <w:lang w:val="en-GB"/>
        </w:rPr>
        <w:t>’</w:t>
      </w:r>
      <w:r w:rsidRPr="009F7561">
        <w:rPr>
          <w:lang w:val="en-GB"/>
        </w:rPr>
        <w:t xml:space="preserve"> safety</w:t>
      </w:r>
      <w:r w:rsidRPr="009F7561" w:rsidR="008A1575">
        <w:rPr>
          <w:lang w:val="en-GB"/>
        </w:rPr>
        <w:t xml:space="preserve"> and </w:t>
      </w:r>
      <w:r w:rsidRPr="009F7561">
        <w:rPr>
          <w:lang w:val="en-GB"/>
        </w:rPr>
        <w:t xml:space="preserve">reducing their risk of GBV. The IASC </w:t>
      </w:r>
      <w:r w:rsidR="00C34AE8">
        <w:rPr>
          <w:lang w:val="en-GB"/>
        </w:rPr>
        <w:t>GBV Guidelines</w:t>
      </w:r>
      <w:r w:rsidRPr="009F7561" w:rsidR="00980FD0">
        <w:rPr>
          <w:lang w:val="en-GB"/>
        </w:rPr>
        <w:t xml:space="preserve"> </w:t>
      </w:r>
      <w:r w:rsidRPr="009F7561">
        <w:rPr>
          <w:lang w:val="en-GB"/>
        </w:rPr>
        <w:t xml:space="preserve">state clearly and prominently: “All humanitarian actors must be aware of the risks of GBV and – acting collectively to ensure a comprehensive response – prevent and mitigate these risks as quickly as possible within their areas of operation.” (p. </w:t>
      </w:r>
      <w:r w:rsidRPr="009F7561" w:rsidR="00ED6996">
        <w:rPr>
          <w:lang w:val="en-GB"/>
        </w:rPr>
        <w:t>14</w:t>
      </w:r>
      <w:r w:rsidRPr="009F7561">
        <w:rPr>
          <w:lang w:val="en-GB"/>
        </w:rPr>
        <w:t>). Protecting women and girls from GBV stems from all national and international actors</w:t>
      </w:r>
      <w:r w:rsidRPr="009F7561" w:rsidR="00ED6996">
        <w:rPr>
          <w:lang w:val="en-GB"/>
        </w:rPr>
        <w:t>’</w:t>
      </w:r>
      <w:r w:rsidRPr="009F7561">
        <w:rPr>
          <w:lang w:val="en-GB"/>
        </w:rPr>
        <w:t xml:space="preserve"> essential duty to protect those affected by crises.</w:t>
      </w:r>
    </w:p>
    <w:p w:rsidRPr="009F7561" w:rsidR="00885226" w:rsidP="002D1E7B" w:rsidRDefault="00885226" w14:paraId="194139B1" w14:textId="0D8AA296">
      <w:pPr>
        <w:spacing w:before="120" w:after="120" w:line="300" w:lineRule="atLeast"/>
        <w:jc w:val="both"/>
        <w:rPr>
          <w:lang w:val="en-GB"/>
        </w:rPr>
      </w:pPr>
      <w:r w:rsidRPr="009F7561">
        <w:rPr>
          <w:lang w:val="en-GB"/>
        </w:rPr>
        <w:t>Integration of GBV risk mitigation actions in humanitarian response is the process of</w:t>
      </w:r>
      <w:r w:rsidR="004519A2">
        <w:rPr>
          <w:lang w:val="en-GB"/>
        </w:rPr>
        <w:t xml:space="preserve"> </w:t>
      </w:r>
      <w:r w:rsidRPr="009F7561">
        <w:rPr>
          <w:lang w:val="en-GB"/>
        </w:rPr>
        <w:t>ensuring that humanitarian interventions across all clusters/sectors: (1) do not cause or increase the likelihood of GBV; (2) proactively seek to identify and take action to mitigate GBV risks in the environment and in programme design and implementation; and (3) proactively facilitate and monitor vulnerable groups</w:t>
      </w:r>
      <w:r w:rsidRPr="009F7561" w:rsidR="00836B3E">
        <w:rPr>
          <w:lang w:val="en-GB"/>
        </w:rPr>
        <w:t>’</w:t>
      </w:r>
      <w:r w:rsidRPr="009F7561">
        <w:rPr>
          <w:lang w:val="en-GB"/>
        </w:rPr>
        <w:t xml:space="preserve"> safe access to services. GBV integration is distinct from, but complementary to, GBV specialized programming, which includes response services for GBV survivors and longer-term prevention interventions (see </w:t>
      </w:r>
      <w:r w:rsidRPr="009F7561" w:rsidR="00CB5A06">
        <w:rPr>
          <w:lang w:val="en-GB"/>
        </w:rPr>
        <w:t>section</w:t>
      </w:r>
      <w:r w:rsidRPr="009F7561">
        <w:rPr>
          <w:lang w:val="en-GB"/>
        </w:rPr>
        <w:t xml:space="preserve"> 7).</w:t>
      </w:r>
    </w:p>
    <w:p w:rsidRPr="00585205" w:rsidR="00885226" w:rsidP="002D1E7B" w:rsidRDefault="00885226" w14:paraId="75D05AD6" w14:textId="46983EB1">
      <w:pPr>
        <w:spacing w:before="120" w:after="120" w:line="300" w:lineRule="atLeast"/>
        <w:jc w:val="both"/>
        <w:rPr>
          <w:lang w:val="en-GB"/>
        </w:rPr>
      </w:pPr>
      <w:r w:rsidRPr="009F7561">
        <w:rPr>
          <w:lang w:val="en-GB"/>
        </w:rPr>
        <w:t>Risk mitigation focuses on reducing the risks of GBV, including sexual exploitation and abuse, that women and girls face</w:t>
      </w:r>
      <w:r w:rsidRPr="009F7561" w:rsidR="008A1575">
        <w:rPr>
          <w:lang w:val="en-GB"/>
        </w:rPr>
        <w:t xml:space="preserve"> and </w:t>
      </w:r>
      <w:r w:rsidRPr="009F7561">
        <w:rPr>
          <w:lang w:val="en-GB"/>
        </w:rPr>
        <w:t>protecting those who have already experienced violence from further harm.</w:t>
      </w:r>
      <w:r w:rsidRPr="009F7561" w:rsidR="003C264D">
        <w:rPr>
          <w:lang w:val="en-GB"/>
        </w:rPr>
        <w:t xml:space="preserve"> </w:t>
      </w:r>
      <w:r w:rsidRPr="009F7561">
        <w:rPr>
          <w:lang w:val="en-GB"/>
        </w:rPr>
        <w:t xml:space="preserve">Reducing risk by implementing GBV mitigation strategies across all areas of humanitarian response, from the pre-emergency to the recovery stages, is necessary </w:t>
      </w:r>
      <w:r w:rsidR="006020E2">
        <w:rPr>
          <w:lang w:val="en-GB"/>
        </w:rPr>
        <w:t xml:space="preserve">to </w:t>
      </w:r>
      <w:r w:rsidRPr="009F7561">
        <w:rPr>
          <w:lang w:val="en-GB"/>
        </w:rPr>
        <w:t>maximis</w:t>
      </w:r>
      <w:r w:rsidR="006020E2">
        <w:rPr>
          <w:lang w:val="en-GB"/>
        </w:rPr>
        <w:t>e</w:t>
      </w:r>
      <w:r w:rsidRPr="009F7561">
        <w:rPr>
          <w:lang w:val="en-GB"/>
        </w:rPr>
        <w:t xml:space="preserve"> protection and </w:t>
      </w:r>
      <w:r w:rsidRPr="009F7561" w:rsidR="006020E2">
        <w:rPr>
          <w:lang w:val="en-GB"/>
        </w:rPr>
        <w:t>sav</w:t>
      </w:r>
      <w:r w:rsidR="006020E2">
        <w:rPr>
          <w:lang w:val="en-GB"/>
        </w:rPr>
        <w:t>e</w:t>
      </w:r>
      <w:r w:rsidRPr="009F7561" w:rsidR="006020E2">
        <w:rPr>
          <w:lang w:val="en-GB"/>
        </w:rPr>
        <w:t xml:space="preserve"> </w:t>
      </w:r>
      <w:r w:rsidRPr="009F7561">
        <w:rPr>
          <w:lang w:val="en-GB"/>
        </w:rPr>
        <w:t xml:space="preserve">lives. </w:t>
      </w:r>
    </w:p>
    <w:p w:rsidRPr="009F7561" w:rsidR="00885226" w:rsidP="00B86908" w:rsidRDefault="00885226" w14:paraId="2A0CBE2C" w14:textId="73C348B1">
      <w:pPr>
        <w:spacing w:before="120" w:after="120" w:line="300" w:lineRule="atLeast"/>
        <w:jc w:val="both"/>
        <w:rPr>
          <w:vertAlign w:val="superscript"/>
          <w:lang w:val="en-GB"/>
        </w:rPr>
      </w:pPr>
      <w:r w:rsidRPr="009F7561">
        <w:rPr>
          <w:lang w:val="en-GB"/>
        </w:rPr>
        <w:t>GBV specialized actors must be aware of risks to women and girls to inform advocacy with the sectors responsible for mitigating these risks. GBV special</w:t>
      </w:r>
      <w:r w:rsidRPr="009F7561" w:rsidR="005E1813">
        <w:rPr>
          <w:lang w:val="en-GB"/>
        </w:rPr>
        <w:t>ize</w:t>
      </w:r>
      <w:r w:rsidRPr="009F7561">
        <w:rPr>
          <w:lang w:val="en-GB"/>
        </w:rPr>
        <w:t>d actors</w:t>
      </w:r>
      <w:r w:rsidRPr="009F7561" w:rsidR="00AD4464">
        <w:rPr>
          <w:lang w:val="en-GB"/>
        </w:rPr>
        <w:t>’</w:t>
      </w:r>
      <w:r w:rsidRPr="009F7561">
        <w:rPr>
          <w:lang w:val="en-GB"/>
        </w:rPr>
        <w:t xml:space="preserve"> role is to facilitate support to non-GBV sectors and actors to </w:t>
      </w:r>
      <w:r w:rsidRPr="009F7561" w:rsidR="00970105">
        <w:rPr>
          <w:lang w:val="en-GB"/>
        </w:rPr>
        <w:t>analyse the GBV risks safely and ethically</w:t>
      </w:r>
      <w:r w:rsidRPr="009F7561">
        <w:rPr>
          <w:lang w:val="en-GB"/>
        </w:rPr>
        <w:t xml:space="preserve"> in their environment, using available information and data from an age, gender and diversity perspective; and to provide technical inputs to other sectors</w:t>
      </w:r>
      <w:r w:rsidRPr="009F7561" w:rsidR="00C60352">
        <w:rPr>
          <w:lang w:val="en-GB"/>
        </w:rPr>
        <w:t>’</w:t>
      </w:r>
      <w:r w:rsidRPr="009F7561">
        <w:rPr>
          <w:lang w:val="en-GB"/>
        </w:rPr>
        <w:t xml:space="preserve"> coordination and programming actions on GBV risk mitigation. This encompasses how to consult safely with affected communities, especially women and girls, </w:t>
      </w:r>
      <w:r w:rsidRPr="009F7561">
        <w:rPr>
          <w:lang w:val="en-GB"/>
        </w:rPr>
        <w:t>on barriers to accessing services as well as safety concerns they may have, including sexual exploitation and abuse perpetrated by humanitarian actors.</w:t>
      </w:r>
      <w:r w:rsidRPr="009F7561">
        <w:rPr>
          <w:vertAlign w:val="superscript"/>
          <w:lang w:val="en-GB"/>
        </w:rPr>
        <w:footnoteReference w:id="132"/>
      </w:r>
    </w:p>
    <w:p w:rsidRPr="009F7561" w:rsidR="00885226" w:rsidP="00B86908" w:rsidRDefault="008C7097" w14:paraId="7F0810D3" w14:textId="6EBF262D">
      <w:pPr>
        <w:spacing w:before="120" w:after="120" w:line="300" w:lineRule="atLeast"/>
        <w:jc w:val="both"/>
        <w:rPr>
          <w:lang w:val="en-GB"/>
        </w:rPr>
      </w:pPr>
      <w:r>
        <w:rPr>
          <w:lang w:val="en-GB"/>
        </w:rPr>
        <w:t>Al</w:t>
      </w:r>
      <w:r w:rsidRPr="008C7097">
        <w:rPr>
          <w:lang w:val="en-GB"/>
        </w:rPr>
        <w:t xml:space="preserve">though </w:t>
      </w:r>
      <w:r w:rsidRPr="009F7561">
        <w:rPr>
          <w:lang w:val="en-GB"/>
        </w:rPr>
        <w:t>c</w:t>
      </w:r>
      <w:r w:rsidRPr="009F7561" w:rsidR="00885226">
        <w:rPr>
          <w:lang w:val="en-GB"/>
        </w:rPr>
        <w:t>ommunity outreach activities (</w:t>
      </w:r>
      <w:r w:rsidRPr="009F7561" w:rsidR="00082134">
        <w:rPr>
          <w:lang w:val="en-GB"/>
        </w:rPr>
        <w:t>s</w:t>
      </w:r>
      <w:r w:rsidRPr="009F7561" w:rsidR="00885226">
        <w:rPr>
          <w:lang w:val="en-GB"/>
        </w:rPr>
        <w:t xml:space="preserve">ee </w:t>
      </w:r>
      <w:r w:rsidRPr="009F7561" w:rsidR="00CB5A06">
        <w:rPr>
          <w:lang w:val="en-GB"/>
        </w:rPr>
        <w:t>section</w:t>
      </w:r>
      <w:r w:rsidRPr="009F7561" w:rsidR="00885226">
        <w:rPr>
          <w:lang w:val="en-GB"/>
        </w:rPr>
        <w:t xml:space="preserve"> 3.</w:t>
      </w:r>
      <w:r w:rsidRPr="009F7561" w:rsidR="0034071D">
        <w:rPr>
          <w:lang w:val="en-GB"/>
        </w:rPr>
        <w:t>7</w:t>
      </w:r>
      <w:r w:rsidRPr="009F7561" w:rsidR="00885226">
        <w:rPr>
          <w:lang w:val="en-GB"/>
        </w:rPr>
        <w:t>) are an essential part of GBV risk mitigation efforts, they are not enough to change norms, attitudes</w:t>
      </w:r>
      <w:r w:rsidRPr="009F7561" w:rsidR="008A1575">
        <w:rPr>
          <w:lang w:val="en-GB"/>
        </w:rPr>
        <w:t xml:space="preserve"> and </w:t>
      </w:r>
      <w:r w:rsidRPr="009F7561" w:rsidR="00885226">
        <w:rPr>
          <w:lang w:val="en-GB"/>
        </w:rPr>
        <w:t>behaviours around GBV</w:t>
      </w:r>
      <w:r>
        <w:rPr>
          <w:lang w:val="en-GB"/>
        </w:rPr>
        <w:t>.</w:t>
      </w:r>
      <w:r w:rsidRPr="009F7561">
        <w:rPr>
          <w:lang w:val="en-GB"/>
        </w:rPr>
        <w:t xml:space="preserve"> T</w:t>
      </w:r>
      <w:r w:rsidRPr="009F7561" w:rsidR="00885226">
        <w:rPr>
          <w:lang w:val="en-GB"/>
        </w:rPr>
        <w:t xml:space="preserve">his requires more structured, targeted and long-term interventions (as described in </w:t>
      </w:r>
      <w:r w:rsidRPr="009F7561" w:rsidR="00CB5A06">
        <w:rPr>
          <w:lang w:val="en-GB"/>
        </w:rPr>
        <w:t>section</w:t>
      </w:r>
      <w:r w:rsidRPr="009F7561" w:rsidR="00885226">
        <w:rPr>
          <w:lang w:val="en-GB"/>
        </w:rPr>
        <w:t xml:space="preserve"> 7). GBV special</w:t>
      </w:r>
      <w:r w:rsidRPr="009F7561" w:rsidR="005E1813">
        <w:rPr>
          <w:lang w:val="en-GB"/>
        </w:rPr>
        <w:t>ize</w:t>
      </w:r>
      <w:r w:rsidRPr="009F7561" w:rsidR="00885226">
        <w:rPr>
          <w:lang w:val="en-GB"/>
        </w:rPr>
        <w:t>d actors must advise and inform other sectors</w:t>
      </w:r>
      <w:r w:rsidRPr="009F7561" w:rsidR="00621C72">
        <w:rPr>
          <w:lang w:val="en-GB"/>
        </w:rPr>
        <w:t>’</w:t>
      </w:r>
      <w:r w:rsidRPr="009F7561" w:rsidR="00885226">
        <w:rPr>
          <w:lang w:val="en-GB"/>
        </w:rPr>
        <w:t xml:space="preserve"> messaging and also align outreach and messaging with other sectors, including but not limited to </w:t>
      </w:r>
      <w:r w:rsidRPr="009F7561" w:rsidR="001F47B3">
        <w:rPr>
          <w:lang w:val="en-GB"/>
        </w:rPr>
        <w:t>health</w:t>
      </w:r>
      <w:r w:rsidR="00101D69">
        <w:rPr>
          <w:lang w:val="en-GB"/>
        </w:rPr>
        <w:t xml:space="preserve"> </w:t>
      </w:r>
      <w:r w:rsidRPr="009F7561" w:rsidR="001F47B3">
        <w:rPr>
          <w:lang w:val="en-GB"/>
        </w:rPr>
        <w:t xml:space="preserve">and water, sanitation and hygiene </w:t>
      </w:r>
      <w:r w:rsidRPr="009F7561" w:rsidR="00885226">
        <w:rPr>
          <w:lang w:val="en-GB"/>
        </w:rPr>
        <w:t xml:space="preserve">(WASH). </w:t>
      </w:r>
    </w:p>
    <w:p w:rsidRPr="002D1E7B" w:rsidR="00885226" w:rsidP="00B86908" w:rsidRDefault="002D1E7B" w14:paraId="3BCA8FFF" w14:textId="1D73EFE1">
      <w:pPr>
        <w:spacing w:before="120" w:after="120" w:line="300" w:lineRule="atLeast"/>
        <w:jc w:val="both"/>
        <w:rPr>
          <w:i/>
          <w:iCs/>
          <w:color w:val="0070C0"/>
          <w:spacing w:val="-2"/>
          <w:vertAlign w:val="superscript"/>
          <w:lang w:val="en-GB"/>
        </w:rPr>
      </w:pPr>
      <w:r w:rsidRPr="002D1E7B">
        <w:rPr>
          <w:i/>
          <w:iCs/>
          <w:color w:val="0070C0"/>
          <w:spacing w:val="-2"/>
          <w:lang w:val="en-GB"/>
        </w:rPr>
        <w:t>[</w:t>
      </w:r>
      <w:r w:rsidRPr="002D1E7B" w:rsidR="00885226">
        <w:rPr>
          <w:i/>
          <w:iCs/>
          <w:color w:val="0070C0"/>
          <w:spacing w:val="-2"/>
          <w:lang w:val="en-GB"/>
        </w:rPr>
        <w:t>List interventions by both GBV specialists and non-GBV actors designed to mitigate risks of GBV.</w:t>
      </w:r>
      <w:r w:rsidRPr="002D1E7B">
        <w:rPr>
          <w:i/>
          <w:iCs/>
          <w:color w:val="0070C0"/>
          <w:spacing w:val="-2"/>
          <w:lang w:val="en-GB"/>
        </w:rPr>
        <w:t>]</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4675"/>
        <w:gridCol w:w="4675"/>
      </w:tblGrid>
      <w:tr w:rsidRPr="009F7561" w:rsidR="007B57E6" w:rsidTr="00B86908" w14:paraId="09A76297" w14:textId="77777777">
        <w:trPr>
          <w:jc w:val="center"/>
        </w:trPr>
        <w:tc>
          <w:tcPr>
            <w:tcW w:w="4675" w:type="dxa"/>
          </w:tcPr>
          <w:p w:rsidRPr="009F7561" w:rsidR="00885226" w:rsidP="00E82689" w:rsidRDefault="00885226" w14:paraId="3C6D563D" w14:textId="33AB3BEC">
            <w:pPr>
              <w:spacing w:before="120" w:after="120"/>
              <w:jc w:val="both"/>
              <w:rPr>
                <w:lang w:val="en-GB"/>
              </w:rPr>
            </w:pPr>
            <w:r w:rsidRPr="009F7561">
              <w:rPr>
                <w:b/>
                <w:lang w:val="en-GB"/>
              </w:rPr>
              <w:t>GBV special</w:t>
            </w:r>
            <w:r w:rsidRPr="009F7561" w:rsidR="005E1813">
              <w:rPr>
                <w:b/>
                <w:lang w:val="en-GB"/>
              </w:rPr>
              <w:t>ize</w:t>
            </w:r>
            <w:r w:rsidRPr="009F7561">
              <w:rPr>
                <w:b/>
                <w:lang w:val="en-GB"/>
              </w:rPr>
              <w:t>d actors</w:t>
            </w:r>
            <w:r w:rsidRPr="009F7561" w:rsidR="005F64E9">
              <w:rPr>
                <w:b/>
                <w:lang w:val="en-GB"/>
              </w:rPr>
              <w:t>’</w:t>
            </w:r>
            <w:r w:rsidRPr="009F7561">
              <w:rPr>
                <w:lang w:val="en-GB"/>
              </w:rPr>
              <w:t xml:space="preserve"> commitments to advise</w:t>
            </w:r>
            <w:r w:rsidRPr="009F7561">
              <w:rPr>
                <w:vertAlign w:val="superscript"/>
                <w:lang w:val="en-GB"/>
              </w:rPr>
              <w:footnoteReference w:id="133"/>
            </w:r>
            <w:r w:rsidRPr="009F7561">
              <w:rPr>
                <w:lang w:val="en-GB"/>
              </w:rPr>
              <w:t xml:space="preserve"> other humanitarian sectors on efforts to reduce risk of GBV in the setting include but are not limited to:</w:t>
            </w:r>
          </w:p>
        </w:tc>
        <w:tc>
          <w:tcPr>
            <w:tcW w:w="4675" w:type="dxa"/>
          </w:tcPr>
          <w:p w:rsidRPr="009F7561" w:rsidR="00885226" w:rsidP="00E82689" w:rsidRDefault="00885226" w14:paraId="49923927" w14:textId="4B26AE11">
            <w:pPr>
              <w:spacing w:before="120" w:after="120"/>
              <w:jc w:val="both"/>
              <w:rPr>
                <w:lang w:val="en-GB"/>
              </w:rPr>
            </w:pPr>
            <w:r w:rsidRPr="009F7561">
              <w:rPr>
                <w:b/>
                <w:lang w:val="en-GB"/>
              </w:rPr>
              <w:t>Non-GBV actors</w:t>
            </w:r>
            <w:r w:rsidRPr="009F7561" w:rsidR="005F64E9">
              <w:rPr>
                <w:b/>
                <w:lang w:val="en-GB"/>
              </w:rPr>
              <w:t>’</w:t>
            </w:r>
            <w:r w:rsidRPr="009F7561">
              <w:rPr>
                <w:lang w:val="en-GB"/>
              </w:rPr>
              <w:t xml:space="preserve"> commitments to mitigate risk of GBV, including but not limited to the following:</w:t>
            </w:r>
          </w:p>
        </w:tc>
      </w:tr>
      <w:tr w:rsidRPr="009F7561" w:rsidR="007B57E6" w:rsidTr="00B86908" w14:paraId="22EE8CBE" w14:textId="77777777">
        <w:trPr>
          <w:trHeight w:val="7703"/>
          <w:jc w:val="center"/>
        </w:trPr>
        <w:tc>
          <w:tcPr>
            <w:tcW w:w="4675" w:type="dxa"/>
          </w:tcPr>
          <w:p w:rsidRPr="009F7561" w:rsidR="00885226" w:rsidP="00E96F61" w:rsidRDefault="00885226" w14:paraId="757DF107" w14:textId="324773C1">
            <w:pPr>
              <w:numPr>
                <w:ilvl w:val="0"/>
                <w:numId w:val="7"/>
              </w:numPr>
              <w:spacing w:before="120" w:after="120"/>
              <w:jc w:val="both"/>
              <w:rPr>
                <w:lang w:val="en-GB"/>
              </w:rPr>
            </w:pPr>
            <w:r w:rsidRPr="009F7561">
              <w:rPr>
                <w:lang w:val="en-GB"/>
              </w:rPr>
              <w:t>Providing accurate and accessible information on available GBV services and referral processes</w:t>
            </w:r>
            <w:r w:rsidR="00B86908">
              <w:rPr>
                <w:lang w:val="en-GB"/>
              </w:rPr>
              <w:t>.</w:t>
            </w:r>
          </w:p>
          <w:p w:rsidRPr="009F7561" w:rsidR="00885226" w:rsidP="00E96F61" w:rsidRDefault="00885226" w14:paraId="7B947FE4" w14:textId="33F83A2D">
            <w:pPr>
              <w:numPr>
                <w:ilvl w:val="0"/>
                <w:numId w:val="7"/>
              </w:numPr>
              <w:spacing w:before="120" w:after="120"/>
              <w:jc w:val="both"/>
              <w:rPr>
                <w:lang w:val="en-GB"/>
              </w:rPr>
            </w:pPr>
            <w:r w:rsidRPr="009F7561">
              <w:rPr>
                <w:lang w:val="en-GB"/>
              </w:rPr>
              <w:t>Supporting non-GBV actors to analyse the GBV risks safely and ethically in their environment</w:t>
            </w:r>
            <w:r w:rsidR="00B86908">
              <w:rPr>
                <w:lang w:val="en-GB"/>
              </w:rPr>
              <w:t>.</w:t>
            </w:r>
          </w:p>
          <w:p w:rsidRPr="009F7561" w:rsidR="00885226" w:rsidP="00E96F61" w:rsidRDefault="00885226" w14:paraId="0AFB52D4" w14:textId="25F0B126">
            <w:pPr>
              <w:numPr>
                <w:ilvl w:val="0"/>
                <w:numId w:val="7"/>
              </w:numPr>
              <w:spacing w:before="120" w:after="120"/>
              <w:jc w:val="both"/>
              <w:rPr>
                <w:lang w:val="en-GB"/>
              </w:rPr>
            </w:pPr>
            <w:r w:rsidRPr="009F7561">
              <w:rPr>
                <w:lang w:val="en-GB"/>
              </w:rPr>
              <w:t>Providing technical inputs to other sectors</w:t>
            </w:r>
            <w:r w:rsidRPr="009F7561" w:rsidR="003F3630">
              <w:rPr>
                <w:lang w:val="en-GB"/>
              </w:rPr>
              <w:t>’</w:t>
            </w:r>
            <w:r w:rsidRPr="009F7561">
              <w:rPr>
                <w:lang w:val="en-GB"/>
              </w:rPr>
              <w:t xml:space="preserve"> coordination and programming actions on GBV risk mitigation, including how to consult safely with affected communities, especially women and girls, on barriers to accessing services as well as safety concerns they may have, including sexual exploitation and abuse perpetrated by humanitarian actors;</w:t>
            </w:r>
          </w:p>
          <w:p w:rsidRPr="00585205" w:rsidR="00885226" w:rsidP="00E96F61" w:rsidRDefault="00885226" w14:paraId="66A55260" w14:textId="202CE447">
            <w:pPr>
              <w:numPr>
                <w:ilvl w:val="0"/>
                <w:numId w:val="14"/>
              </w:numPr>
              <w:spacing w:before="120" w:after="120"/>
              <w:jc w:val="both"/>
              <w:rPr>
                <w:lang w:val="en-GB"/>
              </w:rPr>
            </w:pPr>
            <w:r w:rsidRPr="009F7561">
              <w:rPr>
                <w:lang w:val="en-GB"/>
              </w:rPr>
              <w:t xml:space="preserve">Supporting or providing training about gender-based violence, the </w:t>
            </w:r>
            <w:r w:rsidR="00D15C40">
              <w:rPr>
                <w:lang w:val="en-GB"/>
              </w:rPr>
              <w:t>Inter-agency</w:t>
            </w:r>
            <w:r w:rsidRPr="009F7561">
              <w:rPr>
                <w:lang w:val="en-GB"/>
              </w:rPr>
              <w:t xml:space="preserve"> GBV </w:t>
            </w:r>
            <w:r w:rsidRPr="009F7561" w:rsidR="003F3630">
              <w:rPr>
                <w:lang w:val="en-GB"/>
              </w:rPr>
              <w:t>minimum standards</w:t>
            </w:r>
            <w:r w:rsidRPr="009F7561">
              <w:rPr>
                <w:lang w:val="en-GB"/>
              </w:rPr>
              <w:t xml:space="preserve">, IASC </w:t>
            </w:r>
            <w:r w:rsidR="00C34AE8">
              <w:rPr>
                <w:lang w:val="en-GB"/>
              </w:rPr>
              <w:t>GBV Guidelines</w:t>
            </w:r>
            <w:r w:rsidRPr="009F7561">
              <w:rPr>
                <w:lang w:val="en-GB"/>
              </w:rPr>
              <w:t>, these GBV SOPs</w:t>
            </w:r>
            <w:r w:rsidRPr="009F7561" w:rsidR="008A1575">
              <w:rPr>
                <w:lang w:val="en-GB"/>
              </w:rPr>
              <w:t xml:space="preserve"> and </w:t>
            </w:r>
            <w:r w:rsidRPr="009F7561">
              <w:rPr>
                <w:lang w:val="en-GB"/>
              </w:rPr>
              <w:t>other relevant materials</w:t>
            </w:r>
          </w:p>
        </w:tc>
        <w:tc>
          <w:tcPr>
            <w:tcW w:w="4675" w:type="dxa"/>
          </w:tcPr>
          <w:p w:rsidRPr="009F7561" w:rsidR="00885226" w:rsidP="00E96F61" w:rsidRDefault="00885226" w14:paraId="6F561207" w14:textId="04CFA10E">
            <w:pPr>
              <w:numPr>
                <w:ilvl w:val="0"/>
                <w:numId w:val="7"/>
              </w:numPr>
              <w:pBdr>
                <w:top w:val="nil"/>
                <w:left w:val="nil"/>
                <w:bottom w:val="nil"/>
                <w:right w:val="nil"/>
                <w:between w:val="nil"/>
              </w:pBdr>
              <w:spacing w:before="120" w:after="120"/>
              <w:jc w:val="both"/>
              <w:rPr>
                <w:lang w:val="en-GB"/>
              </w:rPr>
            </w:pPr>
            <w:r w:rsidRPr="00585205">
              <w:rPr>
                <w:lang w:val="en-GB"/>
              </w:rPr>
              <w:t>Require code of conduct commitments by all staff and create accountability mechanisms for staff about sexual exploitation and abuse</w:t>
            </w:r>
            <w:r w:rsidR="007D6A81">
              <w:rPr>
                <w:lang w:val="en-GB"/>
              </w:rPr>
              <w:t>.</w:t>
            </w:r>
          </w:p>
          <w:p w:rsidRPr="009F7561" w:rsidR="00885226" w:rsidP="00E96F61" w:rsidRDefault="00885226" w14:paraId="53FE78A0" w14:textId="511491D7">
            <w:pPr>
              <w:numPr>
                <w:ilvl w:val="0"/>
                <w:numId w:val="7"/>
              </w:numPr>
              <w:pBdr>
                <w:top w:val="nil"/>
                <w:left w:val="nil"/>
                <w:bottom w:val="nil"/>
                <w:right w:val="nil"/>
                <w:between w:val="nil"/>
              </w:pBdr>
              <w:spacing w:before="120" w:after="120"/>
              <w:jc w:val="both"/>
              <w:rPr>
                <w:lang w:val="en-GB"/>
              </w:rPr>
            </w:pPr>
            <w:r w:rsidRPr="00585205">
              <w:rPr>
                <w:lang w:val="en-GB"/>
              </w:rPr>
              <w:t>Identify an active GBV focal point per sector</w:t>
            </w:r>
            <w:r w:rsidR="007D6A81">
              <w:rPr>
                <w:lang w:val="en-GB"/>
              </w:rPr>
              <w:t>.</w:t>
            </w:r>
          </w:p>
          <w:p w:rsidRPr="009F7561" w:rsidR="00885226" w:rsidP="00E96F61" w:rsidRDefault="00885226" w14:paraId="6466631F" w14:textId="307490AB">
            <w:pPr>
              <w:numPr>
                <w:ilvl w:val="0"/>
                <w:numId w:val="7"/>
              </w:numPr>
              <w:pBdr>
                <w:top w:val="nil"/>
                <w:left w:val="nil"/>
                <w:bottom w:val="nil"/>
                <w:right w:val="nil"/>
                <w:between w:val="nil"/>
              </w:pBdr>
              <w:spacing w:before="120" w:after="120"/>
              <w:jc w:val="both"/>
              <w:rPr>
                <w:lang w:val="en-GB"/>
              </w:rPr>
            </w:pPr>
            <w:r w:rsidRPr="00585205">
              <w:rPr>
                <w:lang w:val="en-GB"/>
              </w:rPr>
              <w:t xml:space="preserve">Include GBV risk mitigation interventions in all </w:t>
            </w:r>
            <w:r w:rsidRPr="00585205" w:rsidR="00FD4975">
              <w:rPr>
                <w:lang w:val="en-GB"/>
              </w:rPr>
              <w:t>humanitarian response plans and refugee response plans</w:t>
            </w:r>
            <w:r w:rsidR="007D6A81">
              <w:rPr>
                <w:lang w:val="en-GB"/>
              </w:rPr>
              <w:t>.</w:t>
            </w:r>
          </w:p>
          <w:p w:rsidRPr="009F7561" w:rsidR="00885226" w:rsidP="00E96F61" w:rsidRDefault="00885226" w14:paraId="46F583AA" w14:textId="3513F547">
            <w:pPr>
              <w:numPr>
                <w:ilvl w:val="0"/>
                <w:numId w:val="7"/>
              </w:numPr>
              <w:pBdr>
                <w:top w:val="nil"/>
                <w:left w:val="nil"/>
                <w:bottom w:val="nil"/>
                <w:right w:val="nil"/>
                <w:between w:val="nil"/>
              </w:pBdr>
              <w:spacing w:before="120" w:after="120"/>
              <w:jc w:val="both"/>
              <w:rPr>
                <w:lang w:val="en-GB"/>
              </w:rPr>
            </w:pPr>
            <w:r w:rsidRPr="00585205">
              <w:rPr>
                <w:lang w:val="en-GB"/>
              </w:rPr>
              <w:t>Conduct and track safety audits</w:t>
            </w:r>
            <w:r w:rsidR="007D6A81">
              <w:rPr>
                <w:lang w:val="en-GB"/>
              </w:rPr>
              <w:t>.</w:t>
            </w:r>
            <w:r w:rsidRPr="00585205">
              <w:rPr>
                <w:vertAlign w:val="superscript"/>
                <w:lang w:val="en-GB"/>
              </w:rPr>
              <w:footnoteReference w:id="134"/>
            </w:r>
          </w:p>
          <w:p w:rsidRPr="009F7561" w:rsidR="00885226" w:rsidP="00E96F61" w:rsidRDefault="00885226" w14:paraId="53C8DDB5" w14:textId="77777777">
            <w:pPr>
              <w:numPr>
                <w:ilvl w:val="0"/>
                <w:numId w:val="7"/>
              </w:numPr>
              <w:pBdr>
                <w:top w:val="nil"/>
                <w:left w:val="nil"/>
                <w:bottom w:val="nil"/>
                <w:right w:val="nil"/>
                <w:between w:val="nil"/>
              </w:pBdr>
              <w:spacing w:before="120" w:after="120"/>
              <w:jc w:val="both"/>
              <w:rPr>
                <w:lang w:val="en-GB"/>
              </w:rPr>
            </w:pPr>
            <w:r w:rsidRPr="00585205">
              <w:rPr>
                <w:lang w:val="en-GB"/>
              </w:rPr>
              <w:t>Set up functional community-based feedback and complaint mechanisms that can respond to sexual exploitation and abuse, including complaint referral forms.</w:t>
            </w:r>
          </w:p>
          <w:p w:rsidRPr="009F7561" w:rsidR="00885226" w:rsidP="00E96F61" w:rsidRDefault="00885226" w14:paraId="5BEE577F" w14:textId="77777777">
            <w:pPr>
              <w:numPr>
                <w:ilvl w:val="0"/>
                <w:numId w:val="7"/>
              </w:numPr>
              <w:pBdr>
                <w:top w:val="nil"/>
                <w:left w:val="nil"/>
                <w:bottom w:val="nil"/>
                <w:right w:val="nil"/>
                <w:between w:val="nil"/>
              </w:pBdr>
              <w:spacing w:before="120" w:after="120"/>
              <w:jc w:val="both"/>
              <w:rPr>
                <w:lang w:val="en-GB"/>
              </w:rPr>
            </w:pPr>
            <w:r w:rsidRPr="009F7561">
              <w:rPr>
                <w:lang w:val="en-GB"/>
              </w:rPr>
              <w:t>Ensure that all staff:</w:t>
            </w:r>
          </w:p>
          <w:p w:rsidRPr="009F7561" w:rsidR="00885226" w:rsidP="00E96F61" w:rsidRDefault="00885226" w14:paraId="619F8ECF" w14:textId="2074F04D">
            <w:pPr>
              <w:numPr>
                <w:ilvl w:val="0"/>
                <w:numId w:val="31"/>
              </w:numPr>
              <w:spacing w:before="120" w:after="120"/>
              <w:jc w:val="both"/>
              <w:rPr>
                <w:lang w:val="en-GB"/>
              </w:rPr>
            </w:pPr>
            <w:r w:rsidRPr="009F7561">
              <w:rPr>
                <w:lang w:val="en-GB"/>
              </w:rPr>
              <w:t xml:space="preserve">Have at least a basic understanding of gender-based violence, the GBV </w:t>
            </w:r>
            <w:r w:rsidRPr="009F7561" w:rsidR="00F01342">
              <w:rPr>
                <w:lang w:val="en-GB"/>
              </w:rPr>
              <w:t xml:space="preserve">minimum standards </w:t>
            </w:r>
            <w:r w:rsidRPr="009F7561">
              <w:rPr>
                <w:lang w:val="en-GB"/>
              </w:rPr>
              <w:t xml:space="preserve">and the IASC </w:t>
            </w:r>
            <w:r w:rsidR="00C34AE8">
              <w:rPr>
                <w:lang w:val="en-GB"/>
              </w:rPr>
              <w:t>GBV Guidelines</w:t>
            </w:r>
            <w:r w:rsidR="007D6A81">
              <w:rPr>
                <w:lang w:val="en-GB"/>
              </w:rPr>
              <w:t>.</w:t>
            </w:r>
          </w:p>
          <w:p w:rsidRPr="007D6A81" w:rsidR="00885226" w:rsidP="00E96F61" w:rsidRDefault="00885226" w14:paraId="614EB124" w14:textId="7AB16EAB">
            <w:pPr>
              <w:numPr>
                <w:ilvl w:val="0"/>
                <w:numId w:val="31"/>
              </w:numPr>
              <w:spacing w:before="120" w:after="120"/>
              <w:jc w:val="both"/>
              <w:rPr>
                <w:lang w:val="en-GB"/>
              </w:rPr>
            </w:pPr>
            <w:r w:rsidRPr="009F7561">
              <w:rPr>
                <w:lang w:val="en-GB"/>
              </w:rPr>
              <w:t xml:space="preserve">Are trained on safe response to disclosure and know how and where to refer a survivor for support and assistance (using a </w:t>
            </w:r>
            <w:r w:rsidRPr="009F7561" w:rsidR="00F01342">
              <w:rPr>
                <w:lang w:val="en-GB"/>
              </w:rPr>
              <w:t>psychological first aid appr</w:t>
            </w:r>
            <w:r w:rsidRPr="009F7561">
              <w:rPr>
                <w:lang w:val="en-GB"/>
              </w:rPr>
              <w:t xml:space="preserve">oach, in line with the GBV </w:t>
            </w:r>
            <w:r w:rsidRPr="009F7561" w:rsidR="00F01342">
              <w:rPr>
                <w:lang w:val="en-GB"/>
              </w:rPr>
              <w:t>pocket guide</w:t>
            </w:r>
            <w:r w:rsidRPr="009F7561">
              <w:rPr>
                <w:lang w:val="en-GB"/>
              </w:rPr>
              <w:t xml:space="preserve">). </w:t>
            </w:r>
          </w:p>
        </w:tc>
      </w:tr>
    </w:tbl>
    <w:p w:rsidRPr="00042935" w:rsidR="003B0E6F" w:rsidP="00E96F61" w:rsidRDefault="003B0E6F" w14:paraId="11E17D00" w14:textId="61A90818">
      <w:pPr>
        <w:pStyle w:val="Heading2"/>
        <w:numPr>
          <w:ilvl w:val="1"/>
          <w:numId w:val="43"/>
        </w:numPr>
      </w:pPr>
      <w:bookmarkStart w:name="_Toc134906293" w:id="148"/>
      <w:bookmarkStart w:name="_Toc142469163" w:id="149"/>
      <w:r w:rsidRPr="00042935">
        <w:t xml:space="preserve">Menstrual </w:t>
      </w:r>
      <w:r w:rsidRPr="00042935" w:rsidR="00F03969">
        <w:t>hygiene management</w:t>
      </w:r>
      <w:bookmarkEnd w:id="148"/>
      <w:bookmarkEnd w:id="149"/>
    </w:p>
    <w:p w:rsidRPr="00585205" w:rsidR="003B0E6F" w:rsidP="00042935" w:rsidRDefault="003B0E6F" w14:paraId="1848FE7E" w14:textId="558B094D">
      <w:pPr>
        <w:spacing w:before="120" w:after="120" w:line="300" w:lineRule="atLeast"/>
        <w:jc w:val="both"/>
        <w:rPr>
          <w:lang w:val="en-GB"/>
        </w:rPr>
      </w:pPr>
      <w:r w:rsidRPr="00585205">
        <w:rPr>
          <w:lang w:val="en-GB"/>
        </w:rPr>
        <w:t>Lack of access to quality menstrual materials and supplies (i.e. soap or underwear)</w:t>
      </w:r>
      <w:r w:rsidR="00F85BE4">
        <w:rPr>
          <w:lang w:val="en-GB"/>
        </w:rPr>
        <w:t xml:space="preserve"> and </w:t>
      </w:r>
      <w:r w:rsidRPr="00585205">
        <w:rPr>
          <w:lang w:val="en-GB"/>
        </w:rPr>
        <w:t>limited access to WASH facilities prevent women and girls from managing their menstruation safely, hygienically and with dignity. In addition, stigma, taboo and cultural practices poses additional risk by hindering women</w:t>
      </w:r>
      <w:r w:rsidRPr="00585205" w:rsidR="00315391">
        <w:rPr>
          <w:lang w:val="en-GB"/>
        </w:rPr>
        <w:t>’s</w:t>
      </w:r>
      <w:r w:rsidRPr="00585205">
        <w:rPr>
          <w:lang w:val="en-GB"/>
        </w:rPr>
        <w:t xml:space="preserve"> and girls</w:t>
      </w:r>
      <w:r w:rsidRPr="00585205" w:rsidR="00FB363D">
        <w:rPr>
          <w:lang w:val="en-GB"/>
        </w:rPr>
        <w:t>’</w:t>
      </w:r>
      <w:r w:rsidRPr="00585205">
        <w:rPr>
          <w:lang w:val="en-GB"/>
        </w:rPr>
        <w:t xml:space="preserve"> advocacy around their menstruation-related needs, placing restrictions on women and girls, limiting their mobility, access to education, ability to engage in daily life and, in some cases, </w:t>
      </w:r>
      <w:r w:rsidRPr="00585205" w:rsidR="004A74E4">
        <w:rPr>
          <w:lang w:val="en-GB"/>
        </w:rPr>
        <w:t>signalling</w:t>
      </w:r>
      <w:r w:rsidRPr="00585205">
        <w:rPr>
          <w:lang w:val="en-GB"/>
        </w:rPr>
        <w:t xml:space="preserve"> a girl</w:t>
      </w:r>
      <w:r w:rsidRPr="00585205" w:rsidR="00315391">
        <w:rPr>
          <w:lang w:val="en-GB"/>
        </w:rPr>
        <w:t>’s</w:t>
      </w:r>
      <w:r w:rsidRPr="00585205">
        <w:rPr>
          <w:lang w:val="en-GB"/>
        </w:rPr>
        <w:t xml:space="preserve"> readiness to have children or get married. </w:t>
      </w:r>
    </w:p>
    <w:p w:rsidRPr="00585205" w:rsidR="003B0E6F" w:rsidP="00042935" w:rsidRDefault="003B0E6F" w14:paraId="20DE45BF" w14:textId="3D7E4518">
      <w:pPr>
        <w:spacing w:before="120" w:after="120" w:line="300" w:lineRule="atLeast"/>
        <w:jc w:val="both"/>
        <w:rPr>
          <w:lang w:val="en-GB"/>
        </w:rPr>
      </w:pPr>
      <w:r w:rsidRPr="00585205">
        <w:rPr>
          <w:lang w:val="en-GB"/>
        </w:rPr>
        <w:t>All WASH facilities (including disposal mechanisms) should be</w:t>
      </w:r>
      <w:r w:rsidR="00C74B66">
        <w:rPr>
          <w:lang w:val="en-GB"/>
        </w:rPr>
        <w:t xml:space="preserve"> </w:t>
      </w:r>
      <w:r w:rsidRPr="00585205">
        <w:rPr>
          <w:lang w:val="en-GB"/>
        </w:rPr>
        <w:t>assessed for their safety and accessibility for girls, women and others who menstruate to assure daytime and night</w:t>
      </w:r>
      <w:r w:rsidR="007B153D">
        <w:rPr>
          <w:lang w:val="en-GB"/>
        </w:rPr>
        <w:t xml:space="preserve"> </w:t>
      </w:r>
      <w:r w:rsidRPr="00585205">
        <w:rPr>
          <w:lang w:val="en-GB"/>
        </w:rPr>
        <w:t>time access. These can be sites of particular risk of violence and/or hinder the usage of such facilities by those who menstruate if they perceive them to be unsafe.</w:t>
      </w:r>
    </w:p>
    <w:p w:rsidRPr="009F7561" w:rsidR="003B0E6F" w:rsidP="00042935" w:rsidRDefault="003B0E6F" w14:paraId="7F981285" w14:textId="57F1079F">
      <w:pPr>
        <w:spacing w:before="120" w:after="120" w:line="300" w:lineRule="atLeast"/>
        <w:jc w:val="both"/>
        <w:rPr>
          <w:lang w:val="en-GB"/>
        </w:rPr>
      </w:pPr>
      <w:r w:rsidRPr="009F7561">
        <w:rPr>
          <w:lang w:val="en-GB"/>
        </w:rPr>
        <w:t>Risks can also be mitigated through dignity kit assembly and distribution</w:t>
      </w:r>
      <w:r w:rsidRPr="009F7561" w:rsidR="00461384">
        <w:rPr>
          <w:lang w:val="en-GB"/>
        </w:rPr>
        <w:t xml:space="preserve"> or </w:t>
      </w:r>
      <w:r w:rsidRPr="009F7561">
        <w:rPr>
          <w:lang w:val="en-GB"/>
        </w:rPr>
        <w:t xml:space="preserve">cash and voucher assistance, based on discussions with women and girls (see </w:t>
      </w:r>
      <w:r w:rsidRPr="009F7561" w:rsidR="00CB5A06">
        <w:rPr>
          <w:lang w:val="en-GB"/>
        </w:rPr>
        <w:t>section</w:t>
      </w:r>
      <w:r w:rsidRPr="009F7561">
        <w:rPr>
          <w:lang w:val="en-GB"/>
        </w:rPr>
        <w:t xml:space="preserve"> 3.4.7). </w:t>
      </w:r>
    </w:p>
    <w:p w:rsidRPr="009F7561" w:rsidR="003B0E6F" w:rsidP="00042935" w:rsidRDefault="003B0E6F" w14:paraId="3B325707" w14:textId="77777777">
      <w:pPr>
        <w:spacing w:before="120" w:after="120" w:line="300" w:lineRule="atLeast"/>
        <w:jc w:val="both"/>
        <w:rPr>
          <w:vertAlign w:val="superscript"/>
          <w:lang w:val="en-GB"/>
        </w:rPr>
      </w:pPr>
      <w:r w:rsidRPr="009F7561">
        <w:rPr>
          <w:lang w:val="en-GB"/>
        </w:rPr>
        <w:t>Access to menstrual products can also be provided through CVA. Key considerations include availability of a variety of quality items and barriers to access, including specific barriers for adolescent girls.</w:t>
      </w:r>
      <w:r w:rsidRPr="009F7561">
        <w:rPr>
          <w:vertAlign w:val="superscript"/>
          <w:lang w:val="en-GB"/>
        </w:rPr>
        <w:footnoteReference w:id="135"/>
      </w:r>
    </w:p>
    <w:p w:rsidRPr="00585205" w:rsidR="003B0E6F" w:rsidP="00042935" w:rsidRDefault="003B0E6F" w14:paraId="0ED669B7" w14:textId="7CF44676">
      <w:pPr>
        <w:spacing w:before="120" w:after="120" w:line="300" w:lineRule="atLeast"/>
        <w:jc w:val="both"/>
        <w:rPr>
          <w:lang w:val="en-GB"/>
        </w:rPr>
      </w:pPr>
      <w:r w:rsidRPr="00585205">
        <w:rPr>
          <w:lang w:val="en-GB"/>
        </w:rPr>
        <w:t>Women</w:t>
      </w:r>
      <w:r w:rsidRPr="00585205">
        <w:t>’s</w:t>
      </w:r>
      <w:r w:rsidRPr="00585205">
        <w:rPr>
          <w:lang w:val="en-GB"/>
        </w:rPr>
        <w:t xml:space="preserve"> and </w:t>
      </w:r>
      <w:r w:rsidRPr="00585205" w:rsidR="00326883">
        <w:rPr>
          <w:lang w:val="en-GB"/>
        </w:rPr>
        <w:t>girls</w:t>
      </w:r>
      <w:r w:rsidRPr="00585205">
        <w:t>’</w:t>
      </w:r>
      <w:r w:rsidRPr="00585205" w:rsidR="00326883">
        <w:rPr>
          <w:lang w:val="en-GB"/>
        </w:rPr>
        <w:t xml:space="preserve"> safe spaces </w:t>
      </w:r>
      <w:r w:rsidRPr="00585205">
        <w:rPr>
          <w:lang w:val="en-GB"/>
        </w:rPr>
        <w:t xml:space="preserve">(WGSS) (see </w:t>
      </w:r>
      <w:r w:rsidRPr="00585205" w:rsidR="00CB5A06">
        <w:rPr>
          <w:lang w:val="en-GB"/>
        </w:rPr>
        <w:t>section</w:t>
      </w:r>
      <w:r w:rsidRPr="00585205">
        <w:rPr>
          <w:lang w:val="en-GB"/>
        </w:rPr>
        <w:t xml:space="preserve"> 3.4.4) and dignity kit distribution </w:t>
      </w:r>
      <w:r w:rsidRPr="00585205" w:rsidR="00326883">
        <w:rPr>
          <w:lang w:val="en-GB"/>
        </w:rPr>
        <w:t xml:space="preserve">– </w:t>
      </w:r>
      <w:r w:rsidRPr="00585205">
        <w:rPr>
          <w:lang w:val="en-GB"/>
        </w:rPr>
        <w:t>particularly when complemented by information/awareness sessions – can be</w:t>
      </w:r>
      <w:r w:rsidR="00F76574">
        <w:rPr>
          <w:lang w:val="en-GB"/>
        </w:rPr>
        <w:t xml:space="preserve"> </w:t>
      </w:r>
      <w:r w:rsidRPr="00585205">
        <w:rPr>
          <w:lang w:val="en-GB"/>
        </w:rPr>
        <w:t xml:space="preserve">important entry points for women and girls to access information about menstruation and receive MHM </w:t>
      </w:r>
      <w:r w:rsidRPr="009F7561">
        <w:rPr>
          <w:lang w:val="en-GB"/>
        </w:rPr>
        <w:t>materials</w:t>
      </w:r>
      <w:r w:rsidRPr="00585205">
        <w:rPr>
          <w:lang w:val="en-GB"/>
        </w:rPr>
        <w:t xml:space="preserve">. </w:t>
      </w:r>
    </w:p>
    <w:p w:rsidRPr="00585205" w:rsidR="003B0E6F" w:rsidP="00042935" w:rsidRDefault="003B0E6F" w14:paraId="35B522C1" w14:textId="06E77E46">
      <w:pPr>
        <w:spacing w:before="120" w:after="120" w:line="300" w:lineRule="atLeast"/>
        <w:jc w:val="both"/>
        <w:rPr>
          <w:lang w:val="en-GB"/>
        </w:rPr>
      </w:pPr>
      <w:r w:rsidRPr="00585205">
        <w:rPr>
          <w:lang w:val="en-GB"/>
        </w:rPr>
        <w:t xml:space="preserve">GBV actors </w:t>
      </w:r>
      <w:r w:rsidRPr="009F7561">
        <w:rPr>
          <w:lang w:val="en-GB"/>
        </w:rPr>
        <w:t>can</w:t>
      </w:r>
      <w:r w:rsidRPr="00585205">
        <w:rPr>
          <w:lang w:val="en-GB"/>
        </w:rPr>
        <w:t xml:space="preserve"> </w:t>
      </w:r>
      <w:r w:rsidRPr="009F7561">
        <w:rPr>
          <w:lang w:val="en-GB"/>
        </w:rPr>
        <w:t>contribute to menstrual hygiene management in collaboration with other actors</w:t>
      </w:r>
      <w:r w:rsidRPr="009F7561" w:rsidR="003C264D">
        <w:rPr>
          <w:lang w:val="en-GB"/>
        </w:rPr>
        <w:t xml:space="preserve"> </w:t>
      </w:r>
      <w:r w:rsidRPr="00585205">
        <w:rPr>
          <w:lang w:val="en-GB"/>
        </w:rPr>
        <w:t xml:space="preserve">through </w:t>
      </w:r>
      <w:r w:rsidRPr="009F7561">
        <w:rPr>
          <w:lang w:val="en-GB"/>
        </w:rPr>
        <w:t>activities</w:t>
      </w:r>
      <w:r w:rsidRPr="00585205">
        <w:rPr>
          <w:lang w:val="en-GB"/>
        </w:rPr>
        <w:t xml:space="preserve"> focused on</w:t>
      </w:r>
      <w:r w:rsidRPr="009F7561">
        <w:rPr>
          <w:lang w:val="en-GB"/>
        </w:rPr>
        <w:t>:</w:t>
      </w:r>
    </w:p>
    <w:p w:rsidRPr="009F7561" w:rsidR="003B0E6F" w:rsidP="00E96F61" w:rsidRDefault="003B0E6F" w14:paraId="702442DA" w14:textId="79E40118">
      <w:pPr>
        <w:numPr>
          <w:ilvl w:val="0"/>
          <w:numId w:val="5"/>
        </w:numPr>
        <w:spacing w:before="120" w:after="120" w:line="300" w:lineRule="atLeast"/>
        <w:jc w:val="both"/>
        <w:rPr>
          <w:b/>
          <w:lang w:val="en-GB"/>
        </w:rPr>
      </w:pPr>
      <w:r w:rsidRPr="00585205">
        <w:rPr>
          <w:b/>
          <w:lang w:val="en-GB"/>
        </w:rPr>
        <w:t>Product</w:t>
      </w:r>
      <w:r w:rsidRPr="00585205">
        <w:rPr>
          <w:lang w:val="en-GB"/>
        </w:rPr>
        <w:t xml:space="preserve">: Although WASH actors have the primary responsibility for providing menstrual materials and supplies, GBV actors can target specific populations with dignity kits as part of broader GBV programming. The types of menstrual products to include should be determined based on consultations with women and girls and should meet global quality specifications (i.e. </w:t>
      </w:r>
      <w:hyperlink r:id="rId29">
        <w:r w:rsidRPr="00585205">
          <w:rPr>
            <w:lang w:val="en-GB"/>
          </w:rPr>
          <w:t>disposable pads</w:t>
        </w:r>
      </w:hyperlink>
      <w:r w:rsidRPr="00585205">
        <w:rPr>
          <w:lang w:val="en-GB"/>
        </w:rPr>
        <w:t>,</w:t>
      </w:r>
      <w:hyperlink r:id="rId30">
        <w:r w:rsidRPr="00585205">
          <w:rPr>
            <w:lang w:val="en-GB"/>
          </w:rPr>
          <w:t xml:space="preserve"> reusable pads</w:t>
        </w:r>
      </w:hyperlink>
      <w:r w:rsidRPr="00585205">
        <w:rPr>
          <w:lang w:val="en-GB"/>
        </w:rPr>
        <w:t xml:space="preserve"> and </w:t>
      </w:r>
      <w:hyperlink r:id="rId31">
        <w:r w:rsidRPr="00585205">
          <w:rPr>
            <w:lang w:val="en-GB"/>
          </w:rPr>
          <w:t>menstrual cups</w:t>
        </w:r>
      </w:hyperlink>
      <w:r w:rsidRPr="00585205">
        <w:rPr>
          <w:lang w:val="en-GB"/>
        </w:rPr>
        <w:t xml:space="preserve">). </w:t>
      </w:r>
      <w:r w:rsidRPr="00585205" w:rsidR="009D5007">
        <w:rPr>
          <w:lang w:val="en-GB"/>
        </w:rPr>
        <w:t xml:space="preserve">See section 3.4.7 </w:t>
      </w:r>
      <w:r w:rsidRPr="00585205" w:rsidR="00835C4C">
        <w:rPr>
          <w:lang w:val="en-GB"/>
        </w:rPr>
        <w:t xml:space="preserve">for </w:t>
      </w:r>
      <w:r w:rsidRPr="00585205" w:rsidR="009D5007">
        <w:rPr>
          <w:lang w:val="en-GB"/>
        </w:rPr>
        <w:t xml:space="preserve">more about </w:t>
      </w:r>
      <w:r w:rsidRPr="00585205" w:rsidR="00835C4C">
        <w:rPr>
          <w:lang w:val="en-GB"/>
        </w:rPr>
        <w:t>dignity kits.</w:t>
      </w:r>
    </w:p>
    <w:p w:rsidRPr="009F7561" w:rsidR="003B0E6F" w:rsidP="00E96F61" w:rsidRDefault="003B0E6F" w14:paraId="50F97AC2" w14:textId="3F2872E0">
      <w:pPr>
        <w:numPr>
          <w:ilvl w:val="0"/>
          <w:numId w:val="5"/>
        </w:numPr>
        <w:spacing w:before="120" w:after="120" w:line="300" w:lineRule="atLeast"/>
        <w:jc w:val="both"/>
        <w:rPr>
          <w:b/>
          <w:lang w:val="en-GB"/>
        </w:rPr>
      </w:pPr>
      <w:r w:rsidRPr="00585205">
        <w:rPr>
          <w:b/>
          <w:lang w:val="en-GB"/>
        </w:rPr>
        <w:t>Facilities</w:t>
      </w:r>
      <w:r w:rsidRPr="00585205">
        <w:rPr>
          <w:lang w:val="en-GB"/>
        </w:rPr>
        <w:t xml:space="preserve">: To ensure GBV programming is accessible to women and girls who are menstruating, it is crucial that WGSS are equipped with toilets to change, wash and clean used menstrual products. </w:t>
      </w:r>
      <w:hyperlink r:id="rId32">
        <w:r w:rsidRPr="00585205">
          <w:rPr>
            <w:lang w:val="en-GB"/>
          </w:rPr>
          <w:t xml:space="preserve">Guidance </w:t>
        </w:r>
        <w:r w:rsidRPr="00585205" w:rsidR="003708CC">
          <w:rPr>
            <w:lang w:val="en-GB"/>
          </w:rPr>
          <w:t>on menstruation-</w:t>
        </w:r>
        <w:r w:rsidRPr="00585205">
          <w:rPr>
            <w:lang w:val="en-GB"/>
          </w:rPr>
          <w:t>friendly toilets</w:t>
        </w:r>
      </w:hyperlink>
      <w:r w:rsidRPr="00585205">
        <w:rPr>
          <w:lang w:val="en-GB"/>
        </w:rPr>
        <w:t>.</w:t>
      </w:r>
    </w:p>
    <w:p w:rsidRPr="009F7561" w:rsidR="003B0E6F" w:rsidP="00E96F61" w:rsidRDefault="003B0E6F" w14:paraId="7A826447" w14:textId="5DD722D9">
      <w:pPr>
        <w:numPr>
          <w:ilvl w:val="0"/>
          <w:numId w:val="5"/>
        </w:numPr>
        <w:spacing w:before="120" w:after="120" w:line="300" w:lineRule="atLeast"/>
        <w:jc w:val="both"/>
        <w:rPr>
          <w:b/>
          <w:lang w:val="en-GB"/>
        </w:rPr>
      </w:pPr>
      <w:r w:rsidRPr="00585205">
        <w:rPr>
          <w:b/>
          <w:lang w:val="en-GB"/>
        </w:rPr>
        <w:t>Information</w:t>
      </w:r>
      <w:r w:rsidRPr="00585205">
        <w:rPr>
          <w:lang w:val="en-GB"/>
        </w:rPr>
        <w:t xml:space="preserve">: To overcome challenges around managing menstruation, information should be provided in a culturally </w:t>
      </w:r>
      <w:r w:rsidRPr="009F7561">
        <w:rPr>
          <w:lang w:val="en-GB"/>
        </w:rPr>
        <w:t>sensitive</w:t>
      </w:r>
      <w:r w:rsidRPr="00585205">
        <w:rPr>
          <w:lang w:val="en-GB"/>
        </w:rPr>
        <w:t xml:space="preserve"> way around the materials being distributed and their usage and disposal options. In addition, providing information and education on menstruation is important to address stigma and taboos that result in restrictions placed on those who menstruate. GBV actors can partner with </w:t>
      </w:r>
      <w:r w:rsidR="00794E79">
        <w:rPr>
          <w:lang w:val="en-GB"/>
        </w:rPr>
        <w:t>health care</w:t>
      </w:r>
      <w:r w:rsidRPr="00585205">
        <w:rPr>
          <w:lang w:val="en-GB"/>
        </w:rPr>
        <w:t xml:space="preserve"> actors and ed</w:t>
      </w:r>
      <w:r w:rsidRPr="009F7561">
        <w:rPr>
          <w:lang w:val="en-GB"/>
        </w:rPr>
        <w:t xml:space="preserve">ucation actors </w:t>
      </w:r>
      <w:r w:rsidRPr="00585205">
        <w:rPr>
          <w:lang w:val="en-GB"/>
        </w:rPr>
        <w:t>to conduct joint programming on menstruation as part of GBV health care and ed</w:t>
      </w:r>
      <w:r w:rsidRPr="009F7561">
        <w:rPr>
          <w:lang w:val="en-GB"/>
        </w:rPr>
        <w:t xml:space="preserve">ucation </w:t>
      </w:r>
      <w:r w:rsidRPr="00585205">
        <w:rPr>
          <w:lang w:val="en-GB"/>
        </w:rPr>
        <w:t xml:space="preserve">integrated programming. </w:t>
      </w:r>
    </w:p>
    <w:p w:rsidRPr="00B2337F" w:rsidR="003B0E6F" w:rsidP="00364A17" w:rsidRDefault="00B2337F" w14:paraId="5650EB56" w14:textId="7A50B9EA">
      <w:pPr>
        <w:spacing w:before="120" w:after="120" w:line="300" w:lineRule="atLeast"/>
        <w:jc w:val="both"/>
        <w:rPr>
          <w:i/>
          <w:iCs/>
          <w:color w:val="0070C0"/>
          <w:lang w:val="en-GB"/>
        </w:rPr>
      </w:pPr>
      <w:r w:rsidRPr="00B2337F">
        <w:rPr>
          <w:i/>
          <w:iCs/>
          <w:color w:val="0070C0"/>
          <w:lang w:val="en-GB"/>
        </w:rPr>
        <w:t>[</w:t>
      </w:r>
      <w:r w:rsidRPr="00B2337F" w:rsidR="003B0E6F">
        <w:rPr>
          <w:i/>
          <w:iCs/>
          <w:color w:val="0070C0"/>
          <w:lang w:val="en-GB"/>
        </w:rPr>
        <w:t>Describe interventions to assess and support access to MHM</w:t>
      </w:r>
      <w:r w:rsidRPr="00B2337F" w:rsidR="00C37CAB">
        <w:rPr>
          <w:i/>
          <w:iCs/>
          <w:color w:val="0070C0"/>
          <w:lang w:val="en-GB"/>
        </w:rPr>
        <w:t xml:space="preserve"> such as </w:t>
      </w:r>
      <w:r w:rsidRPr="00B2337F" w:rsidR="003B0E6F">
        <w:rPr>
          <w:i/>
          <w:iCs/>
          <w:color w:val="0070C0"/>
          <w:lang w:val="en-GB"/>
        </w:rPr>
        <w:t>any joint SOPs or action plan with other agencies and/or sectors</w:t>
      </w:r>
      <w:r w:rsidRPr="00B2337F" w:rsidR="00C37CAB">
        <w:rPr>
          <w:i/>
          <w:iCs/>
          <w:color w:val="0070C0"/>
          <w:lang w:val="en-GB"/>
        </w:rPr>
        <w:t>.</w:t>
      </w:r>
      <w:r w:rsidRPr="00B2337F">
        <w:rPr>
          <w:i/>
          <w:iCs/>
          <w:color w:val="0070C0"/>
          <w:lang w:val="en-GB"/>
        </w:rPr>
        <w:t>]</w:t>
      </w:r>
    </w:p>
    <w:p w:rsidRPr="00042935" w:rsidR="003B0E6F" w:rsidP="00E96F61" w:rsidRDefault="003B0E6F" w14:paraId="796115EF" w14:textId="6ED55643">
      <w:pPr>
        <w:pStyle w:val="Heading2"/>
        <w:numPr>
          <w:ilvl w:val="1"/>
          <w:numId w:val="43"/>
        </w:numPr>
      </w:pPr>
      <w:bookmarkStart w:name="_Toc134906294" w:id="150"/>
      <w:bookmarkStart w:name="_Toc142469164" w:id="151"/>
      <w:r w:rsidRPr="00042935">
        <w:t xml:space="preserve">Cash and </w:t>
      </w:r>
      <w:r w:rsidRPr="00042935" w:rsidR="00B67804">
        <w:t>voucher assistance</w:t>
      </w:r>
      <w:bookmarkEnd w:id="150"/>
      <w:r w:rsidR="00515ED8">
        <w:rPr>
          <w:rStyle w:val="FootnoteReference"/>
        </w:rPr>
        <w:footnoteReference w:id="136"/>
      </w:r>
      <w:bookmarkEnd w:id="151"/>
    </w:p>
    <w:p w:rsidRPr="00585205" w:rsidR="003B0E6F" w:rsidP="00884237" w:rsidRDefault="003B0E6F" w14:paraId="5EEC2F53" w14:textId="2DFCE5C9">
      <w:pPr>
        <w:spacing w:before="120" w:after="120" w:line="300" w:lineRule="atLeast"/>
        <w:jc w:val="both"/>
        <w:rPr>
          <w:lang w:val="en-GB"/>
        </w:rPr>
      </w:pPr>
      <w:r w:rsidRPr="00585205">
        <w:rPr>
          <w:lang w:val="en-GB"/>
        </w:rPr>
        <w:t>Cash and voucher assistance (CVA) refers to all initiatives through which cash transfers or vouchers for goods or services are provided directly to individual, household or community recipients. CVA is also a modality other sectors use to meet women</w:t>
      </w:r>
      <w:r w:rsidRPr="00585205" w:rsidR="00315391">
        <w:rPr>
          <w:lang w:val="en-GB"/>
        </w:rPr>
        <w:t>’s</w:t>
      </w:r>
      <w:r w:rsidRPr="00585205">
        <w:rPr>
          <w:lang w:val="en-GB"/>
        </w:rPr>
        <w:t xml:space="preserve"> and girls</w:t>
      </w:r>
      <w:r w:rsidRPr="00585205" w:rsidR="00B67804">
        <w:rPr>
          <w:lang w:val="en-GB"/>
        </w:rPr>
        <w:t>’</w:t>
      </w:r>
      <w:r w:rsidRPr="00585205">
        <w:rPr>
          <w:lang w:val="en-GB"/>
        </w:rPr>
        <w:t xml:space="preserve"> needs. </w:t>
      </w:r>
    </w:p>
    <w:p w:rsidRPr="00585205" w:rsidR="003B0E6F" w:rsidP="00884237" w:rsidRDefault="003B0E6F" w14:paraId="3083B296" w14:textId="5A456515">
      <w:pPr>
        <w:spacing w:before="120" w:after="120" w:line="300" w:lineRule="atLeast"/>
        <w:jc w:val="both"/>
        <w:rPr>
          <w:lang w:val="en-GB"/>
        </w:rPr>
      </w:pPr>
      <w:r w:rsidRPr="00585205">
        <w:rPr>
          <w:lang w:val="en-GB"/>
        </w:rPr>
        <w:t xml:space="preserve">Cash can be both a way to mitigate risks and a </w:t>
      </w:r>
      <w:r w:rsidRPr="009F7561">
        <w:rPr>
          <w:lang w:val="en-GB"/>
        </w:rPr>
        <w:t>part</w:t>
      </w:r>
      <w:r w:rsidRPr="00585205">
        <w:rPr>
          <w:lang w:val="en-GB"/>
        </w:rPr>
        <w:t xml:space="preserve"> of </w:t>
      </w:r>
      <w:r w:rsidRPr="00585205" w:rsidR="00884237">
        <w:rPr>
          <w:lang w:val="en-GB"/>
        </w:rPr>
        <w:t>survivor centred</w:t>
      </w:r>
      <w:r w:rsidRPr="00585205">
        <w:rPr>
          <w:lang w:val="en-GB"/>
        </w:rPr>
        <w:t xml:space="preserve"> GBV case management services in humanitarian settings</w:t>
      </w:r>
      <w:r w:rsidR="00926328">
        <w:rPr>
          <w:lang w:val="en-GB"/>
        </w:rPr>
        <w:t>.</w:t>
      </w:r>
      <w:r w:rsidRPr="00585205" w:rsidR="00926328">
        <w:rPr>
          <w:lang w:val="en-GB"/>
        </w:rPr>
        <w:t xml:space="preserve"> T</w:t>
      </w:r>
      <w:r w:rsidRPr="00585205">
        <w:rPr>
          <w:lang w:val="en-GB"/>
        </w:rPr>
        <w:t xml:space="preserve">his section </w:t>
      </w:r>
      <w:r w:rsidRPr="009F7561">
        <w:rPr>
          <w:lang w:val="en-GB"/>
        </w:rPr>
        <w:t xml:space="preserve">describes the use of CVA to mitigate risks related to financial issues. See </w:t>
      </w:r>
      <w:r w:rsidRPr="009F7561" w:rsidR="00CB5A06">
        <w:rPr>
          <w:lang w:val="en-GB"/>
        </w:rPr>
        <w:t>section</w:t>
      </w:r>
      <w:r w:rsidRPr="009F7561">
        <w:rPr>
          <w:lang w:val="en-GB"/>
        </w:rPr>
        <w:t xml:space="preserve"> 3.4.8 for further information on cash and voucher assistance as part of case management.</w:t>
      </w:r>
      <w:r w:rsidRPr="00585205">
        <w:rPr>
          <w:lang w:val="en-GB"/>
        </w:rPr>
        <w:t xml:space="preserve"> </w:t>
      </w:r>
    </w:p>
    <w:p w:rsidRPr="00B2337F" w:rsidR="00884237" w:rsidP="00884237" w:rsidRDefault="00B2337F" w14:paraId="211D8931" w14:textId="44EAEFAD">
      <w:pPr>
        <w:spacing w:before="120" w:after="120" w:line="300" w:lineRule="atLeast"/>
        <w:jc w:val="both"/>
        <w:rPr>
          <w:i/>
          <w:iCs/>
          <w:color w:val="0070C0"/>
          <w:lang w:val="en-GB"/>
        </w:rPr>
      </w:pPr>
      <w:r w:rsidRPr="00B2337F">
        <w:rPr>
          <w:i/>
          <w:iCs/>
          <w:color w:val="0070C0"/>
          <w:lang w:val="en-GB"/>
        </w:rPr>
        <w:t>[</w:t>
      </w:r>
      <w:r w:rsidRPr="00B2337F" w:rsidR="00D43785">
        <w:rPr>
          <w:i/>
          <w:iCs/>
          <w:color w:val="0070C0"/>
          <w:lang w:val="en-GB"/>
        </w:rPr>
        <w:t>Describe interventions to assess and address risks using CVA delivered by other sectors, for example, any joint SOPs or action plan with other agencies and/or sectors.</w:t>
      </w:r>
      <w:r w:rsidRPr="00B2337F" w:rsidR="00D43785">
        <w:rPr>
          <w:i/>
          <w:iCs/>
          <w:color w:val="0070C0"/>
          <w:vertAlign w:val="superscript"/>
          <w:lang w:val="en-GB"/>
        </w:rPr>
        <w:footnoteReference w:id="137"/>
      </w:r>
      <w:r w:rsidRPr="00B2337F">
        <w:rPr>
          <w:i/>
          <w:iCs/>
          <w:color w:val="0070C0"/>
          <w:lang w:val="en-GB"/>
        </w:rPr>
        <w:t>]</w:t>
      </w:r>
    </w:p>
    <w:p w:rsidRPr="00585205" w:rsidR="003B0E6F" w:rsidP="00E82689" w:rsidRDefault="003B0E6F" w14:paraId="230C9270" w14:textId="076AA3E0">
      <w:pPr>
        <w:spacing w:before="120" w:after="120" w:line="240" w:lineRule="auto"/>
        <w:jc w:val="both"/>
        <w:rPr>
          <w:lang w:val="en-GB"/>
        </w:rPr>
      </w:pPr>
      <w:r w:rsidRPr="009F7561">
        <w:rPr>
          <w:lang w:val="en-GB"/>
        </w:rPr>
        <w:br w:type="page"/>
      </w:r>
    </w:p>
    <w:p w:rsidRPr="00322BEF" w:rsidR="003B0E6F" w:rsidP="00B2337F" w:rsidRDefault="003B0E6F" w14:paraId="345A8A36" w14:textId="78BA2AAD">
      <w:pPr>
        <w:pStyle w:val="Heading1"/>
      </w:pPr>
      <w:bookmarkStart w:name="_Toc134906295" w:id="152"/>
      <w:bookmarkStart w:name="_Toc142469165" w:id="153"/>
      <w:r w:rsidRPr="00322BEF">
        <w:t>SECTION 7: GBV PREVENTION</w:t>
      </w:r>
      <w:bookmarkEnd w:id="152"/>
      <w:bookmarkEnd w:id="153"/>
      <w:r w:rsidRPr="00322BEF">
        <w:t xml:space="preserve"> </w:t>
      </w:r>
    </w:p>
    <w:tbl>
      <w:tblPr>
        <w:tblStyle w:val="TableGrid"/>
        <w:tblW w:w="0" w:type="auto"/>
        <w:tblLook w:val="04A0" w:firstRow="1" w:lastRow="0" w:firstColumn="1" w:lastColumn="0" w:noHBand="0" w:noVBand="1"/>
      </w:tblPr>
      <w:tblGrid>
        <w:gridCol w:w="9350"/>
      </w:tblGrid>
      <w:tr w:rsidR="00322BEF" w:rsidTr="00322BEF" w14:paraId="66ADAF8C" w14:textId="77777777">
        <w:tc>
          <w:tcPr>
            <w:tcW w:w="9350" w:type="dxa"/>
          </w:tcPr>
          <w:p w:rsidRPr="009F7561" w:rsidR="00322BEF" w:rsidP="00322BEF" w:rsidRDefault="00322BEF" w14:paraId="3D930C21" w14:textId="77777777">
            <w:pPr>
              <w:spacing w:before="120" w:after="120" w:line="300" w:lineRule="atLeast"/>
              <w:jc w:val="both"/>
              <w:rPr>
                <w:b/>
                <w:lang w:val="en-GB"/>
              </w:rPr>
            </w:pPr>
            <w:r w:rsidRPr="009F7561">
              <w:rPr>
                <w:b/>
                <w:lang w:val="en-GB"/>
              </w:rPr>
              <w:t xml:space="preserve">Essential issues to consider </w:t>
            </w:r>
          </w:p>
          <w:p w:rsidR="00322BEF" w:rsidP="00322BEF" w:rsidRDefault="00322BEF" w14:paraId="55422C63" w14:textId="2ED13040">
            <w:pPr>
              <w:spacing w:before="120" w:after="120" w:line="300" w:lineRule="atLeast"/>
              <w:jc w:val="both"/>
              <w:rPr>
                <w:lang w:val="en-GB"/>
              </w:rPr>
            </w:pPr>
            <w:r w:rsidRPr="009F7561">
              <w:rPr>
                <w:lang w:val="en-GB"/>
              </w:rPr>
              <w:t xml:space="preserve">As for GBV response services, all prevention interventions should be based on </w:t>
            </w:r>
            <w:r w:rsidRPr="009F7561">
              <w:rPr>
                <w:i/>
                <w:lang w:val="en-GB"/>
              </w:rPr>
              <w:t>risk analysis</w:t>
            </w:r>
            <w:r>
              <w:rPr>
                <w:i/>
                <w:lang w:val="en-GB"/>
              </w:rPr>
              <w:t xml:space="preserve"> </w:t>
            </w:r>
            <w:r w:rsidRPr="00630569">
              <w:rPr>
                <w:iCs/>
                <w:lang w:val="en-GB"/>
              </w:rPr>
              <w:t>to</w:t>
            </w:r>
            <w:r>
              <w:rPr>
                <w:i/>
                <w:lang w:val="en-GB"/>
              </w:rPr>
              <w:t xml:space="preserve"> </w:t>
            </w:r>
            <w:r w:rsidRPr="009F7561">
              <w:rPr>
                <w:lang w:val="en-GB"/>
              </w:rPr>
              <w:t xml:space="preserve">assess whether certain safety and ethical considerations are currently in place or can be put in place, as part of </w:t>
            </w:r>
            <w:r>
              <w:rPr>
                <w:lang w:val="en-GB"/>
              </w:rPr>
              <w:t>programme</w:t>
            </w:r>
            <w:r w:rsidRPr="009F7561">
              <w:rPr>
                <w:lang w:val="en-GB"/>
              </w:rPr>
              <w:t xml:space="preserve"> design and implementation. </w:t>
            </w:r>
            <w:r>
              <w:rPr>
                <w:lang w:val="en-GB"/>
              </w:rPr>
              <w:t>R</w:t>
            </w:r>
            <w:r w:rsidRPr="009F7561">
              <w:rPr>
                <w:lang w:val="en-GB"/>
              </w:rPr>
              <w:t xml:space="preserve">isk analysis focuses specifically on risks to survivors (or other women and girls in the community) that may be exacerbated in the process of </w:t>
            </w:r>
            <w:r>
              <w:rPr>
                <w:lang w:val="en-GB"/>
              </w:rPr>
              <w:t>programme</w:t>
            </w:r>
            <w:r w:rsidRPr="009F7561">
              <w:rPr>
                <w:lang w:val="en-GB"/>
              </w:rPr>
              <w:t xml:space="preserve"> delivery. See Annex 6 for a programmatic risk analysis checklist.</w:t>
            </w:r>
          </w:p>
        </w:tc>
      </w:tr>
    </w:tbl>
    <w:p w:rsidRPr="009F7561" w:rsidR="003B0E6F" w:rsidP="00433698" w:rsidRDefault="003B0E6F" w14:paraId="6FD4DE93" w14:textId="77777777">
      <w:pPr>
        <w:spacing w:before="120" w:after="120" w:line="300" w:lineRule="atLeast"/>
        <w:jc w:val="both"/>
        <w:rPr>
          <w:lang w:val="en-GB"/>
        </w:rPr>
      </w:pPr>
      <w:r w:rsidRPr="009F7561">
        <w:rPr>
          <w:lang w:val="en-GB"/>
        </w:rPr>
        <w:t xml:space="preserve">GBV prevention programming aims to address the root causes of GBV and promote the safety and equality of women and girls. </w:t>
      </w:r>
    </w:p>
    <w:p w:rsidRPr="009F7561" w:rsidR="003B0E6F" w:rsidP="00433698" w:rsidRDefault="003B0E6F" w14:paraId="3FB0FEEC" w14:textId="16B671F4">
      <w:pPr>
        <w:spacing w:before="120" w:after="120" w:line="300" w:lineRule="atLeast"/>
        <w:jc w:val="both"/>
        <w:rPr>
          <w:lang w:val="en-GB"/>
        </w:rPr>
      </w:pPr>
      <w:r w:rsidRPr="009F7561">
        <w:rPr>
          <w:lang w:val="en-GB"/>
        </w:rPr>
        <w:t xml:space="preserve">GBV prevention programming requires working along a spectrum ranging from immediate risk mitigation in </w:t>
      </w:r>
      <w:r w:rsidR="00C4547E">
        <w:rPr>
          <w:lang w:val="en-GB"/>
        </w:rPr>
        <w:t>an</w:t>
      </w:r>
      <w:r w:rsidRPr="009F7561" w:rsidR="00C4547E">
        <w:rPr>
          <w:lang w:val="en-GB"/>
        </w:rPr>
        <w:t xml:space="preserve"> </w:t>
      </w:r>
      <w:r w:rsidRPr="009F7561">
        <w:rPr>
          <w:lang w:val="en-GB"/>
        </w:rPr>
        <w:t xml:space="preserve">acute emergency (see </w:t>
      </w:r>
      <w:r w:rsidRPr="009F7561" w:rsidR="00CB5A06">
        <w:rPr>
          <w:lang w:val="en-GB"/>
        </w:rPr>
        <w:t>section</w:t>
      </w:r>
      <w:r w:rsidRPr="009F7561">
        <w:rPr>
          <w:lang w:val="en-GB"/>
        </w:rPr>
        <w:t xml:space="preserve"> 6) to longer term social norms and systemic change. GBV prevention approaches can be </w:t>
      </w:r>
      <w:r w:rsidR="00C4547E">
        <w:rPr>
          <w:lang w:val="en-GB"/>
        </w:rPr>
        <w:t xml:space="preserve">divided </w:t>
      </w:r>
      <w:r w:rsidRPr="009F7561">
        <w:rPr>
          <w:lang w:val="en-GB"/>
        </w:rPr>
        <w:t>in</w:t>
      </w:r>
      <w:r w:rsidR="00C4547E">
        <w:rPr>
          <w:lang w:val="en-GB"/>
        </w:rPr>
        <w:t>to</w:t>
      </w:r>
      <w:r w:rsidRPr="009F7561">
        <w:rPr>
          <w:lang w:val="en-GB"/>
        </w:rPr>
        <w:t xml:space="preserve"> four categories</w:t>
      </w:r>
      <w:r w:rsidRPr="009F7561" w:rsidR="0097340B">
        <w:rPr>
          <w:lang w:val="en-GB"/>
        </w:rPr>
        <w:t>:</w:t>
      </w:r>
      <w:r w:rsidRPr="009F7561">
        <w:rPr>
          <w:vertAlign w:val="superscript"/>
          <w:lang w:val="en-GB"/>
        </w:rPr>
        <w:footnoteReference w:id="138"/>
      </w:r>
    </w:p>
    <w:p w:rsidRPr="009F7561" w:rsidR="003B0E6F" w:rsidP="00E96F61" w:rsidRDefault="003B0E6F" w14:paraId="515178F7" w14:textId="77777777">
      <w:pPr>
        <w:numPr>
          <w:ilvl w:val="0"/>
          <w:numId w:val="33"/>
        </w:numPr>
        <w:pBdr>
          <w:top w:val="nil"/>
          <w:left w:val="nil"/>
          <w:bottom w:val="nil"/>
          <w:right w:val="nil"/>
          <w:between w:val="nil"/>
        </w:pBdr>
        <w:spacing w:before="120" w:after="120" w:line="300" w:lineRule="atLeast"/>
        <w:jc w:val="both"/>
        <w:rPr>
          <w:lang w:val="en-GB"/>
        </w:rPr>
      </w:pPr>
      <w:r w:rsidRPr="00585205">
        <w:rPr>
          <w:b/>
          <w:lang w:val="en-GB"/>
        </w:rPr>
        <w:t>Risk mitigation</w:t>
      </w:r>
      <w:r w:rsidRPr="00585205">
        <w:rPr>
          <w:lang w:val="en-GB"/>
        </w:rPr>
        <w:t xml:space="preserve">: Risk mitigation aims to reduce the risk of exposure to GBV through all aspects of service provision. Risk mitigation focuses primarily on addressing “contributing factors” to GBV that might expose women and girls to increased risk of violence. </w:t>
      </w:r>
    </w:p>
    <w:p w:rsidRPr="009F7561" w:rsidR="003B0E6F" w:rsidP="00E96F61" w:rsidRDefault="003B0E6F" w14:paraId="69A01394" w14:textId="1CCF19CE">
      <w:pPr>
        <w:numPr>
          <w:ilvl w:val="0"/>
          <w:numId w:val="33"/>
        </w:numPr>
        <w:pBdr>
          <w:top w:val="nil"/>
          <w:left w:val="nil"/>
          <w:bottom w:val="nil"/>
          <w:right w:val="nil"/>
          <w:between w:val="nil"/>
        </w:pBdr>
        <w:spacing w:before="120" w:after="120" w:line="300" w:lineRule="atLeast"/>
        <w:jc w:val="both"/>
        <w:rPr>
          <w:lang w:val="en-GB"/>
        </w:rPr>
      </w:pPr>
      <w:r w:rsidRPr="00585205">
        <w:rPr>
          <w:b/>
          <w:lang w:val="en-GB"/>
        </w:rPr>
        <w:t>Primary prevention or “tackling the root cause”</w:t>
      </w:r>
      <w:r w:rsidRPr="00585205">
        <w:rPr>
          <w:lang w:val="en-GB"/>
        </w:rPr>
        <w:t>: Primary prevention includes strategies that focus on preventing GBV before it occurs by tackling its root cause – gender inequality. These approaches focus on behaviour modification and attitudinal change</w:t>
      </w:r>
      <w:r w:rsidRPr="00585205" w:rsidR="008A1575">
        <w:rPr>
          <w:lang w:val="en-GB"/>
        </w:rPr>
        <w:t xml:space="preserve"> and </w:t>
      </w:r>
      <w:r w:rsidRPr="00585205">
        <w:rPr>
          <w:lang w:val="en-GB"/>
        </w:rPr>
        <w:t>require long-term resources.</w:t>
      </w:r>
    </w:p>
    <w:p w:rsidRPr="009F7561" w:rsidR="003B0E6F" w:rsidP="00E96F61" w:rsidRDefault="003B0E6F" w14:paraId="78ADE7A7" w14:textId="501DB519">
      <w:pPr>
        <w:numPr>
          <w:ilvl w:val="0"/>
          <w:numId w:val="33"/>
        </w:numPr>
        <w:pBdr>
          <w:top w:val="nil"/>
          <w:left w:val="nil"/>
          <w:bottom w:val="nil"/>
          <w:right w:val="nil"/>
          <w:between w:val="nil"/>
        </w:pBdr>
        <w:spacing w:before="120" w:after="120" w:line="300" w:lineRule="atLeast"/>
        <w:jc w:val="both"/>
        <w:rPr>
          <w:lang w:val="en-GB"/>
        </w:rPr>
      </w:pPr>
      <w:r w:rsidRPr="00585205">
        <w:rPr>
          <w:b/>
          <w:lang w:val="en-GB"/>
        </w:rPr>
        <w:t>Secondary prevention</w:t>
      </w:r>
      <w:r w:rsidRPr="00585205">
        <w:rPr>
          <w:lang w:val="en-GB"/>
        </w:rPr>
        <w:t>: Secondary prevention includes strategies that focus on response for survivors and consequences for perpetrators. This includes addressing the consequences of various forms of violence, mitigating the harm this violence can cause</w:t>
      </w:r>
      <w:r w:rsidRPr="00585205" w:rsidR="008A1575">
        <w:rPr>
          <w:lang w:val="en-GB"/>
        </w:rPr>
        <w:t xml:space="preserve"> and </w:t>
      </w:r>
      <w:r w:rsidRPr="00585205">
        <w:rPr>
          <w:lang w:val="en-GB"/>
        </w:rPr>
        <w:t>taking steps to prevent the violence from happening again.</w:t>
      </w:r>
    </w:p>
    <w:p w:rsidRPr="009F7561" w:rsidR="003B0E6F" w:rsidP="00E96F61" w:rsidRDefault="003B0E6F" w14:paraId="17544814" w14:textId="1EB961F1">
      <w:pPr>
        <w:numPr>
          <w:ilvl w:val="0"/>
          <w:numId w:val="33"/>
        </w:numPr>
        <w:pBdr>
          <w:top w:val="nil"/>
          <w:left w:val="nil"/>
          <w:bottom w:val="nil"/>
          <w:right w:val="nil"/>
          <w:between w:val="nil"/>
        </w:pBdr>
        <w:spacing w:before="120" w:after="120" w:line="300" w:lineRule="atLeast"/>
        <w:jc w:val="both"/>
        <w:rPr>
          <w:lang w:val="en-GB"/>
        </w:rPr>
      </w:pPr>
      <w:r w:rsidRPr="00585205">
        <w:rPr>
          <w:b/>
          <w:lang w:val="en-GB"/>
        </w:rPr>
        <w:t>Tertiary prevention</w:t>
      </w:r>
      <w:r w:rsidRPr="00585205">
        <w:rPr>
          <w:lang w:val="en-GB"/>
        </w:rPr>
        <w:t>: Tertiary prevention includes actions that focus on the long-term impact of violence when untreated, such as community reintegration and acceptance, addressing trauma</w:t>
      </w:r>
      <w:r w:rsidRPr="00585205" w:rsidR="008A1575">
        <w:rPr>
          <w:lang w:val="en-GB"/>
        </w:rPr>
        <w:t xml:space="preserve"> and </w:t>
      </w:r>
      <w:r w:rsidRPr="00585205">
        <w:rPr>
          <w:lang w:val="en-GB"/>
        </w:rPr>
        <w:t>the long-term medical and psychosocial needs a survivor may have.</w:t>
      </w:r>
    </w:p>
    <w:p w:rsidRPr="009F7561" w:rsidR="003B0E6F" w:rsidP="00433698" w:rsidRDefault="003B0E6F" w14:paraId="175DE3A9" w14:textId="77777777">
      <w:pPr>
        <w:spacing w:before="120" w:after="120" w:line="300" w:lineRule="atLeast"/>
        <w:jc w:val="both"/>
        <w:rPr>
          <w:lang w:val="en-GB"/>
        </w:rPr>
      </w:pPr>
      <w:r w:rsidRPr="009F7561">
        <w:rPr>
          <w:lang w:val="en-GB"/>
        </w:rPr>
        <w:t>Because prevention programming often seeks to change social norms, it can inadvertently cause backlash or resistance when not implemented carefully. This backlash may not only be targeted to women and girls who are a part of the prevention programming, but also to other women and girls in the community where the programming is taking place. It is important to anticipate and mitigate this backlash in programming. Some of the core strategies for effectively dealing with backlash include:</w:t>
      </w:r>
    </w:p>
    <w:p w:rsidRPr="009F7561" w:rsidR="003B0E6F" w:rsidP="00433698" w:rsidRDefault="003B0E6F" w14:paraId="07F38D4F" w14:textId="19042277">
      <w:pPr>
        <w:spacing w:before="120" w:after="120" w:line="300" w:lineRule="atLeast"/>
        <w:ind w:firstLine="567"/>
        <w:jc w:val="both"/>
        <w:rPr>
          <w:i/>
          <w:lang w:val="en-GB"/>
        </w:rPr>
      </w:pPr>
      <w:r w:rsidRPr="009F7561">
        <w:rPr>
          <w:i/>
          <w:lang w:val="en-GB"/>
        </w:rPr>
        <w:t xml:space="preserve">Recognizing and identifying potential forms of resistance that can occur during an intervention and see them </w:t>
      </w:r>
      <w:r w:rsidRPr="00A8147A">
        <w:rPr>
          <w:i/>
          <w:lang w:val="en-GB"/>
        </w:rPr>
        <w:t>as</w:t>
      </w:r>
      <w:r w:rsidRPr="009F7561">
        <w:rPr>
          <w:b/>
          <w:i/>
          <w:lang w:val="en-GB"/>
        </w:rPr>
        <w:t xml:space="preserve"> </w:t>
      </w:r>
      <w:r w:rsidRPr="009F7561">
        <w:rPr>
          <w:i/>
          <w:lang w:val="en-GB"/>
        </w:rPr>
        <w:t>resistance and not just “challenges”;</w:t>
      </w:r>
    </w:p>
    <w:p w:rsidRPr="00183475" w:rsidR="003B0E6F" w:rsidP="00433698" w:rsidRDefault="003B0E6F" w14:paraId="2580CB0B" w14:textId="6D4882F4">
      <w:pPr>
        <w:spacing w:before="120" w:after="120" w:line="300" w:lineRule="atLeast"/>
        <w:ind w:firstLine="567"/>
        <w:jc w:val="both"/>
        <w:rPr>
          <w:i/>
          <w:lang w:val="en-GB"/>
        </w:rPr>
      </w:pPr>
      <w:r w:rsidRPr="00183475">
        <w:rPr>
          <w:i/>
          <w:lang w:val="en-GB"/>
        </w:rPr>
        <w:t>Integrating gender and power analyses into project conceptualization and design, as well as risk mitigation covering resistance in particular</w:t>
      </w:r>
      <w:r w:rsidR="00B2337F">
        <w:rPr>
          <w:i/>
          <w:lang w:val="en-GB"/>
        </w:rPr>
        <w:t>.</w:t>
      </w:r>
    </w:p>
    <w:p w:rsidRPr="00183475" w:rsidR="003B0E6F" w:rsidP="00433698" w:rsidRDefault="003B0E6F" w14:paraId="58FA3970" w14:textId="274C221F">
      <w:pPr>
        <w:spacing w:before="120" w:after="120" w:line="300" w:lineRule="atLeast"/>
        <w:ind w:firstLine="567"/>
        <w:jc w:val="both"/>
        <w:rPr>
          <w:i/>
          <w:lang w:val="en-GB"/>
        </w:rPr>
      </w:pPr>
      <w:r w:rsidRPr="00183475">
        <w:rPr>
          <w:i/>
          <w:lang w:val="en-GB"/>
        </w:rPr>
        <w:t>Building partnerships where possible with women</w:t>
      </w:r>
      <w:r w:rsidRPr="00183475" w:rsidR="00315391">
        <w:rPr>
          <w:i/>
          <w:lang w:val="en-GB"/>
        </w:rPr>
        <w:t>’s</w:t>
      </w:r>
      <w:r w:rsidRPr="00183475">
        <w:rPr>
          <w:i/>
          <w:lang w:val="en-GB"/>
        </w:rPr>
        <w:t xml:space="preserve"> and other community-based organizations or community members to better leverage each other</w:t>
      </w:r>
      <w:r w:rsidRPr="00183475" w:rsidR="00315391">
        <w:rPr>
          <w:i/>
          <w:lang w:val="en-GB"/>
        </w:rPr>
        <w:t>’s</w:t>
      </w:r>
      <w:r w:rsidRPr="00183475">
        <w:rPr>
          <w:i/>
          <w:lang w:val="en-GB"/>
        </w:rPr>
        <w:t xml:space="preserve"> complementary skills, capacities and approaches and to build a more resilient civil society</w:t>
      </w:r>
      <w:r w:rsidR="00B2337F">
        <w:rPr>
          <w:i/>
          <w:lang w:val="en-GB"/>
        </w:rPr>
        <w:t>.</w:t>
      </w:r>
    </w:p>
    <w:p w:rsidRPr="00183475" w:rsidR="003B0E6F" w:rsidP="00433698" w:rsidRDefault="003B0E6F" w14:paraId="127A72BB" w14:textId="7D25ED8E">
      <w:pPr>
        <w:spacing w:before="120" w:after="120" w:line="300" w:lineRule="atLeast"/>
        <w:ind w:firstLine="567"/>
        <w:jc w:val="both"/>
        <w:rPr>
          <w:lang w:val="en-GB"/>
        </w:rPr>
      </w:pPr>
      <w:r w:rsidRPr="00183475">
        <w:rPr>
          <w:i/>
          <w:lang w:val="en-GB"/>
        </w:rPr>
        <w:t xml:space="preserve">Creating spaces for dialogue and sharing with communities – </w:t>
      </w:r>
      <w:r w:rsidRPr="00183475" w:rsidR="009363DC">
        <w:rPr>
          <w:i/>
          <w:lang w:val="en-GB"/>
        </w:rPr>
        <w:t>i.e.</w:t>
      </w:r>
      <w:r w:rsidRPr="00183475">
        <w:rPr>
          <w:i/>
          <w:lang w:val="en-GB"/>
        </w:rPr>
        <w:t xml:space="preserve"> adopting inclusive and intersectional approaches rather than defensive positions when </w:t>
      </w:r>
      <w:r w:rsidRPr="00183475" w:rsidR="009363DC">
        <w:rPr>
          <w:i/>
          <w:lang w:val="en-GB"/>
        </w:rPr>
        <w:t xml:space="preserve">facing </w:t>
      </w:r>
      <w:r w:rsidRPr="00183475">
        <w:rPr>
          <w:i/>
          <w:lang w:val="en-GB"/>
        </w:rPr>
        <w:t>opposition or questions on the prevention work – is a pathway to reaching agreement on an ultimate goal (e.g. ending VAWG).</w:t>
      </w:r>
      <w:r w:rsidRPr="00183475">
        <w:rPr>
          <w:b/>
          <w:i/>
          <w:vertAlign w:val="superscript"/>
          <w:lang w:val="en-GB"/>
        </w:rPr>
        <w:footnoteReference w:id="139"/>
      </w:r>
    </w:p>
    <w:p w:rsidRPr="00183475" w:rsidR="003B0E6F" w:rsidP="00433698" w:rsidRDefault="003B0E6F" w14:paraId="7E9018C4" w14:textId="7E44E0D1">
      <w:pPr>
        <w:spacing w:before="120" w:after="120" w:line="300" w:lineRule="atLeast"/>
        <w:jc w:val="both"/>
        <w:rPr>
          <w:lang w:val="en-GB"/>
        </w:rPr>
      </w:pPr>
      <w:r w:rsidRPr="00183475">
        <w:rPr>
          <w:lang w:val="en-GB"/>
        </w:rPr>
        <w:t xml:space="preserve">The International Rescue Committee has also identified several core principles for undertaking prevention programming in emergencies. These </w:t>
      </w:r>
      <w:r w:rsidRPr="00183475" w:rsidR="00384FF8">
        <w:rPr>
          <w:lang w:val="en-GB"/>
        </w:rPr>
        <w:t>are as follows</w:t>
      </w:r>
      <w:r w:rsidRPr="00183475">
        <w:rPr>
          <w:lang w:val="en-GB"/>
        </w:rPr>
        <w:t>:</w:t>
      </w:r>
    </w:p>
    <w:p w:rsidRPr="00183475" w:rsidR="003B0E6F" w:rsidP="00183475" w:rsidRDefault="003B0E6F" w14:paraId="7913172D" w14:textId="058BED87">
      <w:pPr>
        <w:tabs>
          <w:tab w:val="left" w:pos="284"/>
        </w:tabs>
        <w:spacing w:before="120" w:after="120" w:line="240" w:lineRule="auto"/>
        <w:ind w:left="568" w:hanging="284"/>
        <w:jc w:val="both"/>
        <w:rPr>
          <w:lang w:val="en-GB"/>
        </w:rPr>
      </w:pPr>
      <w:r w:rsidRPr="00183475">
        <w:rPr>
          <w:lang w:val="en-GB"/>
        </w:rPr>
        <w:t>1.</w:t>
      </w:r>
      <w:r w:rsidRPr="00183475" w:rsidR="003C264D">
        <w:rPr>
          <w:lang w:val="en-GB"/>
        </w:rPr>
        <w:tab/>
      </w:r>
      <w:r w:rsidRPr="00183475">
        <w:rPr>
          <w:lang w:val="en-GB"/>
        </w:rPr>
        <w:t>Prioritize the safety of women and girls.</w:t>
      </w:r>
    </w:p>
    <w:p w:rsidRPr="00183475" w:rsidR="003B0E6F" w:rsidP="00183475" w:rsidRDefault="003B0E6F" w14:paraId="6C6D22D7" w14:textId="6423FF20">
      <w:pPr>
        <w:tabs>
          <w:tab w:val="left" w:pos="284"/>
        </w:tabs>
        <w:spacing w:before="120" w:after="120" w:line="240" w:lineRule="auto"/>
        <w:ind w:left="568" w:hanging="284"/>
        <w:jc w:val="both"/>
        <w:rPr>
          <w:lang w:val="en-GB"/>
        </w:rPr>
      </w:pPr>
      <w:r w:rsidRPr="00183475">
        <w:rPr>
          <w:lang w:val="en-GB"/>
        </w:rPr>
        <w:t>2.</w:t>
      </w:r>
      <w:r w:rsidRPr="00183475" w:rsidR="003C264D">
        <w:rPr>
          <w:lang w:val="en-GB"/>
        </w:rPr>
        <w:tab/>
      </w:r>
      <w:r w:rsidRPr="00183475">
        <w:rPr>
          <w:lang w:val="en-GB"/>
        </w:rPr>
        <w:t>Use an intersectional gender-power analysis.</w:t>
      </w:r>
    </w:p>
    <w:p w:rsidRPr="00183475" w:rsidR="003B0E6F" w:rsidP="00183475" w:rsidRDefault="003B0E6F" w14:paraId="31DE77EF" w14:textId="53FF5979">
      <w:pPr>
        <w:tabs>
          <w:tab w:val="left" w:pos="284"/>
        </w:tabs>
        <w:spacing w:before="120" w:after="120" w:line="240" w:lineRule="auto"/>
        <w:ind w:left="568" w:hanging="284"/>
        <w:jc w:val="both"/>
        <w:rPr>
          <w:lang w:val="en-GB"/>
        </w:rPr>
      </w:pPr>
      <w:r w:rsidRPr="00183475">
        <w:rPr>
          <w:lang w:val="en-GB"/>
        </w:rPr>
        <w:t>3.</w:t>
      </w:r>
      <w:r w:rsidRPr="00183475" w:rsidR="003C264D">
        <w:rPr>
          <w:lang w:val="en-GB"/>
        </w:rPr>
        <w:tab/>
      </w:r>
      <w:r w:rsidRPr="00183475">
        <w:rPr>
          <w:lang w:val="en-GB"/>
        </w:rPr>
        <w:t>Start with ourselves.</w:t>
      </w:r>
    </w:p>
    <w:p w:rsidRPr="00183475" w:rsidR="003B0E6F" w:rsidP="00183475" w:rsidRDefault="003B0E6F" w14:paraId="3EABDFF8" w14:textId="0618518D">
      <w:pPr>
        <w:tabs>
          <w:tab w:val="left" w:pos="284"/>
        </w:tabs>
        <w:spacing w:before="120" w:after="120" w:line="240" w:lineRule="auto"/>
        <w:ind w:left="568" w:hanging="284"/>
        <w:jc w:val="both"/>
        <w:rPr>
          <w:lang w:val="en-GB"/>
        </w:rPr>
      </w:pPr>
      <w:r w:rsidRPr="00183475">
        <w:rPr>
          <w:lang w:val="en-GB"/>
        </w:rPr>
        <w:t>4.</w:t>
      </w:r>
      <w:r w:rsidRPr="00183475" w:rsidR="003C264D">
        <w:rPr>
          <w:lang w:val="en-GB"/>
        </w:rPr>
        <w:tab/>
      </w:r>
      <w:r w:rsidRPr="00183475" w:rsidR="004A74E4">
        <w:rPr>
          <w:lang w:val="en-GB"/>
        </w:rPr>
        <w:t>Centre</w:t>
      </w:r>
      <w:r w:rsidRPr="00183475">
        <w:rPr>
          <w:lang w:val="en-GB"/>
        </w:rPr>
        <w:t xml:space="preserve"> the voices, power and agency of women and girls.</w:t>
      </w:r>
    </w:p>
    <w:p w:rsidRPr="00183475" w:rsidR="003B0E6F" w:rsidP="00183475" w:rsidRDefault="003B0E6F" w14:paraId="62BC0642" w14:textId="6DFD327C">
      <w:pPr>
        <w:tabs>
          <w:tab w:val="left" w:pos="284"/>
        </w:tabs>
        <w:spacing w:before="120" w:after="120" w:line="240" w:lineRule="auto"/>
        <w:ind w:left="568" w:hanging="284"/>
        <w:jc w:val="both"/>
        <w:rPr>
          <w:lang w:val="en-GB"/>
        </w:rPr>
      </w:pPr>
      <w:r w:rsidRPr="00183475">
        <w:rPr>
          <w:lang w:val="en-GB"/>
        </w:rPr>
        <w:t>5.</w:t>
      </w:r>
      <w:r w:rsidRPr="00183475" w:rsidR="003C264D">
        <w:rPr>
          <w:lang w:val="en-GB"/>
        </w:rPr>
        <w:tab/>
      </w:r>
      <w:r w:rsidRPr="00183475">
        <w:rPr>
          <w:lang w:val="en-GB"/>
        </w:rPr>
        <w:t>Recognize, engage</w:t>
      </w:r>
      <w:r w:rsidRPr="00183475" w:rsidR="008A1575">
        <w:rPr>
          <w:lang w:val="en-GB"/>
        </w:rPr>
        <w:t xml:space="preserve"> and </w:t>
      </w:r>
      <w:r w:rsidRPr="00183475">
        <w:rPr>
          <w:lang w:val="en-GB"/>
        </w:rPr>
        <w:t>be accountable to women and girls experiencing multiple forms of discrimination.</w:t>
      </w:r>
    </w:p>
    <w:p w:rsidRPr="00183475" w:rsidR="003B0E6F" w:rsidP="00183475" w:rsidRDefault="003B0E6F" w14:paraId="6248F1A9" w14:textId="2586BBF4">
      <w:pPr>
        <w:tabs>
          <w:tab w:val="left" w:pos="284"/>
        </w:tabs>
        <w:spacing w:before="120" w:after="120" w:line="240" w:lineRule="auto"/>
        <w:ind w:left="568" w:hanging="284"/>
        <w:jc w:val="both"/>
        <w:rPr>
          <w:lang w:val="en-GB"/>
        </w:rPr>
      </w:pPr>
      <w:r w:rsidRPr="00183475">
        <w:rPr>
          <w:lang w:val="en-GB"/>
        </w:rPr>
        <w:t>6.</w:t>
      </w:r>
      <w:r w:rsidRPr="00183475" w:rsidR="003C264D">
        <w:rPr>
          <w:lang w:val="en-GB"/>
        </w:rPr>
        <w:tab/>
      </w:r>
      <w:r w:rsidRPr="00183475">
        <w:rPr>
          <w:lang w:val="en-GB"/>
        </w:rPr>
        <w:t>Reflect the specific context.</w:t>
      </w:r>
    </w:p>
    <w:p w:rsidRPr="00183475" w:rsidR="003B0E6F" w:rsidP="00183475" w:rsidRDefault="003B0E6F" w14:paraId="236BB883" w14:textId="3CE551B0">
      <w:pPr>
        <w:tabs>
          <w:tab w:val="left" w:pos="284"/>
        </w:tabs>
        <w:spacing w:before="120" w:after="120" w:line="240" w:lineRule="auto"/>
        <w:ind w:left="568" w:hanging="284"/>
        <w:jc w:val="both"/>
        <w:rPr>
          <w:lang w:val="en-GB"/>
        </w:rPr>
      </w:pPr>
      <w:r w:rsidRPr="00183475">
        <w:rPr>
          <w:lang w:val="en-GB"/>
        </w:rPr>
        <w:t>7.</w:t>
      </w:r>
      <w:r w:rsidRPr="00183475" w:rsidR="003C264D">
        <w:rPr>
          <w:lang w:val="en-GB"/>
        </w:rPr>
        <w:tab/>
      </w:r>
      <w:r w:rsidRPr="00183475">
        <w:rPr>
          <w:lang w:val="en-GB"/>
        </w:rPr>
        <w:t>Work in solidarity with women</w:t>
      </w:r>
      <w:r w:rsidRPr="00183475" w:rsidR="00315391">
        <w:rPr>
          <w:lang w:val="en-GB"/>
        </w:rPr>
        <w:t>’s</w:t>
      </w:r>
      <w:r w:rsidRPr="00183475">
        <w:rPr>
          <w:lang w:val="en-GB"/>
        </w:rPr>
        <w:t xml:space="preserve"> rights organization, activists and leaders.</w:t>
      </w:r>
    </w:p>
    <w:p w:rsidRPr="00183475" w:rsidR="003B0E6F" w:rsidP="00183475" w:rsidRDefault="003B0E6F" w14:paraId="76924471" w14:textId="447BA2CE">
      <w:pPr>
        <w:tabs>
          <w:tab w:val="left" w:pos="284"/>
        </w:tabs>
        <w:spacing w:before="120" w:after="120" w:line="240" w:lineRule="auto"/>
        <w:ind w:left="568" w:hanging="284"/>
        <w:jc w:val="both"/>
        <w:rPr>
          <w:lang w:val="en-GB"/>
        </w:rPr>
      </w:pPr>
      <w:r w:rsidRPr="00183475">
        <w:rPr>
          <w:lang w:val="en-GB"/>
        </w:rPr>
        <w:t>8.</w:t>
      </w:r>
      <w:r w:rsidRPr="00183475" w:rsidR="003C264D">
        <w:rPr>
          <w:lang w:val="en-GB"/>
        </w:rPr>
        <w:tab/>
      </w:r>
      <w:r w:rsidRPr="00183475">
        <w:rPr>
          <w:lang w:val="en-GB"/>
        </w:rPr>
        <w:t>Engage communities in ways that are meaningful, creative</w:t>
      </w:r>
      <w:r w:rsidRPr="00183475" w:rsidR="008A1575">
        <w:rPr>
          <w:lang w:val="en-GB"/>
        </w:rPr>
        <w:t xml:space="preserve"> and </w:t>
      </w:r>
      <w:r w:rsidRPr="00183475">
        <w:rPr>
          <w:lang w:val="en-GB"/>
        </w:rPr>
        <w:t>dynamic, asking questions rather than giving messages.</w:t>
      </w:r>
      <w:r w:rsidRPr="00183475">
        <w:rPr>
          <w:vertAlign w:val="superscript"/>
          <w:lang w:val="en-GB"/>
        </w:rPr>
        <w:footnoteReference w:id="140"/>
      </w:r>
    </w:p>
    <w:p w:rsidRPr="00183475" w:rsidR="003B0E6F" w:rsidP="00433698" w:rsidRDefault="003B0E6F" w14:paraId="64588E7F" w14:textId="105D947F">
      <w:pPr>
        <w:spacing w:before="120" w:after="120" w:line="300" w:lineRule="atLeast"/>
        <w:jc w:val="both"/>
        <w:rPr>
          <w:lang w:val="en-GB"/>
        </w:rPr>
      </w:pPr>
      <w:r w:rsidRPr="00183475">
        <w:rPr>
          <w:lang w:val="en-GB"/>
        </w:rPr>
        <w:t>Prevention programming may encourage women and girls to speak out on violence and seek assistance.</w:t>
      </w:r>
      <w:r w:rsidRPr="00183475" w:rsidR="003C264D">
        <w:rPr>
          <w:lang w:val="en-GB"/>
        </w:rPr>
        <w:t xml:space="preserve"> </w:t>
      </w:r>
      <w:r w:rsidRPr="00183475">
        <w:rPr>
          <w:b/>
          <w:bCs/>
          <w:lang w:val="en-GB"/>
        </w:rPr>
        <w:t xml:space="preserve">As such, it is critical to remember that it is unethical for prevention </w:t>
      </w:r>
      <w:r w:rsidRPr="00183475" w:rsidR="00464EB6">
        <w:rPr>
          <w:b/>
          <w:bCs/>
          <w:lang w:val="en-GB"/>
        </w:rPr>
        <w:t>programmes</w:t>
      </w:r>
      <w:r w:rsidRPr="00183475">
        <w:rPr>
          <w:b/>
          <w:bCs/>
          <w:lang w:val="en-GB"/>
        </w:rPr>
        <w:t xml:space="preserve"> to stimulate attention </w:t>
      </w:r>
      <w:r w:rsidRPr="00183475" w:rsidR="004C7D56">
        <w:rPr>
          <w:b/>
          <w:bCs/>
          <w:lang w:val="en-GB"/>
        </w:rPr>
        <w:t xml:space="preserve">on </w:t>
      </w:r>
      <w:r w:rsidRPr="00183475">
        <w:rPr>
          <w:b/>
          <w:bCs/>
          <w:lang w:val="en-GB"/>
        </w:rPr>
        <w:t xml:space="preserve">GBV in communities without first ensuring </w:t>
      </w:r>
      <w:r w:rsidRPr="00183475" w:rsidR="00BB10A9">
        <w:rPr>
          <w:b/>
          <w:bCs/>
          <w:lang w:val="en-GB"/>
        </w:rPr>
        <w:t xml:space="preserve">there are </w:t>
      </w:r>
      <w:r w:rsidRPr="00183475">
        <w:rPr>
          <w:b/>
          <w:bCs/>
          <w:lang w:val="en-GB"/>
        </w:rPr>
        <w:t xml:space="preserve">services </w:t>
      </w:r>
      <w:r w:rsidRPr="00183475" w:rsidR="00BB10A9">
        <w:rPr>
          <w:b/>
          <w:bCs/>
          <w:lang w:val="en-GB"/>
        </w:rPr>
        <w:t xml:space="preserve">in place </w:t>
      </w:r>
      <w:r w:rsidRPr="00183475">
        <w:rPr>
          <w:b/>
          <w:bCs/>
          <w:lang w:val="en-GB"/>
        </w:rPr>
        <w:t>for survivors</w:t>
      </w:r>
      <w:r w:rsidRPr="00183475">
        <w:rPr>
          <w:lang w:val="en-GB"/>
        </w:rPr>
        <w:t>.</w:t>
      </w:r>
      <w:r w:rsidRPr="00183475">
        <w:rPr>
          <w:vertAlign w:val="superscript"/>
          <w:lang w:val="en-GB"/>
        </w:rPr>
        <w:footnoteReference w:id="141"/>
      </w:r>
      <w:r w:rsidRPr="00183475" w:rsidR="003C264D">
        <w:rPr>
          <w:lang w:val="en-GB"/>
        </w:rPr>
        <w:t xml:space="preserve"> </w:t>
      </w:r>
    </w:p>
    <w:p w:rsidRPr="00183475" w:rsidR="003B0E6F" w:rsidP="00433698" w:rsidRDefault="003B0E6F" w14:paraId="71003F7B" w14:textId="2D1CA9CB">
      <w:pPr>
        <w:spacing w:before="120" w:after="120" w:line="300" w:lineRule="atLeast"/>
        <w:jc w:val="both"/>
        <w:rPr>
          <w:lang w:val="en-GB"/>
        </w:rPr>
      </w:pPr>
      <w:r w:rsidRPr="00183475">
        <w:rPr>
          <w:lang w:val="en-GB"/>
        </w:rPr>
        <w:t>This section describes primary prevention interventions</w:t>
      </w:r>
      <w:r w:rsidRPr="00183475" w:rsidR="00BB10A9">
        <w:rPr>
          <w:lang w:val="en-GB"/>
        </w:rPr>
        <w:t xml:space="preserve"> </w:t>
      </w:r>
      <w:r w:rsidRPr="00183475" w:rsidR="00FE2A3F">
        <w:rPr>
          <w:lang w:val="en-GB"/>
        </w:rPr>
        <w:t>(</w:t>
      </w:r>
      <w:r w:rsidRPr="00183475">
        <w:rPr>
          <w:lang w:val="en-GB"/>
        </w:rPr>
        <w:t xml:space="preserve">outreach activities </w:t>
      </w:r>
      <w:r w:rsidRPr="00183475" w:rsidR="00BB10A9">
        <w:rPr>
          <w:lang w:val="en-GB"/>
        </w:rPr>
        <w:t xml:space="preserve">– </w:t>
      </w:r>
      <w:r w:rsidRPr="00183475" w:rsidR="00FE2A3F">
        <w:rPr>
          <w:lang w:val="en-GB"/>
        </w:rPr>
        <w:t xml:space="preserve">also </w:t>
      </w:r>
      <w:r w:rsidRPr="00183475">
        <w:rPr>
          <w:lang w:val="en-GB"/>
        </w:rPr>
        <w:t>essential to</w:t>
      </w:r>
      <w:r w:rsidRPr="00183475" w:rsidR="00FE2A3F">
        <w:rPr>
          <w:lang w:val="en-GB"/>
        </w:rPr>
        <w:t xml:space="preserve"> </w:t>
      </w:r>
      <w:r w:rsidRPr="00183475">
        <w:rPr>
          <w:lang w:val="en-GB"/>
        </w:rPr>
        <w:t xml:space="preserve">but not sufficient for primary prevention efforts </w:t>
      </w:r>
      <w:r w:rsidRPr="00183475" w:rsidR="00BB10A9">
        <w:rPr>
          <w:lang w:val="en-GB"/>
        </w:rPr>
        <w:t xml:space="preserve">– </w:t>
      </w:r>
      <w:r w:rsidRPr="00183475">
        <w:rPr>
          <w:lang w:val="en-GB"/>
        </w:rPr>
        <w:t xml:space="preserve">are described in </w:t>
      </w:r>
      <w:r w:rsidRPr="00183475" w:rsidR="00CB5A06">
        <w:rPr>
          <w:lang w:val="en-GB"/>
        </w:rPr>
        <w:t>section</w:t>
      </w:r>
      <w:r w:rsidRPr="00183475">
        <w:rPr>
          <w:lang w:val="en-GB"/>
        </w:rPr>
        <w:t xml:space="preserve"> 6.1.)</w:t>
      </w:r>
    </w:p>
    <w:p w:rsidRPr="00811E11" w:rsidR="00183475" w:rsidP="00183475" w:rsidRDefault="00811E11" w14:paraId="137BA6C1" w14:textId="05EBD682">
      <w:pPr>
        <w:spacing w:before="120" w:after="120" w:line="300" w:lineRule="atLeast"/>
        <w:jc w:val="both"/>
        <w:rPr>
          <w:i/>
          <w:iCs/>
          <w:color w:val="0070C0"/>
          <w:lang w:val="en-GB"/>
        </w:rPr>
      </w:pPr>
      <w:r w:rsidRPr="00811E11">
        <w:rPr>
          <w:i/>
          <w:iCs/>
          <w:color w:val="0070C0"/>
          <w:lang w:val="en-GB"/>
        </w:rPr>
        <w:t>[</w:t>
      </w:r>
      <w:r w:rsidRPr="00811E11" w:rsidR="003B0E6F">
        <w:rPr>
          <w:i/>
          <w:iCs/>
          <w:color w:val="0070C0"/>
          <w:lang w:val="en-GB"/>
        </w:rPr>
        <w:t>List the primary prevention-related interventions (interventions that aim to address gender and social norms that underpin GBV) and responsible organ</w:t>
      </w:r>
      <w:r w:rsidRPr="00811E11" w:rsidR="002D1850">
        <w:rPr>
          <w:i/>
          <w:iCs/>
          <w:color w:val="0070C0"/>
          <w:lang w:val="en-GB"/>
        </w:rPr>
        <w:t>iza</w:t>
      </w:r>
      <w:r w:rsidRPr="00811E11" w:rsidR="003B0E6F">
        <w:rPr>
          <w:i/>
          <w:iCs/>
          <w:color w:val="0070C0"/>
          <w:lang w:val="en-GB"/>
        </w:rPr>
        <w:t>tions in the setting.</w:t>
      </w:r>
      <w:r w:rsidRPr="00811E11">
        <w:rPr>
          <w:i/>
          <w:iCs/>
          <w:color w:val="0070C0"/>
          <w:lang w:val="en-GB"/>
        </w:rPr>
        <w:t>]</w:t>
      </w:r>
    </w:p>
    <w:p w:rsidR="00183475" w:rsidP="00183475" w:rsidRDefault="00183475" w14:paraId="4D78F28A" w14:textId="437FA8CD">
      <w:pPr>
        <w:spacing w:before="120" w:after="120" w:line="300" w:lineRule="atLeast"/>
        <w:jc w:val="both"/>
        <w:rPr>
          <w:color w:val="0070C0"/>
          <w:lang w:val="en-GB"/>
        </w:rPr>
      </w:pPr>
      <w:r>
        <w:rPr>
          <w:color w:val="0070C0"/>
          <w:lang w:val="en-GB"/>
        </w:rPr>
        <w:br w:type="page"/>
      </w:r>
    </w:p>
    <w:p w:rsidRPr="00183475" w:rsidR="003B0E6F" w:rsidP="00811E11" w:rsidRDefault="003B0E6F" w14:paraId="09181DD7" w14:textId="77777777">
      <w:pPr>
        <w:pStyle w:val="Heading1"/>
      </w:pPr>
      <w:bookmarkStart w:name="_Toc134906296" w:id="154"/>
      <w:bookmarkStart w:name="_Toc142469166" w:id="155"/>
      <w:r w:rsidRPr="00183475">
        <w:t>SECTION 8: PREPAREDNESS</w:t>
      </w:r>
      <w:bookmarkEnd w:id="154"/>
      <w:bookmarkEnd w:id="155"/>
    </w:p>
    <w:tbl>
      <w:tblPr>
        <w:tblStyle w:val="TableGrid"/>
        <w:tblW w:w="0" w:type="auto"/>
        <w:tblLook w:val="04A0" w:firstRow="1" w:lastRow="0" w:firstColumn="1" w:lastColumn="0" w:noHBand="0" w:noVBand="1"/>
      </w:tblPr>
      <w:tblGrid>
        <w:gridCol w:w="9350"/>
      </w:tblGrid>
      <w:tr w:rsidR="00183475" w:rsidTr="00183475" w14:paraId="59FF5767" w14:textId="77777777">
        <w:tc>
          <w:tcPr>
            <w:tcW w:w="9350" w:type="dxa"/>
          </w:tcPr>
          <w:p w:rsidRPr="009F7561" w:rsidR="00183475" w:rsidP="00183475" w:rsidRDefault="00183475" w14:paraId="41286794" w14:textId="77777777">
            <w:pPr>
              <w:spacing w:before="120" w:after="120" w:line="300" w:lineRule="atLeast"/>
              <w:jc w:val="both"/>
              <w:rPr>
                <w:b/>
                <w:highlight w:val="white"/>
                <w:lang w:val="en-GB"/>
              </w:rPr>
            </w:pPr>
            <w:r w:rsidRPr="009F7561">
              <w:rPr>
                <w:b/>
                <w:highlight w:val="white"/>
                <w:lang w:val="en-GB"/>
              </w:rPr>
              <w:t>Essential issues to consider</w:t>
            </w:r>
          </w:p>
          <w:p w:rsidRPr="009F7561" w:rsidR="00183475" w:rsidP="00183475" w:rsidRDefault="00183475" w14:paraId="7D4CF144" w14:textId="77777777">
            <w:pPr>
              <w:spacing w:before="120" w:after="120" w:line="300" w:lineRule="atLeast"/>
              <w:jc w:val="both"/>
              <w:rPr>
                <w:highlight w:val="white"/>
                <w:lang w:val="en-GB"/>
              </w:rPr>
            </w:pPr>
            <w:r w:rsidRPr="009F7561">
              <w:rPr>
                <w:highlight w:val="white"/>
                <w:lang w:val="en-GB"/>
              </w:rPr>
              <w:t>A core function of GBV coordination partners should be</w:t>
            </w:r>
            <w:r>
              <w:rPr>
                <w:highlight w:val="white"/>
                <w:lang w:val="en-GB"/>
              </w:rPr>
              <w:t xml:space="preserve"> </w:t>
            </w:r>
            <w:r w:rsidRPr="009F7561">
              <w:rPr>
                <w:highlight w:val="white"/>
                <w:lang w:val="en-GB"/>
              </w:rPr>
              <w:t xml:space="preserve">to build national and local capacity in preparedness and contingency planning to combat GBV when an emergency occurs. The GBV minimum standards outline </w:t>
            </w:r>
            <w:r>
              <w:rPr>
                <w:highlight w:val="white"/>
                <w:lang w:val="en-GB"/>
              </w:rPr>
              <w:t xml:space="preserve">the </w:t>
            </w:r>
            <w:r w:rsidRPr="009F7561">
              <w:rPr>
                <w:highlight w:val="white"/>
                <w:lang w:val="en-GB"/>
              </w:rPr>
              <w:t xml:space="preserve">steps to </w:t>
            </w:r>
            <w:r>
              <w:rPr>
                <w:highlight w:val="white"/>
                <w:lang w:val="en-GB"/>
              </w:rPr>
              <w:t xml:space="preserve">take to </w:t>
            </w:r>
            <w:r w:rsidRPr="009F7561">
              <w:rPr>
                <w:highlight w:val="white"/>
                <w:lang w:val="en-GB"/>
              </w:rPr>
              <w:t xml:space="preserve">address possible GBV concerns in preparedness plans, including working with local actors to assess the capacity of institutions to handle GBV procedures and prepositioning relevant supplies, such as dignity kits, in areas that may be exposed to disasters. The IASC </w:t>
            </w:r>
            <w:r>
              <w:rPr>
                <w:highlight w:val="white"/>
                <w:lang w:val="en-GB"/>
              </w:rPr>
              <w:t>GBV Guidelines</w:t>
            </w:r>
            <w:r w:rsidRPr="009F7561">
              <w:rPr>
                <w:highlight w:val="white"/>
                <w:lang w:val="en-GB"/>
              </w:rPr>
              <w:t xml:space="preserve"> also contain guidance on how non-sector specialists can undertake risk mitigation measures as part of preparedness planning.</w:t>
            </w:r>
          </w:p>
          <w:p w:rsidRPr="009F7561" w:rsidR="00183475" w:rsidP="00183475" w:rsidRDefault="00183475" w14:paraId="601575FE" w14:textId="77777777">
            <w:pPr>
              <w:spacing w:before="120" w:after="120" w:line="300" w:lineRule="atLeast"/>
              <w:jc w:val="both"/>
              <w:rPr>
                <w:highlight w:val="white"/>
                <w:lang w:val="en-GB"/>
              </w:rPr>
            </w:pPr>
            <w:r w:rsidRPr="009F7561">
              <w:rPr>
                <w:highlight w:val="white"/>
                <w:lang w:val="en-GB"/>
              </w:rPr>
              <w:t>GBV sub-clusters/sectors play a significant role in ensuring that appropriate arrangements are in place for immediate provision of GBV services and that risk mitigation measures are in place across other sectors of humanitarian response. Contingency planning is also an opportunity for GBV coordination bodies to draft templates or pre-proposals for their response. When undertaking preparedness and contingency planning for disasters, it is important to assess the variety of risk factors within the setting.</w:t>
            </w:r>
          </w:p>
          <w:p w:rsidRPr="009F7561" w:rsidR="00183475" w:rsidP="00183475" w:rsidRDefault="00183475" w14:paraId="209F9106" w14:textId="77777777">
            <w:pPr>
              <w:spacing w:before="120" w:after="120" w:line="300" w:lineRule="atLeast"/>
              <w:jc w:val="both"/>
              <w:rPr>
                <w:highlight w:val="white"/>
                <w:lang w:val="en-GB"/>
              </w:rPr>
            </w:pPr>
            <w:r w:rsidRPr="009F7561">
              <w:rPr>
                <w:highlight w:val="white"/>
                <w:lang w:val="en-GB"/>
              </w:rPr>
              <w:t>GBV SOPs can be developed in preparation for a new crisis or additional or cyclical crises.</w:t>
            </w:r>
          </w:p>
          <w:p w:rsidRPr="00183475" w:rsidR="00183475" w:rsidP="00183475" w:rsidRDefault="00183475" w14:paraId="00EE88B6" w14:textId="24CBD592">
            <w:pPr>
              <w:spacing w:before="120" w:after="120" w:line="300" w:lineRule="atLeast"/>
              <w:jc w:val="both"/>
              <w:rPr>
                <w:highlight w:val="white"/>
                <w:lang w:val="en-GB"/>
              </w:rPr>
            </w:pPr>
            <w:r w:rsidRPr="009F7561">
              <w:rPr>
                <w:lang w:val="en-GB"/>
              </w:rPr>
              <w:t xml:space="preserve">Preparedness is a continuous process, so preparedness activities can take place in contexts where an emergency is already active. For example, preparedness activities may be initiated for drought-prone areas that are also armed conflict areas. </w:t>
            </w:r>
          </w:p>
        </w:tc>
      </w:tr>
    </w:tbl>
    <w:p w:rsidRPr="009F7561" w:rsidR="003B0E6F" w:rsidP="00183475" w:rsidRDefault="003B0E6F" w14:paraId="469D6270" w14:textId="02C74286">
      <w:pPr>
        <w:spacing w:before="120" w:after="120" w:line="300" w:lineRule="atLeast"/>
        <w:jc w:val="both"/>
        <w:rPr>
          <w:lang w:val="en-GB"/>
        </w:rPr>
      </w:pPr>
      <w:r w:rsidRPr="009F7561">
        <w:rPr>
          <w:lang w:val="en-GB"/>
        </w:rPr>
        <w:t>“Preparedness” is any action, measure</w:t>
      </w:r>
      <w:r w:rsidRPr="009F7561" w:rsidR="00461384">
        <w:rPr>
          <w:lang w:val="en-GB"/>
        </w:rPr>
        <w:t xml:space="preserve"> or </w:t>
      </w:r>
      <w:r w:rsidRPr="009F7561">
        <w:rPr>
          <w:lang w:val="en-GB"/>
        </w:rPr>
        <w:t>capacity development that is introduced before an emergency to improve the overall effectiveness, efficiency and timeliness of response and recovery. Contingency plans describe an initial response strategy and create operational plans that can be implemented at the onset of an emergency</w:t>
      </w:r>
      <w:r w:rsidR="008B2C88">
        <w:rPr>
          <w:lang w:val="en-GB"/>
        </w:rPr>
        <w:t>.</w:t>
      </w:r>
      <w:r w:rsidRPr="009F7561" w:rsidR="008B2C88">
        <w:rPr>
          <w:lang w:val="en-GB"/>
        </w:rPr>
        <w:t xml:space="preserve"> T</w:t>
      </w:r>
      <w:r w:rsidRPr="009F7561">
        <w:rPr>
          <w:lang w:val="en-GB"/>
        </w:rPr>
        <w:t xml:space="preserve">hey are usually developed in anticipation of a particular crisis. </w:t>
      </w:r>
    </w:p>
    <w:p w:rsidRPr="009F7561" w:rsidR="003B0E6F" w:rsidP="00183475" w:rsidRDefault="003B0E6F" w14:paraId="1EBF977B" w14:textId="77777777">
      <w:pPr>
        <w:spacing w:before="120" w:after="120" w:line="300" w:lineRule="atLeast"/>
        <w:jc w:val="both"/>
        <w:rPr>
          <w:lang w:val="en-GB"/>
        </w:rPr>
      </w:pPr>
      <w:r w:rsidRPr="009F7561">
        <w:rPr>
          <w:lang w:val="en-GB"/>
        </w:rPr>
        <w:t xml:space="preserve">This section lays out key actions, strategies and approaches agreed to support preparedness and contingency planning. </w:t>
      </w:r>
    </w:p>
    <w:p w:rsidRPr="00811E11" w:rsidR="003B0E6F" w:rsidP="00183475" w:rsidRDefault="00811E11" w14:paraId="236E3FBF" w14:textId="1C65D904">
      <w:pPr>
        <w:spacing w:before="120" w:after="120" w:line="300" w:lineRule="atLeast"/>
        <w:jc w:val="both"/>
        <w:rPr>
          <w:i/>
          <w:iCs/>
          <w:color w:val="0070C0"/>
          <w:lang w:val="en-GB"/>
        </w:rPr>
      </w:pPr>
      <w:r w:rsidRPr="00811E11">
        <w:rPr>
          <w:i/>
          <w:iCs/>
          <w:color w:val="0070C0"/>
          <w:lang w:val="en-GB"/>
        </w:rPr>
        <w:t>[</w:t>
      </w:r>
      <w:r w:rsidRPr="00811E11" w:rsidR="003B0E6F">
        <w:rPr>
          <w:i/>
          <w:iCs/>
          <w:color w:val="0070C0"/>
          <w:lang w:val="en-GB"/>
        </w:rPr>
        <w:t>List here all relevant preparedness actions or commitments, including:</w:t>
      </w:r>
    </w:p>
    <w:p w:rsidRPr="00811E11" w:rsidR="003B0E6F" w:rsidP="00E96F61" w:rsidRDefault="003B0E6F" w14:paraId="55E48920" w14:textId="786117AA">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Preparatory mapping of GBV response structures and capacities (including mobile and static) either on a regular basis as part of general preparedness</w:t>
      </w:r>
      <w:r w:rsidRPr="00811E11" w:rsidR="00461384">
        <w:rPr>
          <w:i/>
          <w:iCs/>
          <w:color w:val="0070C0"/>
          <w:lang w:val="en-GB"/>
        </w:rPr>
        <w:t xml:space="preserve"> or </w:t>
      </w:r>
      <w:r w:rsidRPr="00811E11">
        <w:rPr>
          <w:i/>
          <w:iCs/>
          <w:color w:val="0070C0"/>
          <w:lang w:val="en-GB"/>
        </w:rPr>
        <w:t>as part of contingency planning for an identified crisis</w:t>
      </w:r>
      <w:r w:rsidRPr="00811E11" w:rsidR="00183475">
        <w:rPr>
          <w:i/>
          <w:iCs/>
          <w:color w:val="0070C0"/>
          <w:lang w:val="en-GB"/>
        </w:rPr>
        <w:t>.</w:t>
      </w:r>
    </w:p>
    <w:p w:rsidRPr="00811E11" w:rsidR="003B0E6F" w:rsidP="00E96F61" w:rsidRDefault="003B0E6F" w14:paraId="6F0A6F5E" w14:textId="3078753F">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 xml:space="preserve">Prepositioning of dignity kits, post-rape kits (in collaboration with </w:t>
      </w:r>
      <w:r w:rsidRPr="00811E11" w:rsidR="009A6767">
        <w:rPr>
          <w:i/>
          <w:iCs/>
          <w:color w:val="0070C0"/>
          <w:lang w:val="en-GB"/>
        </w:rPr>
        <w:t xml:space="preserve">the </w:t>
      </w:r>
      <w:r w:rsidRPr="00811E11" w:rsidR="00794E79">
        <w:rPr>
          <w:i/>
          <w:iCs/>
          <w:color w:val="0070C0"/>
          <w:lang w:val="en-GB"/>
        </w:rPr>
        <w:t>health care</w:t>
      </w:r>
      <w:r w:rsidRPr="00811E11">
        <w:rPr>
          <w:i/>
          <w:iCs/>
          <w:color w:val="0070C0"/>
          <w:lang w:val="en-GB"/>
        </w:rPr>
        <w:t xml:space="preserve"> sector), </w:t>
      </w:r>
      <w:r w:rsidRPr="00811E11" w:rsidR="00183475">
        <w:rPr>
          <w:i/>
          <w:iCs/>
          <w:color w:val="0070C0"/>
          <w:lang w:val="en-GB"/>
        </w:rPr>
        <w:t>I</w:t>
      </w:r>
      <w:r w:rsidRPr="00811E11">
        <w:rPr>
          <w:i/>
          <w:iCs/>
          <w:color w:val="0070C0"/>
          <w:lang w:val="en-GB"/>
        </w:rPr>
        <w:t xml:space="preserve">EC materials, emergency fuel supplies or cooking stoves with </w:t>
      </w:r>
      <w:r w:rsidRPr="00811E11" w:rsidR="00A73FC7">
        <w:rPr>
          <w:i/>
          <w:iCs/>
          <w:color w:val="0070C0"/>
          <w:lang w:val="en-GB"/>
        </w:rPr>
        <w:t>food security or shelter</w:t>
      </w:r>
      <w:r w:rsidRPr="00811E11">
        <w:rPr>
          <w:i/>
          <w:iCs/>
          <w:color w:val="0070C0"/>
          <w:lang w:val="en-GB"/>
        </w:rPr>
        <w:t>/</w:t>
      </w:r>
      <w:r w:rsidRPr="00811E11" w:rsidR="00A73FC7">
        <w:rPr>
          <w:i/>
          <w:iCs/>
          <w:color w:val="0070C0"/>
          <w:lang w:val="en-GB"/>
        </w:rPr>
        <w:t xml:space="preserve">non-food items </w:t>
      </w:r>
      <w:r w:rsidRPr="00811E11">
        <w:rPr>
          <w:i/>
          <w:iCs/>
          <w:color w:val="0070C0"/>
          <w:lang w:val="en-GB"/>
        </w:rPr>
        <w:t>(NFI) clusters</w:t>
      </w:r>
      <w:r w:rsidRPr="00811E11" w:rsidR="008A1575">
        <w:rPr>
          <w:i/>
          <w:iCs/>
          <w:color w:val="0070C0"/>
          <w:lang w:val="en-GB"/>
        </w:rPr>
        <w:t xml:space="preserve"> and </w:t>
      </w:r>
      <w:r w:rsidRPr="00811E11">
        <w:rPr>
          <w:i/>
          <w:iCs/>
          <w:color w:val="0070C0"/>
          <w:lang w:val="en-GB"/>
        </w:rPr>
        <w:t>other relevant response materials or supports</w:t>
      </w:r>
      <w:r w:rsidRPr="00811E11" w:rsidR="00183475">
        <w:rPr>
          <w:i/>
          <w:iCs/>
          <w:color w:val="0070C0"/>
          <w:lang w:val="en-GB"/>
        </w:rPr>
        <w:t>.</w:t>
      </w:r>
    </w:p>
    <w:p w:rsidRPr="00811E11" w:rsidR="003B0E6F" w:rsidP="00E96F61" w:rsidRDefault="003B0E6F" w14:paraId="29AA9DDD" w14:textId="04BA6F38">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Preparation of a communication plan with alternative contact modalities [attach in annex if available]</w:t>
      </w:r>
      <w:r w:rsidRPr="00811E11" w:rsidR="00183475">
        <w:rPr>
          <w:i/>
          <w:iCs/>
          <w:color w:val="0070C0"/>
          <w:lang w:val="en-GB"/>
        </w:rPr>
        <w:t>.</w:t>
      </w:r>
    </w:p>
    <w:p w:rsidRPr="00811E11" w:rsidR="003B0E6F" w:rsidP="00E96F61" w:rsidRDefault="003B0E6F" w14:paraId="1A09219D" w14:textId="3F4A53C0">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 xml:space="preserve">Plans for safeguarding </w:t>
      </w:r>
      <w:r w:rsidRPr="00811E11" w:rsidR="005F49CF">
        <w:rPr>
          <w:i/>
          <w:iCs/>
          <w:color w:val="0070C0"/>
          <w:lang w:val="en-GB"/>
        </w:rPr>
        <w:t xml:space="preserve">documentation relating to </w:t>
      </w:r>
      <w:r w:rsidRPr="00811E11">
        <w:rPr>
          <w:i/>
          <w:iCs/>
          <w:color w:val="0070C0"/>
          <w:lang w:val="en-GB"/>
        </w:rPr>
        <w:t>case management or other service provision in case of evacuation [attach in annex if available]</w:t>
      </w:r>
      <w:r w:rsidRPr="00811E11" w:rsidR="00183475">
        <w:rPr>
          <w:i/>
          <w:iCs/>
          <w:color w:val="0070C0"/>
          <w:lang w:val="en-GB"/>
        </w:rPr>
        <w:t>.</w:t>
      </w:r>
    </w:p>
    <w:p w:rsidRPr="00811E11" w:rsidR="003B0E6F" w:rsidP="00E96F61" w:rsidRDefault="003B0E6F" w14:paraId="29220396" w14:textId="4285D214">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Training of first responders (focus</w:t>
      </w:r>
      <w:r w:rsidRPr="00811E11" w:rsidR="00292E2F">
        <w:rPr>
          <w:i/>
          <w:iCs/>
          <w:color w:val="0070C0"/>
          <w:lang w:val="en-GB"/>
        </w:rPr>
        <w:t>ing</w:t>
      </w:r>
      <w:r w:rsidRPr="00811E11">
        <w:rPr>
          <w:i/>
          <w:iCs/>
          <w:color w:val="0070C0"/>
          <w:lang w:val="en-GB"/>
        </w:rPr>
        <w:t xml:space="preserve"> on those most likely to respond in the first 48 hours to two weeks of a crisis)</w:t>
      </w:r>
      <w:r w:rsidRPr="00811E11" w:rsidR="00183475">
        <w:rPr>
          <w:i/>
          <w:iCs/>
          <w:color w:val="0070C0"/>
          <w:lang w:val="en-GB"/>
        </w:rPr>
        <w:t>.</w:t>
      </w:r>
    </w:p>
    <w:p w:rsidRPr="00811E11" w:rsidR="003B0E6F" w:rsidP="00E96F61" w:rsidRDefault="003B0E6F" w14:paraId="57AC0C12" w14:textId="6D773BDD">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 xml:space="preserve">Identification of first responder personnel with appropriate training, through a </w:t>
      </w:r>
      <w:r w:rsidRPr="00811E11" w:rsidR="00315391">
        <w:rPr>
          <w:i/>
          <w:iCs/>
          <w:color w:val="0070C0"/>
          <w:lang w:val="en-GB"/>
        </w:rPr>
        <w:t>“</w:t>
      </w:r>
      <w:r w:rsidRPr="00811E11">
        <w:rPr>
          <w:i/>
          <w:iCs/>
          <w:color w:val="0070C0"/>
          <w:lang w:val="en-GB"/>
        </w:rPr>
        <w:t>roster</w:t>
      </w:r>
      <w:r w:rsidRPr="00811E11" w:rsidR="00315391">
        <w:rPr>
          <w:i/>
          <w:iCs/>
          <w:color w:val="0070C0"/>
          <w:lang w:val="en-GB"/>
        </w:rPr>
        <w:t>”</w:t>
      </w:r>
      <w:r w:rsidRPr="00811E11">
        <w:rPr>
          <w:i/>
          <w:iCs/>
          <w:color w:val="0070C0"/>
          <w:lang w:val="en-GB"/>
        </w:rPr>
        <w:t xml:space="preserve"> or other form of rapid response mechanism</w:t>
      </w:r>
      <w:r w:rsidRPr="00811E11" w:rsidR="00183475">
        <w:rPr>
          <w:i/>
          <w:iCs/>
          <w:color w:val="0070C0"/>
          <w:lang w:val="en-GB"/>
        </w:rPr>
        <w:t>.</w:t>
      </w:r>
    </w:p>
    <w:p w:rsidRPr="00811E11" w:rsidR="003B0E6F" w:rsidP="00E96F61" w:rsidRDefault="003B0E6F" w14:paraId="0F6ECC69" w14:textId="4ED7FDD8">
      <w:pPr>
        <w:numPr>
          <w:ilvl w:val="0"/>
          <w:numId w:val="27"/>
        </w:numPr>
        <w:pBdr>
          <w:top w:val="nil"/>
          <w:left w:val="nil"/>
          <w:bottom w:val="nil"/>
          <w:right w:val="nil"/>
          <w:between w:val="nil"/>
        </w:pBdr>
        <w:spacing w:before="120" w:after="120" w:line="300" w:lineRule="atLeast"/>
        <w:jc w:val="both"/>
        <w:rPr>
          <w:i/>
          <w:iCs/>
          <w:color w:val="0070C0"/>
          <w:lang w:val="en-GB"/>
        </w:rPr>
      </w:pPr>
      <w:r w:rsidRPr="00811E11">
        <w:rPr>
          <w:i/>
          <w:iCs/>
          <w:color w:val="0070C0"/>
          <w:lang w:val="en-GB"/>
        </w:rPr>
        <w:t xml:space="preserve">Operational guidance/procedures for key areas of GBV prevention or risk mitigation or commitments to develop such documents (e.g. one-pagers on actions to implement in the first 72 hours of a crisis </w:t>
      </w:r>
      <w:r w:rsidRPr="00811E11" w:rsidR="007248E2">
        <w:rPr>
          <w:i/>
          <w:iCs/>
          <w:color w:val="0070C0"/>
          <w:lang w:val="en-GB"/>
        </w:rPr>
        <w:t xml:space="preserve">to mitigate </w:t>
      </w:r>
      <w:r w:rsidRPr="00811E11">
        <w:rPr>
          <w:i/>
          <w:iCs/>
          <w:color w:val="0070C0"/>
          <w:lang w:val="en-GB"/>
        </w:rPr>
        <w:t xml:space="preserve">GBV risk </w:t>
      </w:r>
      <w:r w:rsidRPr="00811E11" w:rsidR="007248E2">
        <w:rPr>
          <w:i/>
          <w:iCs/>
          <w:color w:val="0070C0"/>
          <w:lang w:val="en-GB"/>
        </w:rPr>
        <w:t xml:space="preserve">for internally displaced persons and refugees </w:t>
      </w:r>
      <w:r w:rsidRPr="00811E11">
        <w:rPr>
          <w:i/>
          <w:iCs/>
          <w:color w:val="0070C0"/>
          <w:lang w:val="en-GB"/>
        </w:rPr>
        <w:t>during food distribution or in transit areas).</w:t>
      </w:r>
      <w:r w:rsidRPr="00811E11" w:rsidR="00811E11">
        <w:rPr>
          <w:i/>
          <w:iCs/>
          <w:color w:val="0070C0"/>
          <w:lang w:val="en-GB"/>
        </w:rPr>
        <w:t>]</w:t>
      </w:r>
    </w:p>
    <w:p w:rsidRPr="00171F40" w:rsidR="003B0E6F" w:rsidP="00E82689" w:rsidRDefault="003B0E6F" w14:paraId="28A49703" w14:textId="77777777">
      <w:pPr>
        <w:spacing w:before="120" w:after="120" w:line="240" w:lineRule="auto"/>
        <w:jc w:val="both"/>
        <w:rPr>
          <w:b/>
          <w:color w:val="0070C0"/>
          <w:lang w:val="en-GB"/>
        </w:rPr>
      </w:pPr>
      <w:r w:rsidRPr="00171F40">
        <w:rPr>
          <w:color w:val="0070C0"/>
          <w:lang w:val="en-GB"/>
        </w:rPr>
        <w:br w:type="page"/>
      </w:r>
    </w:p>
    <w:p w:rsidRPr="00183475" w:rsidR="003B0E6F" w:rsidP="00811E11" w:rsidRDefault="003B0E6F" w14:paraId="4D4210C7" w14:textId="77777777">
      <w:pPr>
        <w:pStyle w:val="Heading1"/>
      </w:pPr>
      <w:bookmarkStart w:name="_Toc134906297" w:id="156"/>
      <w:bookmarkStart w:name="_Toc142469167" w:id="157"/>
      <w:r w:rsidRPr="00183475">
        <w:t>SECTION 9: COORDINATION</w:t>
      </w:r>
      <w:bookmarkEnd w:id="156"/>
      <w:bookmarkEnd w:id="157"/>
    </w:p>
    <w:p w:rsidRPr="00515ED8" w:rsidR="003B0E6F" w:rsidP="003166F7" w:rsidRDefault="003B0E6F" w14:paraId="7A8A6F17" w14:textId="3742BD45">
      <w:pPr>
        <w:pStyle w:val="Heading2"/>
      </w:pPr>
      <w:bookmarkStart w:name="_Toc134906298" w:id="158"/>
      <w:bookmarkStart w:name="_Toc142469168" w:id="159"/>
      <w:r w:rsidRPr="00515ED8">
        <w:t xml:space="preserve">Coordination </w:t>
      </w:r>
      <w:r w:rsidRPr="00515ED8" w:rsidR="005E1813">
        <w:t>a</w:t>
      </w:r>
      <w:r w:rsidRPr="00515ED8">
        <w:t xml:space="preserve">mong GBV </w:t>
      </w:r>
      <w:r w:rsidRPr="00515ED8" w:rsidR="005E1813">
        <w:t xml:space="preserve">specialized actors </w:t>
      </w:r>
      <w:r w:rsidRPr="00515ED8" w:rsidR="00982067">
        <w:t xml:space="preserve">and </w:t>
      </w:r>
      <w:r w:rsidRPr="00515ED8" w:rsidR="005E1813">
        <w:t>other service providers</w:t>
      </w:r>
      <w:bookmarkEnd w:id="158"/>
      <w:bookmarkEnd w:id="159"/>
    </w:p>
    <w:p w:rsidRPr="009F7561" w:rsidR="003B0E6F" w:rsidP="005E70CB" w:rsidRDefault="003B0E6F" w14:paraId="1DB72499" w14:textId="0E17E8D5">
      <w:pPr>
        <w:spacing w:before="120" w:after="120" w:line="300" w:lineRule="atLeast"/>
        <w:jc w:val="both"/>
        <w:rPr>
          <w:lang w:val="en-GB"/>
        </w:rPr>
      </w:pPr>
      <w:r w:rsidRPr="009F7561">
        <w:rPr>
          <w:lang w:val="en-GB"/>
        </w:rPr>
        <w:t xml:space="preserve">This section outlines the importance and function of GBV coordination and lists the key responsibilities of GBV </w:t>
      </w:r>
      <w:r w:rsidRPr="009F7561" w:rsidR="005E1813">
        <w:rPr>
          <w:lang w:val="en-GB"/>
        </w:rPr>
        <w:t>coordinators</w:t>
      </w:r>
      <w:r w:rsidRPr="009F7561">
        <w:rPr>
          <w:lang w:val="en-GB"/>
        </w:rPr>
        <w:t>. If the relevant GBV coordination groups</w:t>
      </w:r>
      <w:r w:rsidRPr="009F7561" w:rsidR="005E1813">
        <w:rPr>
          <w:lang w:val="en-GB"/>
        </w:rPr>
        <w:t>’</w:t>
      </w:r>
      <w:r w:rsidRPr="009F7561">
        <w:rPr>
          <w:lang w:val="en-GB"/>
        </w:rPr>
        <w:t xml:space="preserve"> way of working has been established and described in other documents, insert and/or refer to that information in the GBV SOPs.</w:t>
      </w:r>
    </w:p>
    <w:tbl>
      <w:tblPr>
        <w:tblStyle w:val="TableGrid"/>
        <w:tblW w:w="0" w:type="auto"/>
        <w:tblLook w:val="04A0" w:firstRow="1" w:lastRow="0" w:firstColumn="1" w:lastColumn="0" w:noHBand="0" w:noVBand="1"/>
      </w:tblPr>
      <w:tblGrid>
        <w:gridCol w:w="9350"/>
      </w:tblGrid>
      <w:tr w:rsidR="005E70CB" w:rsidTr="005E70CB" w14:paraId="01A1C964" w14:textId="77777777">
        <w:tc>
          <w:tcPr>
            <w:tcW w:w="9350" w:type="dxa"/>
          </w:tcPr>
          <w:p w:rsidRPr="005E70CB" w:rsidR="005E70CB" w:rsidP="005E70CB" w:rsidRDefault="005E70CB" w14:paraId="5D20FC49" w14:textId="77777777">
            <w:pPr>
              <w:spacing w:before="120" w:after="120" w:line="300" w:lineRule="atLeast"/>
              <w:jc w:val="both"/>
              <w:rPr>
                <w:b/>
                <w:bCs/>
                <w:lang w:val="en-GB"/>
              </w:rPr>
            </w:pPr>
            <w:r w:rsidRPr="005E70CB">
              <w:rPr>
                <w:b/>
                <w:bCs/>
                <w:lang w:val="en-GB"/>
              </w:rPr>
              <w:t>Essential issues to consider</w:t>
            </w:r>
          </w:p>
          <w:p w:rsidRPr="005E70CB" w:rsidR="005E70CB" w:rsidP="005E70CB" w:rsidRDefault="005E70CB" w14:paraId="6A562059" w14:textId="77777777">
            <w:pPr>
              <w:spacing w:before="120" w:after="120" w:line="300" w:lineRule="atLeast"/>
              <w:jc w:val="both"/>
              <w:rPr>
                <w:lang w:val="en-GB"/>
              </w:rPr>
            </w:pPr>
            <w:r w:rsidRPr="005E70CB">
              <w:rPr>
                <w:lang w:val="en-GB"/>
              </w:rPr>
              <w:t xml:space="preserve">Because governments hold primary responsibility for the well-being of their own citizens and forcibly displaced persons as per their international commitments, coordination groups should engage national authorities when working with the government does not pose security risks. </w:t>
            </w:r>
          </w:p>
          <w:p w:rsidRPr="005E70CB" w:rsidR="005E70CB" w:rsidP="005E70CB" w:rsidRDefault="005E70CB" w14:paraId="4BAAE600" w14:textId="77777777">
            <w:pPr>
              <w:spacing w:before="120" w:after="120" w:line="300" w:lineRule="atLeast"/>
              <w:jc w:val="both"/>
              <w:rPr>
                <w:lang w:val="en-GB"/>
              </w:rPr>
            </w:pPr>
            <w:r w:rsidRPr="005E70CB">
              <w:rPr>
                <w:lang w:val="en-GB"/>
              </w:rPr>
              <w:t>In refugee contexts, UNHCR is the lead on the implementation of the refugee coordination model together with national authorities. A GBV coordination mechanism may be established under the Protection Working Group.</w:t>
            </w:r>
          </w:p>
          <w:p w:rsidRPr="005E70CB" w:rsidR="005E70CB" w:rsidP="005E70CB" w:rsidRDefault="005E70CB" w14:paraId="04164B49" w14:textId="77777777">
            <w:pPr>
              <w:spacing w:before="120" w:after="120" w:line="300" w:lineRule="atLeast"/>
              <w:jc w:val="both"/>
              <w:rPr>
                <w:lang w:val="en-GB"/>
              </w:rPr>
            </w:pPr>
            <w:r w:rsidRPr="005E70CB">
              <w:rPr>
                <w:lang w:val="en-GB"/>
              </w:rPr>
              <w:t>Under the IASC clusters, the Global Protection Cluster includes four specialized coordination bodies called Areas of Responsibility (</w:t>
            </w:r>
            <w:proofErr w:type="spellStart"/>
            <w:r w:rsidRPr="005E70CB">
              <w:rPr>
                <w:lang w:val="en-GB"/>
              </w:rPr>
              <w:t>AoRs</w:t>
            </w:r>
            <w:proofErr w:type="spellEnd"/>
            <w:r w:rsidRPr="005E70CB">
              <w:rPr>
                <w:lang w:val="en-GB"/>
              </w:rPr>
              <w:t xml:space="preserve">), which may be replicated at field level as required. UNFPA is the lead agency of the GBV </w:t>
            </w:r>
            <w:proofErr w:type="spellStart"/>
            <w:r w:rsidRPr="005E70CB">
              <w:rPr>
                <w:lang w:val="en-GB"/>
              </w:rPr>
              <w:t>AoR</w:t>
            </w:r>
            <w:proofErr w:type="spellEnd"/>
            <w:r w:rsidRPr="005E70CB">
              <w:rPr>
                <w:lang w:val="en-GB"/>
              </w:rPr>
              <w:t xml:space="preserve"> and functions as an integral part of the protection cluster, contributing to commonly defined goals and outcomes and fulfilling equivalent responsibilities as the cluster in its specialised area. UNHCR is a core member of the global GBV </w:t>
            </w:r>
            <w:proofErr w:type="spellStart"/>
            <w:r w:rsidRPr="005E70CB">
              <w:rPr>
                <w:lang w:val="en-GB"/>
              </w:rPr>
              <w:t>AoR</w:t>
            </w:r>
            <w:proofErr w:type="spellEnd"/>
            <w:r w:rsidRPr="005E70CB">
              <w:rPr>
                <w:lang w:val="en-GB"/>
              </w:rPr>
              <w:t xml:space="preserve"> and the GPC operations cell has observer status. UNFPA and the GBV </w:t>
            </w:r>
            <w:proofErr w:type="spellStart"/>
            <w:r w:rsidRPr="005E70CB">
              <w:rPr>
                <w:lang w:val="en-GB"/>
              </w:rPr>
              <w:t>AoR</w:t>
            </w:r>
            <w:proofErr w:type="spellEnd"/>
            <w:r w:rsidRPr="005E70CB">
              <w:rPr>
                <w:lang w:val="en-GB"/>
              </w:rPr>
              <w:t xml:space="preserve"> are members of the GPC Strategic Advisory Group (SAG). </w:t>
            </w:r>
          </w:p>
          <w:p w:rsidRPr="005E70CB" w:rsidR="005E70CB" w:rsidP="005E70CB" w:rsidRDefault="005E70CB" w14:paraId="1303B785" w14:textId="77777777">
            <w:pPr>
              <w:spacing w:before="120" w:after="120" w:line="300" w:lineRule="atLeast"/>
              <w:jc w:val="both"/>
              <w:rPr>
                <w:lang w:val="en-GB"/>
              </w:rPr>
            </w:pPr>
            <w:r w:rsidRPr="005E70CB">
              <w:rPr>
                <w:lang w:val="en-GB"/>
              </w:rPr>
              <w:t>Coordination of refugee GBV in mixed situations is informed by the agreed coordination arrangements between UNHCR and OCHA. Where the IASC cluster system is utilized, leadership arrangements should be implemented according to the joint note on coordination.  UNFPA and UNHCR are accountable to ensure that the needs and coordination arrangements for all population groups are catered for according to existing agreements and also in line with operational realities. Coordination mechanisms offer a space to raise critical issues – for example, if organizations are not responding to the needs of women and girls, if geographic coverage is insufficient or if there are service delivery or other gaps that need to be filled.</w:t>
            </w:r>
          </w:p>
          <w:p w:rsidR="005E70CB" w:rsidP="005E70CB" w:rsidRDefault="005E70CB" w14:paraId="51E60D87" w14:textId="066C8155">
            <w:pPr>
              <w:spacing w:before="120" w:after="120" w:line="300" w:lineRule="atLeast"/>
              <w:jc w:val="both"/>
              <w:rPr>
                <w:lang w:val="en-GB"/>
              </w:rPr>
            </w:pPr>
            <w:r w:rsidRPr="005E70CB">
              <w:rPr>
                <w:lang w:val="en-GB"/>
              </w:rPr>
              <w:t>Under international and other instruments, governments hold primary responsibility for the well-being of their own citizens and displaced and stateless persons.</w:t>
            </w:r>
          </w:p>
        </w:tc>
      </w:tr>
    </w:tbl>
    <w:p w:rsidRPr="009F7561" w:rsidR="003B0E6F" w:rsidP="00A6262B" w:rsidRDefault="003B0E6F" w14:paraId="7BC031B9" w14:textId="0CE45E49">
      <w:pPr>
        <w:pBdr>
          <w:top w:val="nil"/>
          <w:left w:val="nil"/>
          <w:bottom w:val="nil"/>
          <w:right w:val="nil"/>
          <w:between w:val="nil"/>
        </w:pBdr>
        <w:spacing w:before="120" w:after="120" w:line="300" w:lineRule="atLeast"/>
        <w:jc w:val="both"/>
        <w:rPr>
          <w:lang w:val="en-GB"/>
        </w:rPr>
      </w:pPr>
      <w:r w:rsidRPr="009F7561">
        <w:rPr>
          <w:lang w:val="en-GB"/>
        </w:rPr>
        <w:t xml:space="preserve">The core functions listed below can be applied to GBV coordination mechanisms in refugee settings. Examples of activities </w:t>
      </w:r>
      <w:r w:rsidRPr="009F7561" w:rsidR="002F1271">
        <w:rPr>
          <w:lang w:val="en-GB"/>
        </w:rPr>
        <w:t>relat</w:t>
      </w:r>
      <w:r w:rsidR="002F1271">
        <w:rPr>
          <w:lang w:val="en-GB"/>
        </w:rPr>
        <w:t>ing</w:t>
      </w:r>
      <w:r w:rsidRPr="009F7561" w:rsidR="002F1271">
        <w:rPr>
          <w:lang w:val="en-GB"/>
        </w:rPr>
        <w:t xml:space="preserve"> </w:t>
      </w:r>
      <w:r w:rsidRPr="009F7561">
        <w:rPr>
          <w:lang w:val="en-GB"/>
        </w:rPr>
        <w:t xml:space="preserve">to each of the core functions can be found in the </w:t>
      </w:r>
      <w:r w:rsidRPr="009F7561" w:rsidR="00272DB5">
        <w:rPr>
          <w:lang w:val="en-GB"/>
        </w:rPr>
        <w:t xml:space="preserve">GBV </w:t>
      </w:r>
      <w:hyperlink r:id="rId33">
        <w:r w:rsidRPr="009F7561" w:rsidR="00497563">
          <w:rPr>
            <w:lang w:val="en-GB"/>
          </w:rPr>
          <w:t>coordination handbook</w:t>
        </w:r>
      </w:hyperlink>
      <w:r w:rsidRPr="009F7561">
        <w:rPr>
          <w:vertAlign w:val="superscript"/>
          <w:lang w:val="en-GB"/>
        </w:rPr>
        <w:footnoteReference w:id="142"/>
      </w:r>
      <w:r w:rsidRPr="009F7561">
        <w:rPr>
          <w:lang w:val="en-GB"/>
        </w:rPr>
        <w:t xml:space="preserve"> and </w:t>
      </w:r>
      <w:r w:rsidRPr="009F7561" w:rsidR="002F1271">
        <w:rPr>
          <w:lang w:val="en-GB"/>
        </w:rPr>
        <w:t>s</w:t>
      </w:r>
      <w:r w:rsidRPr="009F7561">
        <w:rPr>
          <w:lang w:val="en-GB"/>
        </w:rPr>
        <w:t xml:space="preserve">tandard 14 in the GBV </w:t>
      </w:r>
      <w:r w:rsidRPr="009F7561" w:rsidR="00962A2D">
        <w:rPr>
          <w:lang w:val="en-GB"/>
        </w:rPr>
        <w:t>minimum standards</w:t>
      </w:r>
      <w:r w:rsidRPr="009F7561">
        <w:rPr>
          <w:lang w:val="en-GB"/>
        </w:rPr>
        <w:t>.</w:t>
      </w:r>
    </w:p>
    <w:p w:rsidRPr="009F7561" w:rsidR="003B0E6F" w:rsidP="00A6262B" w:rsidRDefault="003B0E6F" w14:paraId="23152B71" w14:textId="77777777">
      <w:pPr>
        <w:spacing w:before="120" w:after="120" w:line="300" w:lineRule="atLeast"/>
        <w:jc w:val="both"/>
        <w:rPr>
          <w:lang w:val="en-GB"/>
        </w:rPr>
      </w:pPr>
      <w:r w:rsidRPr="009F7561">
        <w:rPr>
          <w:lang w:val="en-GB"/>
        </w:rPr>
        <w:t xml:space="preserve">Coordination systems help plan interventions and strategies, manage information, mobilize resources, uphold accountability, fill gaps and avoid duplication. Coordination is also important in </w:t>
      </w:r>
      <w:r w:rsidRPr="009F7561">
        <w:rPr>
          <w:lang w:val="en-GB"/>
        </w:rPr>
        <w:t>ensuring capacity gaps are addressed, including by supporting governments on preparedness and contingency planning.</w:t>
      </w:r>
    </w:p>
    <w:p w:rsidRPr="009F7561" w:rsidR="003B0E6F" w:rsidP="00A6262B" w:rsidRDefault="003B0E6F" w14:paraId="1F932415" w14:textId="77777777">
      <w:pPr>
        <w:spacing w:before="120" w:after="120" w:line="300" w:lineRule="atLeast"/>
        <w:jc w:val="both"/>
        <w:rPr>
          <w:lang w:val="en-GB"/>
        </w:rPr>
      </w:pPr>
      <w:r w:rsidRPr="009F7561">
        <w:rPr>
          <w:lang w:val="en-GB"/>
        </w:rPr>
        <w:t>The primary goals of GBV coordination are to:</w:t>
      </w:r>
    </w:p>
    <w:p w:rsidRPr="009F7561" w:rsidR="003B0E6F" w:rsidP="00E96F61" w:rsidRDefault="003B0E6F" w14:paraId="1657061E" w14:textId="66025432">
      <w:pPr>
        <w:numPr>
          <w:ilvl w:val="0"/>
          <w:numId w:val="3"/>
        </w:numPr>
        <w:pBdr>
          <w:top w:val="nil"/>
          <w:left w:val="nil"/>
          <w:bottom w:val="nil"/>
          <w:right w:val="nil"/>
          <w:between w:val="nil"/>
        </w:pBdr>
        <w:spacing w:before="120" w:after="120" w:line="300" w:lineRule="atLeast"/>
        <w:jc w:val="both"/>
        <w:rPr>
          <w:lang w:val="en-GB"/>
        </w:rPr>
      </w:pPr>
      <w:r w:rsidRPr="00585205">
        <w:rPr>
          <w:lang w:val="en-GB"/>
        </w:rPr>
        <w:t>Ensure accessible, safe, quality services are priorit</w:t>
      </w:r>
      <w:r w:rsidRPr="00585205" w:rsidR="005E1813">
        <w:rPr>
          <w:lang w:val="en-GB"/>
        </w:rPr>
        <w:t>ize</w:t>
      </w:r>
      <w:r w:rsidRPr="00585205">
        <w:rPr>
          <w:lang w:val="en-GB"/>
        </w:rPr>
        <w:t>d and available to survivors through strategic planning</w:t>
      </w:r>
      <w:r w:rsidR="00A6262B">
        <w:rPr>
          <w:lang w:val="en-GB"/>
        </w:rPr>
        <w:t>.</w:t>
      </w:r>
    </w:p>
    <w:p w:rsidRPr="009F7561" w:rsidR="003B0E6F" w:rsidP="00E96F61" w:rsidRDefault="003B0E6F" w14:paraId="407420F6" w14:textId="5C89BE48">
      <w:pPr>
        <w:numPr>
          <w:ilvl w:val="0"/>
          <w:numId w:val="3"/>
        </w:numPr>
        <w:pBdr>
          <w:top w:val="nil"/>
          <w:left w:val="nil"/>
          <w:bottom w:val="nil"/>
          <w:right w:val="nil"/>
          <w:between w:val="nil"/>
        </w:pBdr>
        <w:spacing w:before="120" w:after="120" w:line="300" w:lineRule="atLeast"/>
        <w:jc w:val="both"/>
        <w:rPr>
          <w:lang w:val="en-GB"/>
        </w:rPr>
      </w:pPr>
      <w:r w:rsidRPr="00585205">
        <w:rPr>
          <w:lang w:val="en-GB"/>
        </w:rPr>
        <w:t xml:space="preserve">Promote appropriate attention to </w:t>
      </w:r>
      <w:r w:rsidRPr="008D0501" w:rsidR="008D0501">
        <w:rPr>
          <w:lang w:val="en-GB"/>
        </w:rPr>
        <w:t xml:space="preserve">prevention </w:t>
      </w:r>
      <w:r w:rsidRPr="00585205">
        <w:rPr>
          <w:lang w:val="en-GB"/>
        </w:rPr>
        <w:t xml:space="preserve">of GBV (including risk mitigation) across sectors and actors in line with the IASC </w:t>
      </w:r>
      <w:r w:rsidR="00C34AE8">
        <w:rPr>
          <w:lang w:val="en-GB"/>
        </w:rPr>
        <w:t>GBV Guidelines</w:t>
      </w:r>
      <w:r w:rsidRPr="00585205">
        <w:rPr>
          <w:lang w:val="en-GB"/>
        </w:rPr>
        <w:t>; and</w:t>
      </w:r>
    </w:p>
    <w:p w:rsidRPr="009F7561" w:rsidR="003B0E6F" w:rsidP="00E96F61" w:rsidRDefault="003B0E6F" w14:paraId="15D60A03" w14:textId="49716062">
      <w:pPr>
        <w:numPr>
          <w:ilvl w:val="0"/>
          <w:numId w:val="3"/>
        </w:numPr>
        <w:pBdr>
          <w:top w:val="nil"/>
          <w:left w:val="nil"/>
          <w:bottom w:val="nil"/>
          <w:right w:val="nil"/>
          <w:between w:val="nil"/>
        </w:pBdr>
        <w:spacing w:before="120" w:after="120" w:line="300" w:lineRule="atLeast"/>
        <w:jc w:val="both"/>
        <w:rPr>
          <w:lang w:val="en-GB"/>
        </w:rPr>
      </w:pPr>
      <w:r w:rsidRPr="00585205">
        <w:rPr>
          <w:lang w:val="en-GB"/>
        </w:rPr>
        <w:t xml:space="preserve">Secure sufficient funding to support </w:t>
      </w:r>
      <w:r w:rsidRPr="00585205" w:rsidR="005E1813">
        <w:rPr>
          <w:lang w:val="en-GB"/>
        </w:rPr>
        <w:t xml:space="preserve">GBV </w:t>
      </w:r>
      <w:r w:rsidRPr="00585205">
        <w:rPr>
          <w:lang w:val="en-GB"/>
        </w:rPr>
        <w:t>specialized programming.</w:t>
      </w:r>
    </w:p>
    <w:p w:rsidRPr="009F7561" w:rsidR="003B0E6F" w:rsidP="00A6262B" w:rsidRDefault="003B0E6F" w14:paraId="058C96DD" w14:textId="1D8B713C">
      <w:pPr>
        <w:spacing w:before="120" w:after="120" w:line="300" w:lineRule="atLeast"/>
        <w:jc w:val="both"/>
        <w:rPr>
          <w:lang w:val="en-GB"/>
        </w:rPr>
      </w:pPr>
      <w:r w:rsidRPr="009F7561">
        <w:rPr>
          <w:lang w:val="en-GB"/>
        </w:rPr>
        <w:t>These goals are achieved through a set of deliverables organ</w:t>
      </w:r>
      <w:r w:rsidRPr="009F7561" w:rsidR="005E1813">
        <w:rPr>
          <w:lang w:val="en-GB"/>
        </w:rPr>
        <w:t>ize</w:t>
      </w:r>
      <w:r w:rsidRPr="009F7561">
        <w:rPr>
          <w:lang w:val="en-GB"/>
        </w:rPr>
        <w:t xml:space="preserve">d around the </w:t>
      </w:r>
      <w:r w:rsidRPr="009F7561">
        <w:rPr>
          <w:b/>
          <w:lang w:val="en-GB"/>
        </w:rPr>
        <w:t xml:space="preserve">six core functions </w:t>
      </w:r>
      <w:r w:rsidRPr="009F7561">
        <w:rPr>
          <w:lang w:val="en-GB"/>
        </w:rPr>
        <w:t>of coordination, namely:</w:t>
      </w:r>
    </w:p>
    <w:p w:rsidRPr="009F7561" w:rsidR="003B0E6F" w:rsidP="00E96F61" w:rsidRDefault="003B0E6F" w14:paraId="5ACEDCA9" w14:textId="77777777">
      <w:pPr>
        <w:widowControl w:val="0"/>
        <w:numPr>
          <w:ilvl w:val="0"/>
          <w:numId w:val="10"/>
        </w:numPr>
        <w:spacing w:before="120" w:after="120" w:line="300" w:lineRule="atLeast"/>
        <w:jc w:val="both"/>
        <w:rPr>
          <w:b/>
          <w:lang w:val="en-GB"/>
        </w:rPr>
      </w:pPr>
      <w:r w:rsidRPr="009F7561">
        <w:rPr>
          <w:b/>
          <w:lang w:val="en-GB"/>
        </w:rPr>
        <w:t>To support service delivery by:</w:t>
      </w:r>
    </w:p>
    <w:p w:rsidRPr="009F7561" w:rsidR="003B0E6F" w:rsidP="00E96F61" w:rsidRDefault="003B0E6F" w14:paraId="4CF43435" w14:textId="329B1D3F">
      <w:pPr>
        <w:widowControl w:val="0"/>
        <w:numPr>
          <w:ilvl w:val="1"/>
          <w:numId w:val="17"/>
        </w:numPr>
        <w:spacing w:before="120" w:after="120" w:line="240" w:lineRule="auto"/>
        <w:ind w:left="1434" w:hanging="357"/>
        <w:jc w:val="both"/>
        <w:rPr>
          <w:lang w:val="en-GB"/>
        </w:rPr>
      </w:pPr>
      <w:r w:rsidRPr="009F7561">
        <w:rPr>
          <w:lang w:val="en-GB"/>
        </w:rPr>
        <w:t xml:space="preserve">Providing a platform that ensures service delivery is driven by the </w:t>
      </w:r>
      <w:r w:rsidRPr="009F7561" w:rsidR="00E57BBC">
        <w:rPr>
          <w:lang w:val="en-GB"/>
        </w:rPr>
        <w:t xml:space="preserve">humanitarian/refugee response plan </w:t>
      </w:r>
      <w:r w:rsidRPr="009F7561">
        <w:rPr>
          <w:lang w:val="en-GB"/>
        </w:rPr>
        <w:t>and strategic priorities</w:t>
      </w:r>
      <w:r w:rsidR="00A6262B">
        <w:rPr>
          <w:lang w:val="en-GB"/>
        </w:rPr>
        <w:t>.</w:t>
      </w:r>
    </w:p>
    <w:p w:rsidRPr="009F7561" w:rsidR="003B0E6F" w:rsidP="00E96F61" w:rsidRDefault="003B0E6F" w14:paraId="4F83B5E9" w14:textId="77777777">
      <w:pPr>
        <w:widowControl w:val="0"/>
        <w:numPr>
          <w:ilvl w:val="1"/>
          <w:numId w:val="17"/>
        </w:numPr>
        <w:spacing w:before="120" w:after="120" w:line="240" w:lineRule="auto"/>
        <w:ind w:left="1434" w:hanging="357"/>
        <w:jc w:val="both"/>
        <w:rPr>
          <w:lang w:val="en-GB"/>
        </w:rPr>
      </w:pPr>
      <w:r w:rsidRPr="009F7561">
        <w:rPr>
          <w:lang w:val="en-GB"/>
        </w:rPr>
        <w:t>Developing mechanisms to eliminate duplication of service delivery.</w:t>
      </w:r>
    </w:p>
    <w:p w:rsidRPr="009F7561" w:rsidR="003B0E6F" w:rsidP="00E96F61" w:rsidRDefault="003B0E6F" w14:paraId="4A6D62C5" w14:textId="220CC83A">
      <w:pPr>
        <w:widowControl w:val="0"/>
        <w:numPr>
          <w:ilvl w:val="0"/>
          <w:numId w:val="10"/>
        </w:numPr>
        <w:spacing w:before="120" w:after="120" w:line="300" w:lineRule="atLeast"/>
        <w:jc w:val="both"/>
        <w:rPr>
          <w:b/>
          <w:lang w:val="en-GB"/>
        </w:rPr>
      </w:pPr>
      <w:r w:rsidRPr="009F7561">
        <w:rPr>
          <w:b/>
          <w:lang w:val="en-GB"/>
        </w:rPr>
        <w:t xml:space="preserve">To inform the </w:t>
      </w:r>
      <w:r w:rsidRPr="009F7561" w:rsidR="00E57BBC">
        <w:rPr>
          <w:b/>
          <w:lang w:val="en-GB"/>
        </w:rPr>
        <w:t>humanitarian coordinator/humanitarian country team/refugee coordinator’s</w:t>
      </w:r>
      <w:r w:rsidRPr="009F7561">
        <w:rPr>
          <w:b/>
          <w:lang w:val="en-GB"/>
        </w:rPr>
        <w:t xml:space="preserve"> strategic decision-making by:</w:t>
      </w:r>
    </w:p>
    <w:p w:rsidRPr="009F7561" w:rsidR="003B0E6F" w:rsidP="00E96F61" w:rsidRDefault="003B0E6F" w14:paraId="6172E985" w14:textId="78407A9A">
      <w:pPr>
        <w:widowControl w:val="0"/>
        <w:numPr>
          <w:ilvl w:val="1"/>
          <w:numId w:val="21"/>
        </w:numPr>
        <w:spacing w:before="120" w:after="120" w:line="240" w:lineRule="auto"/>
        <w:ind w:left="1434" w:hanging="357"/>
        <w:jc w:val="both"/>
        <w:rPr>
          <w:lang w:val="en-GB"/>
        </w:rPr>
      </w:pPr>
      <w:r w:rsidRPr="009F7561">
        <w:rPr>
          <w:lang w:val="en-GB"/>
        </w:rPr>
        <w:t>Preparing needs assessments and analysis of gaps to inform priority-setting</w:t>
      </w:r>
      <w:r w:rsidR="00A6262B">
        <w:rPr>
          <w:lang w:val="en-GB"/>
        </w:rPr>
        <w:t>.</w:t>
      </w:r>
    </w:p>
    <w:p w:rsidRPr="009F7561" w:rsidR="003B0E6F" w:rsidP="00E96F61" w:rsidRDefault="003B0E6F" w14:paraId="107577E0" w14:textId="0D75323F">
      <w:pPr>
        <w:widowControl w:val="0"/>
        <w:numPr>
          <w:ilvl w:val="1"/>
          <w:numId w:val="21"/>
        </w:numPr>
        <w:spacing w:before="120" w:after="120" w:line="240" w:lineRule="auto"/>
        <w:ind w:left="1434" w:hanging="357"/>
        <w:jc w:val="both"/>
        <w:rPr>
          <w:lang w:val="en-GB"/>
        </w:rPr>
      </w:pPr>
      <w:r w:rsidRPr="009F7561">
        <w:rPr>
          <w:lang w:val="en-GB"/>
        </w:rPr>
        <w:t>Identifying and finding solutions for (emerging) gaps, obstacles, duplication and cross-cutting issues</w:t>
      </w:r>
      <w:r w:rsidR="00083FBB">
        <w:rPr>
          <w:lang w:val="en-GB"/>
        </w:rPr>
        <w:t>.</w:t>
      </w:r>
    </w:p>
    <w:p w:rsidRPr="009F7561" w:rsidR="003B0E6F" w:rsidP="00E96F61" w:rsidRDefault="003B0E6F" w14:paraId="058476B7" w14:textId="5A1DB3F9">
      <w:pPr>
        <w:widowControl w:val="0"/>
        <w:numPr>
          <w:ilvl w:val="1"/>
          <w:numId w:val="21"/>
        </w:numPr>
        <w:spacing w:before="120" w:after="120" w:line="240" w:lineRule="auto"/>
        <w:ind w:left="1434" w:hanging="357"/>
        <w:jc w:val="both"/>
        <w:rPr>
          <w:lang w:val="en-GB"/>
        </w:rPr>
      </w:pPr>
      <w:r w:rsidRPr="009F7561">
        <w:rPr>
          <w:lang w:val="en-GB"/>
        </w:rPr>
        <w:t xml:space="preserve">Formulating priorities </w:t>
      </w:r>
      <w:r w:rsidR="00AD1CF4">
        <w:rPr>
          <w:lang w:val="en-GB"/>
        </w:rPr>
        <w:t xml:space="preserve">based </w:t>
      </w:r>
      <w:r w:rsidRPr="009F7561">
        <w:rPr>
          <w:lang w:val="en-GB"/>
        </w:rPr>
        <w:t>on analysis.</w:t>
      </w:r>
    </w:p>
    <w:p w:rsidRPr="009F7561" w:rsidR="003B0E6F" w:rsidP="00E96F61" w:rsidRDefault="003B0E6F" w14:paraId="15586A61" w14:textId="5F6A27E5">
      <w:pPr>
        <w:widowControl w:val="0"/>
        <w:numPr>
          <w:ilvl w:val="0"/>
          <w:numId w:val="10"/>
        </w:numPr>
        <w:spacing w:before="120" w:after="120" w:line="300" w:lineRule="atLeast"/>
        <w:jc w:val="both"/>
        <w:rPr>
          <w:b/>
          <w:lang w:val="en-GB"/>
        </w:rPr>
      </w:pPr>
      <w:r w:rsidRPr="009F7561">
        <w:rPr>
          <w:b/>
          <w:lang w:val="en-GB"/>
        </w:rPr>
        <w:t xml:space="preserve">To plan and implement the </w:t>
      </w:r>
      <w:r w:rsidRPr="009F7561" w:rsidR="00F66526">
        <w:rPr>
          <w:b/>
          <w:lang w:val="en-GB"/>
        </w:rPr>
        <w:t>sub-cluster</w:t>
      </w:r>
      <w:r w:rsidRPr="009F7561">
        <w:rPr>
          <w:b/>
          <w:lang w:val="en-GB"/>
        </w:rPr>
        <w:t>/sector strategy by:</w:t>
      </w:r>
    </w:p>
    <w:p w:rsidRPr="009F7561" w:rsidR="003B0E6F" w:rsidP="00E96F61" w:rsidRDefault="003B0E6F" w14:paraId="7BF5D21E" w14:textId="352A81DD">
      <w:pPr>
        <w:widowControl w:val="0"/>
        <w:numPr>
          <w:ilvl w:val="1"/>
          <w:numId w:val="24"/>
        </w:numPr>
        <w:spacing w:before="120" w:after="120" w:line="240" w:lineRule="auto"/>
        <w:ind w:left="1434" w:hanging="357"/>
        <w:jc w:val="both"/>
        <w:rPr>
          <w:lang w:val="en-GB"/>
        </w:rPr>
      </w:pPr>
      <w:r w:rsidRPr="009F7561">
        <w:rPr>
          <w:lang w:val="en-GB"/>
        </w:rPr>
        <w:t>Developing a GBV sectoral plan, objectives and indicators that directly support realization of the overall response</w:t>
      </w:r>
      <w:r w:rsidRPr="009F7561" w:rsidR="00315391">
        <w:rPr>
          <w:lang w:val="en-GB"/>
        </w:rPr>
        <w:t>’s</w:t>
      </w:r>
      <w:r w:rsidRPr="009F7561">
        <w:rPr>
          <w:lang w:val="en-GB"/>
        </w:rPr>
        <w:t xml:space="preserve"> strategic objectives</w:t>
      </w:r>
      <w:r w:rsidR="00083FBB">
        <w:rPr>
          <w:lang w:val="en-GB"/>
        </w:rPr>
        <w:t>.</w:t>
      </w:r>
    </w:p>
    <w:p w:rsidRPr="009F7561" w:rsidR="003B0E6F" w:rsidP="00E96F61" w:rsidRDefault="003B0E6F" w14:paraId="208AC2A9" w14:textId="298A9CD2">
      <w:pPr>
        <w:widowControl w:val="0"/>
        <w:numPr>
          <w:ilvl w:val="1"/>
          <w:numId w:val="24"/>
        </w:numPr>
        <w:spacing w:before="120" w:after="120" w:line="240" w:lineRule="auto"/>
        <w:ind w:left="1434" w:hanging="357"/>
        <w:jc w:val="both"/>
        <w:rPr>
          <w:lang w:val="en-GB"/>
        </w:rPr>
      </w:pPr>
      <w:r w:rsidRPr="009F7561">
        <w:rPr>
          <w:lang w:val="en-GB"/>
        </w:rPr>
        <w:t>Applying and adhering to common standards and guidelines</w:t>
      </w:r>
      <w:r w:rsidR="00083FBB">
        <w:rPr>
          <w:lang w:val="en-GB"/>
        </w:rPr>
        <w:t>.</w:t>
      </w:r>
    </w:p>
    <w:p w:rsidRPr="009F7561" w:rsidR="003B0E6F" w:rsidP="00E96F61" w:rsidRDefault="003B0E6F" w14:paraId="065A8751" w14:textId="334DF232">
      <w:pPr>
        <w:widowControl w:val="0"/>
        <w:numPr>
          <w:ilvl w:val="1"/>
          <w:numId w:val="24"/>
        </w:numPr>
        <w:spacing w:before="120" w:after="120" w:line="240" w:lineRule="auto"/>
        <w:ind w:left="1434" w:hanging="357"/>
        <w:jc w:val="both"/>
        <w:rPr>
          <w:lang w:val="en-GB"/>
        </w:rPr>
      </w:pPr>
      <w:r w:rsidRPr="009F7561">
        <w:rPr>
          <w:lang w:val="en-GB"/>
        </w:rPr>
        <w:t>Clarifying funding requirements, helping to set priorities</w:t>
      </w:r>
      <w:r w:rsidRPr="009F7561" w:rsidR="008A1575">
        <w:rPr>
          <w:lang w:val="en-GB"/>
        </w:rPr>
        <w:t xml:space="preserve"> and </w:t>
      </w:r>
      <w:r w:rsidRPr="009F7561">
        <w:rPr>
          <w:lang w:val="en-GB"/>
        </w:rPr>
        <w:t xml:space="preserve">agreeing on </w:t>
      </w:r>
      <w:r w:rsidRPr="009F7561" w:rsidR="00F66526">
        <w:rPr>
          <w:lang w:val="en-GB"/>
        </w:rPr>
        <w:t>sub-cluster</w:t>
      </w:r>
      <w:r w:rsidRPr="009F7561">
        <w:rPr>
          <w:lang w:val="en-GB"/>
        </w:rPr>
        <w:t xml:space="preserve">/sector contributions to the </w:t>
      </w:r>
      <w:r w:rsidRPr="009F7561" w:rsidR="00A8237F">
        <w:rPr>
          <w:lang w:val="en-GB"/>
        </w:rPr>
        <w:t>humanitarian coordinator/humanitarian country team/refugee coordinator’s</w:t>
      </w:r>
      <w:r w:rsidRPr="009F7561">
        <w:rPr>
          <w:lang w:val="en-GB"/>
        </w:rPr>
        <w:t xml:space="preserve"> overall humanitarian funding proposals.</w:t>
      </w:r>
    </w:p>
    <w:p w:rsidRPr="009F7561" w:rsidR="003B0E6F" w:rsidP="00E96F61" w:rsidRDefault="003B0E6F" w14:paraId="3110F190" w14:textId="77777777">
      <w:pPr>
        <w:widowControl w:val="0"/>
        <w:numPr>
          <w:ilvl w:val="0"/>
          <w:numId w:val="10"/>
        </w:numPr>
        <w:spacing w:before="120" w:after="120" w:line="300" w:lineRule="atLeast"/>
        <w:jc w:val="both"/>
        <w:rPr>
          <w:b/>
          <w:lang w:val="en-GB"/>
        </w:rPr>
      </w:pPr>
      <w:r w:rsidRPr="009F7561">
        <w:rPr>
          <w:b/>
          <w:lang w:val="en-GB"/>
        </w:rPr>
        <w:t>To monitor and evaluate performance by:</w:t>
      </w:r>
    </w:p>
    <w:p w:rsidRPr="009F7561" w:rsidR="003B0E6F" w:rsidP="00E96F61" w:rsidRDefault="003B0E6F" w14:paraId="720FE964" w14:textId="66537155">
      <w:pPr>
        <w:widowControl w:val="0"/>
        <w:numPr>
          <w:ilvl w:val="1"/>
          <w:numId w:val="30"/>
        </w:numPr>
        <w:spacing w:before="120" w:after="120" w:line="240" w:lineRule="auto"/>
        <w:ind w:left="1434" w:hanging="357"/>
        <w:jc w:val="both"/>
        <w:rPr>
          <w:lang w:val="en-GB"/>
        </w:rPr>
      </w:pPr>
      <w:r w:rsidRPr="009F7561">
        <w:rPr>
          <w:lang w:val="en-GB"/>
        </w:rPr>
        <w:t>Monitoring and reporting on activities and needs</w:t>
      </w:r>
      <w:r w:rsidR="00083FBB">
        <w:rPr>
          <w:lang w:val="en-GB"/>
        </w:rPr>
        <w:t>.</w:t>
      </w:r>
    </w:p>
    <w:p w:rsidRPr="009F7561" w:rsidR="003B0E6F" w:rsidP="00E96F61" w:rsidRDefault="003B0E6F" w14:paraId="6779977D" w14:textId="03F2D5A1">
      <w:pPr>
        <w:widowControl w:val="0"/>
        <w:numPr>
          <w:ilvl w:val="1"/>
          <w:numId w:val="30"/>
        </w:numPr>
        <w:spacing w:before="120" w:after="120" w:line="240" w:lineRule="auto"/>
        <w:ind w:left="1434" w:hanging="357"/>
        <w:jc w:val="both"/>
        <w:rPr>
          <w:lang w:val="en-GB"/>
        </w:rPr>
      </w:pPr>
      <w:r w:rsidRPr="009F7561">
        <w:rPr>
          <w:lang w:val="en-GB"/>
        </w:rPr>
        <w:t xml:space="preserve">Measuring progress against the </w:t>
      </w:r>
      <w:r w:rsidRPr="009F7561" w:rsidR="00F66526">
        <w:rPr>
          <w:lang w:val="en-GB"/>
        </w:rPr>
        <w:t>sub-cluster</w:t>
      </w:r>
      <w:r w:rsidRPr="009F7561">
        <w:rPr>
          <w:lang w:val="en-GB"/>
        </w:rPr>
        <w:t>/sector strategy and agreed results</w:t>
      </w:r>
      <w:r w:rsidR="00083FBB">
        <w:rPr>
          <w:lang w:val="en-GB"/>
        </w:rPr>
        <w:t>.</w:t>
      </w:r>
    </w:p>
    <w:p w:rsidRPr="009F7561" w:rsidR="003B0E6F" w:rsidP="00E96F61" w:rsidRDefault="003B0E6F" w14:paraId="3EB5817C" w14:textId="77777777">
      <w:pPr>
        <w:widowControl w:val="0"/>
        <w:numPr>
          <w:ilvl w:val="1"/>
          <w:numId w:val="30"/>
        </w:numPr>
        <w:spacing w:before="120" w:after="120" w:line="240" w:lineRule="auto"/>
        <w:ind w:left="1434" w:hanging="357"/>
        <w:jc w:val="both"/>
        <w:rPr>
          <w:lang w:val="en-GB"/>
        </w:rPr>
      </w:pPr>
      <w:r w:rsidRPr="009F7561">
        <w:rPr>
          <w:lang w:val="en-GB"/>
        </w:rPr>
        <w:t>Recommending corrective action where necessary.</w:t>
      </w:r>
    </w:p>
    <w:p w:rsidRPr="009F7561" w:rsidR="003B0E6F" w:rsidP="00E96F61" w:rsidRDefault="003B0E6F" w14:paraId="192C11FB" w14:textId="1F7AD057">
      <w:pPr>
        <w:widowControl w:val="0"/>
        <w:numPr>
          <w:ilvl w:val="0"/>
          <w:numId w:val="10"/>
        </w:numPr>
        <w:spacing w:before="120" w:after="120" w:line="300" w:lineRule="atLeast"/>
        <w:jc w:val="both"/>
        <w:rPr>
          <w:b/>
          <w:lang w:val="en-GB"/>
        </w:rPr>
      </w:pPr>
      <w:r w:rsidRPr="009F7561">
        <w:rPr>
          <w:b/>
          <w:lang w:val="en-GB"/>
        </w:rPr>
        <w:t>To build national capacity in preparedness and contingency planning</w:t>
      </w:r>
    </w:p>
    <w:p w:rsidRPr="009F7561" w:rsidR="003B0E6F" w:rsidP="00E96F61" w:rsidRDefault="003B0E6F" w14:paraId="6F2031D0" w14:textId="77777777">
      <w:pPr>
        <w:widowControl w:val="0"/>
        <w:numPr>
          <w:ilvl w:val="0"/>
          <w:numId w:val="10"/>
        </w:numPr>
        <w:spacing w:before="120" w:after="120" w:line="300" w:lineRule="atLeast"/>
        <w:jc w:val="both"/>
        <w:rPr>
          <w:b/>
          <w:lang w:val="en-GB"/>
        </w:rPr>
      </w:pPr>
      <w:r w:rsidRPr="009F7561">
        <w:rPr>
          <w:b/>
          <w:lang w:val="en-GB"/>
        </w:rPr>
        <w:t>To support robust advocacy by:</w:t>
      </w:r>
    </w:p>
    <w:p w:rsidRPr="009F7561" w:rsidR="003B0E6F" w:rsidP="00E96F61" w:rsidRDefault="003B0E6F" w14:paraId="4123FCBC" w14:textId="61089C6E">
      <w:pPr>
        <w:widowControl w:val="0"/>
        <w:numPr>
          <w:ilvl w:val="1"/>
          <w:numId w:val="9"/>
        </w:numPr>
        <w:spacing w:before="120" w:after="120" w:line="240" w:lineRule="auto"/>
        <w:ind w:left="1434" w:hanging="357"/>
        <w:jc w:val="both"/>
        <w:rPr>
          <w:lang w:val="en-GB"/>
        </w:rPr>
      </w:pPr>
      <w:r w:rsidRPr="009F7561">
        <w:rPr>
          <w:lang w:val="en-GB"/>
        </w:rPr>
        <w:t>Identifying concerns</w:t>
      </w:r>
      <w:r w:rsidRPr="009F7561" w:rsidR="008A1575">
        <w:rPr>
          <w:lang w:val="en-GB"/>
        </w:rPr>
        <w:t xml:space="preserve"> and </w:t>
      </w:r>
      <w:r w:rsidRPr="009F7561">
        <w:rPr>
          <w:lang w:val="en-GB"/>
        </w:rPr>
        <w:t xml:space="preserve">contributing key information and messages to the </w:t>
      </w:r>
      <w:r w:rsidRPr="009F7561" w:rsidR="001E2A55">
        <w:rPr>
          <w:lang w:val="en-GB"/>
        </w:rPr>
        <w:t xml:space="preserve">humanitarian coordinator and humanitarian country team </w:t>
      </w:r>
      <w:r w:rsidRPr="009F7561">
        <w:rPr>
          <w:lang w:val="en-GB"/>
        </w:rPr>
        <w:t>messaging and action</w:t>
      </w:r>
      <w:r w:rsidR="00083FBB">
        <w:rPr>
          <w:lang w:val="en-GB"/>
        </w:rPr>
        <w:t>.</w:t>
      </w:r>
    </w:p>
    <w:p w:rsidRPr="009F7561" w:rsidR="003B0E6F" w:rsidP="00E96F61" w:rsidRDefault="003B0E6F" w14:paraId="1CA3A206" w14:textId="77777777">
      <w:pPr>
        <w:widowControl w:val="0"/>
        <w:numPr>
          <w:ilvl w:val="1"/>
          <w:numId w:val="9"/>
        </w:numPr>
        <w:spacing w:before="120" w:after="120" w:line="240" w:lineRule="auto"/>
        <w:ind w:left="1434" w:hanging="357"/>
        <w:jc w:val="both"/>
        <w:rPr>
          <w:lang w:val="en-GB"/>
        </w:rPr>
      </w:pPr>
      <w:r w:rsidRPr="009F7561">
        <w:rPr>
          <w:lang w:val="en-GB"/>
        </w:rPr>
        <w:t>Undertaking advocacy on behalf of the cluster/sector, cluster/sector members and affected people.</w:t>
      </w:r>
    </w:p>
    <w:p w:rsidRPr="00585205" w:rsidR="003B0E6F" w:rsidP="00A6262B" w:rsidRDefault="003B0E6F" w14:paraId="1E92D22D" w14:textId="14613B94">
      <w:pPr>
        <w:pBdr>
          <w:top w:val="nil"/>
          <w:left w:val="nil"/>
          <w:bottom w:val="nil"/>
          <w:right w:val="nil"/>
          <w:between w:val="nil"/>
        </w:pBdr>
        <w:spacing w:before="120" w:after="120" w:line="300" w:lineRule="atLeast"/>
        <w:jc w:val="both"/>
        <w:rPr>
          <w:lang w:val="en-GB"/>
        </w:rPr>
      </w:pPr>
      <w:r w:rsidRPr="00585205">
        <w:rPr>
          <w:lang w:val="en-GB"/>
        </w:rPr>
        <w:t xml:space="preserve">This section outlines the GBV </w:t>
      </w:r>
      <w:r w:rsidRPr="009F7561">
        <w:rPr>
          <w:lang w:val="en-GB"/>
        </w:rPr>
        <w:t>c</w:t>
      </w:r>
      <w:r w:rsidRPr="00585205">
        <w:rPr>
          <w:lang w:val="en-GB"/>
        </w:rPr>
        <w:t xml:space="preserve">oordination </w:t>
      </w:r>
      <w:r w:rsidRPr="009F7561">
        <w:rPr>
          <w:lang w:val="en-GB"/>
        </w:rPr>
        <w:t>g</w:t>
      </w:r>
      <w:r w:rsidRPr="00585205">
        <w:rPr>
          <w:lang w:val="en-GB"/>
        </w:rPr>
        <w:t>roup</w:t>
      </w:r>
      <w:r w:rsidRPr="00585205" w:rsidR="00315391">
        <w:rPr>
          <w:lang w:val="en-GB"/>
        </w:rPr>
        <w:t>’s</w:t>
      </w:r>
      <w:r w:rsidRPr="00585205">
        <w:rPr>
          <w:lang w:val="en-GB"/>
        </w:rPr>
        <w:t xml:space="preserve"> ways of working for </w:t>
      </w:r>
      <w:r w:rsidRPr="00083FBB">
        <w:rPr>
          <w:i/>
          <w:iCs/>
          <w:color w:val="0070C0"/>
          <w:lang w:val="en-GB"/>
        </w:rPr>
        <w:t>[insert setting]</w:t>
      </w:r>
      <w:r w:rsidRPr="00585205">
        <w:rPr>
          <w:lang w:val="en-GB"/>
        </w:rPr>
        <w:t xml:space="preserve">. </w:t>
      </w:r>
    </w:p>
    <w:p w:rsidRPr="00895C8F" w:rsidR="001B7528" w:rsidP="00A6262B" w:rsidRDefault="00895C8F" w14:paraId="1EB1F8DD" w14:textId="4590A171">
      <w:pPr>
        <w:pBdr>
          <w:top w:val="nil"/>
          <w:left w:val="nil"/>
          <w:bottom w:val="nil"/>
          <w:right w:val="nil"/>
          <w:between w:val="nil"/>
        </w:pBdr>
        <w:spacing w:before="120" w:after="120" w:line="300" w:lineRule="atLeast"/>
        <w:jc w:val="both"/>
        <w:rPr>
          <w:i/>
          <w:iCs/>
          <w:color w:val="0070C0"/>
          <w:lang w:val="en-GB"/>
        </w:rPr>
      </w:pPr>
      <w:r w:rsidRPr="00895C8F">
        <w:rPr>
          <w:i/>
          <w:iCs/>
          <w:color w:val="0070C0"/>
          <w:lang w:val="en-GB"/>
        </w:rPr>
        <w:t>[</w:t>
      </w:r>
      <w:r w:rsidRPr="00895C8F" w:rsidR="001B7528">
        <w:rPr>
          <w:i/>
          <w:iCs/>
          <w:color w:val="0070C0"/>
          <w:lang w:val="en-GB"/>
        </w:rPr>
        <w:t>Describe the coordination group</w:t>
      </w:r>
      <w:r w:rsidRPr="00895C8F" w:rsidR="00315391">
        <w:rPr>
          <w:i/>
          <w:iCs/>
          <w:color w:val="0070C0"/>
          <w:lang w:val="en-GB"/>
        </w:rPr>
        <w:t>’s</w:t>
      </w:r>
      <w:r w:rsidRPr="00895C8F" w:rsidR="001B7528">
        <w:rPr>
          <w:i/>
          <w:iCs/>
          <w:color w:val="0070C0"/>
          <w:lang w:val="en-GB"/>
        </w:rPr>
        <w:t xml:space="preserve"> ways of working at national and sub-national levels, including the following elements:</w:t>
      </w:r>
    </w:p>
    <w:p w:rsidRPr="00895C8F" w:rsidR="001B7528" w:rsidP="00E96F61" w:rsidRDefault="001B7528" w14:paraId="4D8910EF" w14:textId="09E286D1">
      <w:pPr>
        <w:numPr>
          <w:ilvl w:val="0"/>
          <w:numId w:val="6"/>
        </w:numPr>
        <w:pBdr>
          <w:top w:val="nil"/>
          <w:left w:val="nil"/>
          <w:bottom w:val="nil"/>
          <w:right w:val="nil"/>
          <w:between w:val="nil"/>
        </w:pBdr>
        <w:spacing w:before="120" w:after="120" w:line="240" w:lineRule="auto"/>
        <w:ind w:left="1077" w:hanging="357"/>
        <w:jc w:val="both"/>
        <w:rPr>
          <w:i/>
          <w:iCs/>
          <w:color w:val="0070C0"/>
          <w:lang w:val="en-GB"/>
        </w:rPr>
      </w:pPr>
      <w:r w:rsidRPr="00895C8F">
        <w:rPr>
          <w:i/>
          <w:iCs/>
          <w:color w:val="0070C0"/>
          <w:lang w:val="en-GB"/>
        </w:rPr>
        <w:t>Location, frequency and modality of meetings</w:t>
      </w:r>
      <w:r w:rsidRPr="00895C8F" w:rsidR="00083FBB">
        <w:rPr>
          <w:i/>
          <w:iCs/>
          <w:color w:val="0070C0"/>
          <w:lang w:val="en-GB"/>
        </w:rPr>
        <w:t>.</w:t>
      </w:r>
    </w:p>
    <w:p w:rsidRPr="00895C8F" w:rsidR="001B7528" w:rsidP="00E96F61" w:rsidRDefault="001B7528" w14:paraId="1E5B812F" w14:textId="7B5F5692">
      <w:pPr>
        <w:numPr>
          <w:ilvl w:val="0"/>
          <w:numId w:val="6"/>
        </w:numPr>
        <w:pBdr>
          <w:top w:val="nil"/>
          <w:left w:val="nil"/>
          <w:bottom w:val="nil"/>
          <w:right w:val="nil"/>
          <w:between w:val="nil"/>
        </w:pBdr>
        <w:spacing w:before="120" w:after="120" w:line="240" w:lineRule="auto"/>
        <w:ind w:left="1077" w:hanging="357"/>
        <w:jc w:val="both"/>
        <w:rPr>
          <w:i/>
          <w:iCs/>
          <w:color w:val="0070C0"/>
          <w:lang w:val="en-GB"/>
        </w:rPr>
      </w:pPr>
      <w:r w:rsidRPr="00895C8F">
        <w:rPr>
          <w:i/>
          <w:iCs/>
          <w:color w:val="0070C0"/>
          <w:lang w:val="en-GB"/>
        </w:rPr>
        <w:t>Criteria for participation</w:t>
      </w:r>
      <w:r w:rsidRPr="00895C8F" w:rsidR="00083FBB">
        <w:rPr>
          <w:i/>
          <w:iCs/>
          <w:color w:val="0070C0"/>
          <w:lang w:val="en-GB"/>
        </w:rPr>
        <w:t>.</w:t>
      </w:r>
    </w:p>
    <w:p w:rsidRPr="00895C8F" w:rsidR="001B7528" w:rsidP="00E96F61" w:rsidRDefault="001B7528" w14:paraId="3777B22E" w14:textId="0E9D1DFB">
      <w:pPr>
        <w:numPr>
          <w:ilvl w:val="0"/>
          <w:numId w:val="6"/>
        </w:numPr>
        <w:pBdr>
          <w:top w:val="nil"/>
          <w:left w:val="nil"/>
          <w:bottom w:val="nil"/>
          <w:right w:val="nil"/>
          <w:between w:val="nil"/>
        </w:pBdr>
        <w:spacing w:before="120" w:after="120" w:line="240" w:lineRule="auto"/>
        <w:ind w:left="1077" w:hanging="357"/>
        <w:jc w:val="both"/>
        <w:rPr>
          <w:i/>
          <w:iCs/>
          <w:color w:val="0070C0"/>
          <w:lang w:val="en-GB"/>
        </w:rPr>
      </w:pPr>
      <w:r w:rsidRPr="00895C8F">
        <w:rPr>
          <w:i/>
          <w:iCs/>
          <w:color w:val="0070C0"/>
          <w:lang w:val="en-GB"/>
        </w:rPr>
        <w:t>Leadership of the coordination group, including any co-chairing arrangements</w:t>
      </w:r>
      <w:r w:rsidRPr="00895C8F" w:rsidR="00083FBB">
        <w:rPr>
          <w:i/>
          <w:iCs/>
          <w:color w:val="0070C0"/>
          <w:lang w:val="en-GB"/>
        </w:rPr>
        <w:t>.</w:t>
      </w:r>
    </w:p>
    <w:p w:rsidRPr="00895C8F" w:rsidR="001B7528" w:rsidP="00E96F61" w:rsidRDefault="001B7528" w14:paraId="05FB5AD8" w14:textId="0F9ED3BC">
      <w:pPr>
        <w:numPr>
          <w:ilvl w:val="0"/>
          <w:numId w:val="6"/>
        </w:numPr>
        <w:pBdr>
          <w:top w:val="nil"/>
          <w:left w:val="nil"/>
          <w:bottom w:val="nil"/>
          <w:right w:val="nil"/>
          <w:between w:val="nil"/>
        </w:pBdr>
        <w:spacing w:before="120" w:after="120" w:line="240" w:lineRule="auto"/>
        <w:ind w:left="1077" w:hanging="357"/>
        <w:jc w:val="both"/>
        <w:rPr>
          <w:i/>
          <w:iCs/>
          <w:color w:val="0070C0"/>
          <w:lang w:val="en-GB"/>
        </w:rPr>
      </w:pPr>
      <w:r w:rsidRPr="00895C8F">
        <w:rPr>
          <w:i/>
          <w:iCs/>
          <w:color w:val="0070C0"/>
          <w:lang w:val="en-GB"/>
        </w:rPr>
        <w:t xml:space="preserve">Any sub-groups or task forces within the coordination group (e.g. </w:t>
      </w:r>
      <w:r w:rsidRPr="00895C8F" w:rsidR="001E2A55">
        <w:rPr>
          <w:i/>
          <w:iCs/>
          <w:color w:val="0070C0"/>
          <w:lang w:val="en-GB"/>
        </w:rPr>
        <w:t xml:space="preserve">strategic advisory group, case management task force </w:t>
      </w:r>
      <w:r w:rsidRPr="00895C8F" w:rsidR="00461384">
        <w:rPr>
          <w:i/>
          <w:iCs/>
          <w:color w:val="0070C0"/>
          <w:lang w:val="en-GB"/>
        </w:rPr>
        <w:t xml:space="preserve">or </w:t>
      </w:r>
      <w:r w:rsidRPr="00895C8F">
        <w:rPr>
          <w:i/>
          <w:iCs/>
          <w:color w:val="0070C0"/>
          <w:lang w:val="en-GB"/>
        </w:rPr>
        <w:t xml:space="preserve">GBVIMS </w:t>
      </w:r>
      <w:r w:rsidRPr="00895C8F" w:rsidR="001E2A55">
        <w:rPr>
          <w:i/>
          <w:iCs/>
          <w:color w:val="0070C0"/>
          <w:lang w:val="en-GB"/>
        </w:rPr>
        <w:t>task force</w:t>
      </w:r>
      <w:r w:rsidRPr="00895C8F">
        <w:rPr>
          <w:i/>
          <w:iCs/>
          <w:color w:val="0070C0"/>
          <w:lang w:val="en-GB"/>
        </w:rPr>
        <w:t xml:space="preserve">) and/or in collaboration with other sectors/clusters (e.g. </w:t>
      </w:r>
      <w:r w:rsidRPr="00895C8F" w:rsidR="001E2A55">
        <w:rPr>
          <w:i/>
          <w:iCs/>
          <w:color w:val="0070C0"/>
          <w:lang w:val="en-GB"/>
        </w:rPr>
        <w:t>cash and voucher assistance task force/working group), focal point systems in</w:t>
      </w:r>
      <w:r w:rsidRPr="00895C8F">
        <w:rPr>
          <w:i/>
          <w:iCs/>
          <w:color w:val="0070C0"/>
          <w:lang w:val="en-GB"/>
        </w:rPr>
        <w:t xml:space="preserve"> other sectors/clusters</w:t>
      </w:r>
      <w:r w:rsidRPr="00895C8F" w:rsidR="00083FBB">
        <w:rPr>
          <w:i/>
          <w:iCs/>
          <w:color w:val="0070C0"/>
          <w:lang w:val="en-GB"/>
        </w:rPr>
        <w:t>.</w:t>
      </w:r>
    </w:p>
    <w:p w:rsidRPr="00895C8F" w:rsidR="001B7528" w:rsidP="00E96F61" w:rsidRDefault="001B7528" w14:paraId="16D8B290" w14:textId="77777777">
      <w:pPr>
        <w:numPr>
          <w:ilvl w:val="0"/>
          <w:numId w:val="6"/>
        </w:numPr>
        <w:pBdr>
          <w:top w:val="nil"/>
          <w:left w:val="nil"/>
          <w:bottom w:val="nil"/>
          <w:right w:val="nil"/>
          <w:between w:val="nil"/>
        </w:pBdr>
        <w:spacing w:before="120" w:after="120" w:line="240" w:lineRule="auto"/>
        <w:ind w:left="1077" w:hanging="357"/>
        <w:jc w:val="both"/>
        <w:rPr>
          <w:i/>
          <w:iCs/>
          <w:color w:val="0070C0"/>
          <w:lang w:val="en-GB"/>
        </w:rPr>
      </w:pPr>
      <w:r w:rsidRPr="00895C8F">
        <w:rPr>
          <w:i/>
          <w:iCs/>
          <w:color w:val="0070C0"/>
          <w:lang w:val="en-GB"/>
        </w:rPr>
        <w:t>Processes for updating relevant coordination documents including service mapping, referral pathways and these GBV SOPs; and</w:t>
      </w:r>
    </w:p>
    <w:p w:rsidRPr="00895C8F" w:rsidR="001B7528" w:rsidP="00E96F61" w:rsidRDefault="001B7528" w14:paraId="12470A98" w14:textId="588E5061">
      <w:pPr>
        <w:numPr>
          <w:ilvl w:val="0"/>
          <w:numId w:val="6"/>
        </w:numPr>
        <w:pBdr>
          <w:top w:val="nil"/>
          <w:left w:val="nil"/>
          <w:bottom w:val="nil"/>
          <w:right w:val="nil"/>
          <w:between w:val="nil"/>
        </w:pBdr>
        <w:spacing w:before="120" w:after="120" w:line="240" w:lineRule="auto"/>
        <w:ind w:left="1077" w:hanging="357"/>
        <w:jc w:val="both"/>
        <w:rPr>
          <w:i/>
          <w:iCs/>
          <w:color w:val="0070C0"/>
          <w:lang w:val="en-GB"/>
        </w:rPr>
      </w:pPr>
      <w:r w:rsidRPr="00895C8F">
        <w:rPr>
          <w:i/>
          <w:iCs/>
          <w:color w:val="0070C0"/>
          <w:lang w:val="en-GB"/>
        </w:rPr>
        <w:t>Priorities and/or strategies for advocacy.</w:t>
      </w:r>
      <w:r w:rsidRPr="00895C8F" w:rsidR="00895C8F">
        <w:rPr>
          <w:i/>
          <w:iCs/>
          <w:color w:val="0070C0"/>
          <w:lang w:val="en-GB"/>
        </w:rPr>
        <w:t>]</w:t>
      </w:r>
    </w:p>
    <w:p w:rsidRPr="00027E73" w:rsidR="003B0E6F" w:rsidP="0068047E" w:rsidRDefault="003B0E6F" w14:paraId="616C499F" w14:textId="6FCCB485">
      <w:pPr>
        <w:pStyle w:val="Heading3"/>
      </w:pPr>
      <w:bookmarkStart w:name="_Toc134906299" w:id="160"/>
      <w:bookmarkStart w:name="_Toc142469169" w:id="161"/>
      <w:r w:rsidRPr="00027E73">
        <w:t xml:space="preserve">Information </w:t>
      </w:r>
      <w:r w:rsidRPr="00027E73" w:rsidR="004C6F00">
        <w:t>management for coordination purposes</w:t>
      </w:r>
      <w:bookmarkEnd w:id="160"/>
      <w:bookmarkEnd w:id="161"/>
    </w:p>
    <w:p w:rsidRPr="009F7561" w:rsidR="003B0E6F" w:rsidP="00AA0924" w:rsidRDefault="003B0E6F" w14:paraId="5292F2A6" w14:textId="34AC32A1">
      <w:pPr>
        <w:spacing w:before="120" w:after="120" w:line="300" w:lineRule="atLeast"/>
        <w:jc w:val="both"/>
        <w:rPr>
          <w:lang w:val="en-GB"/>
        </w:rPr>
      </w:pPr>
      <w:r w:rsidRPr="009F7561">
        <w:rPr>
          <w:lang w:val="en-GB"/>
        </w:rPr>
        <w:t xml:space="preserve">Information management is an essential function of GBV coordination, </w:t>
      </w:r>
      <w:r w:rsidRPr="009F7561" w:rsidR="00EB7B4A">
        <w:rPr>
          <w:lang w:val="en-GB"/>
        </w:rPr>
        <w:t>support</w:t>
      </w:r>
      <w:r w:rsidR="00EB7B4A">
        <w:rPr>
          <w:lang w:val="en-GB"/>
        </w:rPr>
        <w:t>ing</w:t>
      </w:r>
      <w:r w:rsidRPr="009F7561" w:rsidR="00EB7B4A">
        <w:rPr>
          <w:lang w:val="en-GB"/>
        </w:rPr>
        <w:t xml:space="preserve"> </w:t>
      </w:r>
      <w:r w:rsidRPr="009F7561">
        <w:rPr>
          <w:lang w:val="en-GB"/>
        </w:rPr>
        <w:t>GBV actors to better understand, visualize and respond to needs, priorities and service gaps. This section describes the collection, compilation, analysis and use of different kinds of information to inform coordination. This section</w:t>
      </w:r>
      <w:r w:rsidR="00842EB6">
        <w:rPr>
          <w:lang w:val="en-GB"/>
        </w:rPr>
        <w:t xml:space="preserve"> </w:t>
      </w:r>
      <w:r w:rsidRPr="009F7561">
        <w:rPr>
          <w:lang w:val="en-GB"/>
        </w:rPr>
        <w:t>includes assessments, service mapping</w:t>
      </w:r>
      <w:r w:rsidRPr="009F7561" w:rsidR="008A1575">
        <w:rPr>
          <w:lang w:val="en-GB"/>
        </w:rPr>
        <w:t xml:space="preserve"> and </w:t>
      </w:r>
      <w:r w:rsidRPr="009F7561">
        <w:rPr>
          <w:lang w:val="en-GB"/>
        </w:rPr>
        <w:t xml:space="preserve">response monitoring data, as well as the use of aggregated, non-identifiable GBV incident data for the purposes of trend analysis to inform service provision (see </w:t>
      </w:r>
      <w:r w:rsidRPr="009F7561" w:rsidR="00CB5A06">
        <w:rPr>
          <w:lang w:val="en-GB"/>
        </w:rPr>
        <w:t>section</w:t>
      </w:r>
      <w:r w:rsidRPr="009F7561">
        <w:rPr>
          <w:lang w:val="en-GB"/>
        </w:rPr>
        <w:t xml:space="preserve"> 9.1.1.1). </w:t>
      </w:r>
      <w:r w:rsidRPr="00842EB6" w:rsidR="00842EB6">
        <w:rPr>
          <w:lang w:val="en-GB"/>
        </w:rPr>
        <w:t>See section 4.1</w:t>
      </w:r>
      <w:r w:rsidR="00842EB6">
        <w:rPr>
          <w:lang w:val="en-GB"/>
        </w:rPr>
        <w:t xml:space="preserve"> </w:t>
      </w:r>
      <w:r w:rsidRPr="009F7561" w:rsidR="00842EB6">
        <w:rPr>
          <w:lang w:val="en-GB"/>
        </w:rPr>
        <w:t>f</w:t>
      </w:r>
      <w:r w:rsidRPr="009F7561">
        <w:rPr>
          <w:lang w:val="en-GB"/>
        </w:rPr>
        <w:t>or information on identifiable survivor data collected as part of case management.</w:t>
      </w:r>
      <w:r w:rsidRPr="009F7561" w:rsidR="003C264D">
        <w:rPr>
          <w:lang w:val="en-GB"/>
        </w:rPr>
        <w:t xml:space="preserve"> </w:t>
      </w:r>
      <w:r w:rsidRPr="009F7561">
        <w:rPr>
          <w:lang w:val="en-GB"/>
        </w:rPr>
        <w:t>This type of case information should</w:t>
      </w:r>
      <w:r w:rsidR="0097070C">
        <w:rPr>
          <w:lang w:val="en-GB"/>
        </w:rPr>
        <w:t xml:space="preserve"> </w:t>
      </w:r>
      <w:r w:rsidRPr="009F7561">
        <w:rPr>
          <w:lang w:val="en-GB"/>
        </w:rPr>
        <w:t>never be shared for the purposes of trend analysis.</w:t>
      </w:r>
      <w:r w:rsidRPr="009F7561" w:rsidR="003C264D">
        <w:rPr>
          <w:lang w:val="en-GB"/>
        </w:rPr>
        <w:t xml:space="preserve"> </w:t>
      </w:r>
    </w:p>
    <w:p w:rsidRPr="009F7561" w:rsidR="003B0E6F" w:rsidP="00AA0924" w:rsidRDefault="003B0E6F" w14:paraId="70FFB606" w14:textId="49F360D4">
      <w:pPr>
        <w:spacing w:before="120" w:after="120" w:line="300" w:lineRule="atLeast"/>
        <w:jc w:val="both"/>
        <w:rPr>
          <w:lang w:val="en-GB"/>
        </w:rPr>
      </w:pPr>
      <w:r w:rsidRPr="009F7561">
        <w:rPr>
          <w:lang w:val="en-GB"/>
        </w:rPr>
        <w:t>GBV</w:t>
      </w:r>
      <w:r w:rsidR="0097070C">
        <w:rPr>
          <w:lang w:val="en-GB"/>
        </w:rPr>
        <w:t>-</w:t>
      </w:r>
      <w:r w:rsidRPr="009F7561">
        <w:rPr>
          <w:lang w:val="en-GB"/>
        </w:rPr>
        <w:t xml:space="preserve">related data </w:t>
      </w:r>
      <w:r w:rsidRPr="0097070C" w:rsidR="0097070C">
        <w:rPr>
          <w:lang w:val="en-GB"/>
        </w:rPr>
        <w:t xml:space="preserve">should never be sought from survivors </w:t>
      </w:r>
      <w:r w:rsidRPr="009F7561">
        <w:rPr>
          <w:lang w:val="en-GB"/>
        </w:rPr>
        <w:t>for any purposes beside</w:t>
      </w:r>
      <w:r w:rsidR="0097070C">
        <w:rPr>
          <w:lang w:val="en-GB"/>
        </w:rPr>
        <w:t>s</w:t>
      </w:r>
      <w:r w:rsidRPr="009F7561">
        <w:rPr>
          <w:lang w:val="en-GB"/>
        </w:rPr>
        <w:t xml:space="preserve"> direct service provision. For example, needs assessments should</w:t>
      </w:r>
      <w:r w:rsidR="00D1153B">
        <w:rPr>
          <w:lang w:val="en-GB"/>
        </w:rPr>
        <w:t xml:space="preserve"> </w:t>
      </w:r>
      <w:r w:rsidRPr="009F7561">
        <w:rPr>
          <w:lang w:val="en-GB"/>
        </w:rPr>
        <w:t>not seek to collect data on survivors</w:t>
      </w:r>
      <w:r w:rsidRPr="009F7561" w:rsidR="00E53618">
        <w:rPr>
          <w:lang w:val="en-GB"/>
        </w:rPr>
        <w:t>’</w:t>
      </w:r>
      <w:r w:rsidRPr="009F7561">
        <w:rPr>
          <w:lang w:val="en-GB"/>
        </w:rPr>
        <w:t xml:space="preserve"> experiences of GBV</w:t>
      </w:r>
      <w:r w:rsidRPr="009F7561" w:rsidR="00453CF7">
        <w:rPr>
          <w:lang w:val="en-GB"/>
        </w:rPr>
        <w:t xml:space="preserve"> and should</w:t>
      </w:r>
      <w:r w:rsidR="00D1153B">
        <w:rPr>
          <w:lang w:val="en-GB"/>
        </w:rPr>
        <w:t xml:space="preserve"> </w:t>
      </w:r>
      <w:r w:rsidRPr="009F7561" w:rsidR="00453CF7">
        <w:rPr>
          <w:lang w:val="en-GB"/>
        </w:rPr>
        <w:t xml:space="preserve">not be conducted </w:t>
      </w:r>
      <w:r w:rsidRPr="009F7561" w:rsidR="00604D5A">
        <w:rPr>
          <w:lang w:val="en-GB"/>
        </w:rPr>
        <w:t>if essential GBV response services are not in place</w:t>
      </w:r>
      <w:r w:rsidRPr="009F7561">
        <w:rPr>
          <w:lang w:val="en-GB"/>
        </w:rPr>
        <w:t xml:space="preserve">. All parties to these GBV SOPs agree to uphold </w:t>
      </w:r>
      <w:r w:rsidR="00D1153B">
        <w:rPr>
          <w:lang w:val="en-GB"/>
        </w:rPr>
        <w:t xml:space="preserve">the </w:t>
      </w:r>
      <w:r w:rsidRPr="009F7561">
        <w:rPr>
          <w:lang w:val="en-GB"/>
        </w:rPr>
        <w:t>principles of confidentiality (e.g. no information is shared that could be used to identify the survivor, the alleged perpetrator, the family or the community of the survivor)</w:t>
      </w:r>
      <w:r w:rsidRPr="009F7561" w:rsidR="008A1575">
        <w:rPr>
          <w:lang w:val="en-GB"/>
        </w:rPr>
        <w:t xml:space="preserve"> and </w:t>
      </w:r>
      <w:r w:rsidR="00D44229">
        <w:rPr>
          <w:lang w:val="en-GB"/>
        </w:rPr>
        <w:t xml:space="preserve">of </w:t>
      </w:r>
      <w:r w:rsidRPr="009F7561">
        <w:rPr>
          <w:lang w:val="en-GB"/>
        </w:rPr>
        <w:t>informed consent (survivors</w:t>
      </w:r>
      <w:r w:rsidRPr="009F7561" w:rsidR="00E53618">
        <w:rPr>
          <w:lang w:val="en-GB"/>
        </w:rPr>
        <w:t>’</w:t>
      </w:r>
      <w:r w:rsidRPr="009F7561">
        <w:rPr>
          <w:lang w:val="en-GB"/>
        </w:rPr>
        <w:t xml:space="preserve"> control over their data must be respected at all times). </w:t>
      </w:r>
    </w:p>
    <w:p w:rsidRPr="009F7561" w:rsidR="003B0E6F" w:rsidP="00AA0924" w:rsidRDefault="003B0E6F" w14:paraId="4BD770B1" w14:textId="1F18EC93">
      <w:pPr>
        <w:spacing w:before="120" w:after="120" w:line="300" w:lineRule="atLeast"/>
        <w:jc w:val="both"/>
        <w:rPr>
          <w:lang w:val="en-GB"/>
        </w:rPr>
      </w:pPr>
      <w:r w:rsidRPr="009F7561">
        <w:rPr>
          <w:lang w:val="en-GB"/>
        </w:rPr>
        <w:t>It is inappropriate to share a survivor</w:t>
      </w:r>
      <w:r w:rsidRPr="009F7561" w:rsidR="00315391">
        <w:rPr>
          <w:lang w:val="en-GB"/>
        </w:rPr>
        <w:t>’s</w:t>
      </w:r>
      <w:r w:rsidRPr="009F7561">
        <w:rPr>
          <w:lang w:val="en-GB"/>
        </w:rPr>
        <w:t xml:space="preserve"> de-identified data (even in aggregate form) unless proper and agreed </w:t>
      </w:r>
      <w:r w:rsidRPr="009F7561" w:rsidR="00D44229">
        <w:rPr>
          <w:lang w:val="en-GB"/>
        </w:rPr>
        <w:t>information</w:t>
      </w:r>
      <w:r w:rsidR="00D44229">
        <w:rPr>
          <w:lang w:val="en-GB"/>
        </w:rPr>
        <w:t>-</w:t>
      </w:r>
      <w:r w:rsidRPr="009F7561">
        <w:rPr>
          <w:lang w:val="en-GB"/>
        </w:rPr>
        <w:t>sharing protocols are in place</w:t>
      </w:r>
      <w:r w:rsidRPr="009F7561" w:rsidR="008A1575">
        <w:rPr>
          <w:lang w:val="en-GB"/>
        </w:rPr>
        <w:t xml:space="preserve"> and </w:t>
      </w:r>
      <w:r w:rsidRPr="009F7561">
        <w:rPr>
          <w:lang w:val="en-GB"/>
        </w:rPr>
        <w:t>informed consent conversations with survivor</w:t>
      </w:r>
      <w:r w:rsidR="00D44229">
        <w:rPr>
          <w:lang w:val="en-GB"/>
        </w:rPr>
        <w:t>s</w:t>
      </w:r>
      <w:r w:rsidRPr="009F7561">
        <w:rPr>
          <w:lang w:val="en-GB"/>
        </w:rPr>
        <w:t xml:space="preserve"> make clear how </w:t>
      </w:r>
      <w:r w:rsidR="00D44229">
        <w:rPr>
          <w:lang w:val="en-GB"/>
        </w:rPr>
        <w:t xml:space="preserve">their </w:t>
      </w:r>
      <w:r w:rsidRPr="009F7561">
        <w:rPr>
          <w:lang w:val="en-GB"/>
        </w:rPr>
        <w:t>data will be used, by whom</w:t>
      </w:r>
      <w:r w:rsidRPr="009F7561" w:rsidR="008A1575">
        <w:rPr>
          <w:lang w:val="en-GB"/>
        </w:rPr>
        <w:t xml:space="preserve"> and </w:t>
      </w:r>
      <w:r w:rsidRPr="009F7561">
        <w:rPr>
          <w:lang w:val="en-GB"/>
        </w:rPr>
        <w:t>for what purposes</w:t>
      </w:r>
      <w:r w:rsidRPr="009F7561" w:rsidR="008A1575">
        <w:rPr>
          <w:lang w:val="en-GB"/>
        </w:rPr>
        <w:t xml:space="preserve"> and </w:t>
      </w:r>
      <w:r w:rsidRPr="009F7561">
        <w:rPr>
          <w:lang w:val="en-GB"/>
        </w:rPr>
        <w:t xml:space="preserve">that </w:t>
      </w:r>
      <w:r w:rsidR="00D44229">
        <w:rPr>
          <w:lang w:val="en-GB"/>
        </w:rPr>
        <w:t xml:space="preserve">they </w:t>
      </w:r>
      <w:r w:rsidRPr="009F7561">
        <w:rPr>
          <w:lang w:val="en-GB"/>
        </w:rPr>
        <w:t xml:space="preserve">consent to share </w:t>
      </w:r>
      <w:r w:rsidR="00D44229">
        <w:rPr>
          <w:lang w:val="en-GB"/>
        </w:rPr>
        <w:t xml:space="preserve">their </w:t>
      </w:r>
      <w:r w:rsidRPr="009F7561">
        <w:rPr>
          <w:lang w:val="en-GB"/>
        </w:rPr>
        <w:t>data under those conditions.</w:t>
      </w:r>
    </w:p>
    <w:p w:rsidRPr="00585205" w:rsidR="003B0E6F" w:rsidP="004C3FCD" w:rsidRDefault="003B0E6F" w14:paraId="07ECEA32" w14:textId="763968C3">
      <w:pPr>
        <w:pStyle w:val="Heading4"/>
      </w:pPr>
      <w:bookmarkStart w:name="_Toc134906300" w:id="162"/>
      <w:r w:rsidRPr="00585205">
        <w:t xml:space="preserve">Incident </w:t>
      </w:r>
      <w:r w:rsidRPr="00585205" w:rsidR="00E53618">
        <w:t xml:space="preserve">monitoring: using aggregated </w:t>
      </w:r>
      <w:r w:rsidRPr="00585205">
        <w:t xml:space="preserve">GBV </w:t>
      </w:r>
      <w:r w:rsidRPr="00585205" w:rsidR="00E53618">
        <w:t>incident data to inform service provision</w:t>
      </w:r>
      <w:bookmarkEnd w:id="162"/>
    </w:p>
    <w:p w:rsidRPr="009F7561" w:rsidR="003B0E6F" w:rsidP="00AA0924" w:rsidRDefault="003B0E6F" w14:paraId="29BD5E49" w14:textId="13784C38">
      <w:pPr>
        <w:spacing w:before="120" w:after="120" w:line="300" w:lineRule="atLeast"/>
        <w:jc w:val="both"/>
        <w:rPr>
          <w:lang w:val="en-GB"/>
        </w:rPr>
      </w:pPr>
      <w:r w:rsidRPr="009F7561">
        <w:rPr>
          <w:lang w:val="en-GB"/>
        </w:rPr>
        <w:t>GBV incident data is extremely sensitive</w:t>
      </w:r>
      <w:r w:rsidR="00D823D2">
        <w:rPr>
          <w:lang w:val="en-GB"/>
        </w:rPr>
        <w:t>,</w:t>
      </w:r>
      <w:r w:rsidRPr="009F7561">
        <w:rPr>
          <w:lang w:val="en-GB"/>
        </w:rPr>
        <w:t xml:space="preserve"> and its collection, storage and sharing can pose serious safety risks to survivors, their families</w:t>
      </w:r>
      <w:r w:rsidRPr="009F7561" w:rsidR="00F81FA7">
        <w:rPr>
          <w:lang w:val="en-GB"/>
        </w:rPr>
        <w:t xml:space="preserve"> and</w:t>
      </w:r>
      <w:r w:rsidRPr="009F7561">
        <w:rPr>
          <w:lang w:val="en-GB"/>
        </w:rPr>
        <w:t xml:space="preserve"> communities</w:t>
      </w:r>
      <w:r w:rsidR="000020C5">
        <w:rPr>
          <w:lang w:val="en-GB"/>
        </w:rPr>
        <w:t xml:space="preserve"> as well as </w:t>
      </w:r>
      <w:r w:rsidRPr="009F7561">
        <w:rPr>
          <w:lang w:val="en-GB"/>
        </w:rPr>
        <w:t>to caseworkers and their organ</w:t>
      </w:r>
      <w:r w:rsidRPr="009F7561" w:rsidR="002D1850">
        <w:rPr>
          <w:lang w:val="en-GB"/>
        </w:rPr>
        <w:t>iza</w:t>
      </w:r>
      <w:r w:rsidRPr="009F7561">
        <w:rPr>
          <w:lang w:val="en-GB"/>
        </w:rPr>
        <w:t>tions. It is critical to carry out a risk analysis prior to initiating data collection and sharing survivor data.</w:t>
      </w:r>
      <w:r w:rsidRPr="009F7561" w:rsidR="003C264D">
        <w:rPr>
          <w:lang w:val="en-GB"/>
        </w:rPr>
        <w:t xml:space="preserve"> </w:t>
      </w:r>
      <w:r w:rsidRPr="009F7561">
        <w:rPr>
          <w:lang w:val="en-GB"/>
        </w:rPr>
        <w:t xml:space="preserve"> </w:t>
      </w:r>
    </w:p>
    <w:p w:rsidRPr="009F7561" w:rsidR="003B0E6F" w:rsidP="00AA0924" w:rsidRDefault="003B0E6F" w14:paraId="2D4933B4" w14:textId="1A7CF978">
      <w:pPr>
        <w:spacing w:before="120" w:after="120" w:line="300" w:lineRule="atLeast"/>
        <w:jc w:val="both"/>
        <w:rPr>
          <w:lang w:val="en-GB"/>
        </w:rPr>
      </w:pPr>
      <w:r w:rsidRPr="009F7561">
        <w:rPr>
          <w:lang w:val="en-GB"/>
        </w:rPr>
        <w:t xml:space="preserve">For the purpose of </w:t>
      </w:r>
      <w:r w:rsidR="00D823D2">
        <w:rPr>
          <w:lang w:val="en-GB"/>
        </w:rPr>
        <w:t>i</w:t>
      </w:r>
      <w:r w:rsidR="00D15C40">
        <w:rPr>
          <w:lang w:val="en-GB"/>
        </w:rPr>
        <w:t>nter-agency</w:t>
      </w:r>
      <w:r w:rsidRPr="009F7561">
        <w:rPr>
          <w:lang w:val="en-GB"/>
        </w:rPr>
        <w:t xml:space="preserve"> trend analysis and coordination, GBV incident data can be compiled from multiple service providers into reports for analysis at </w:t>
      </w:r>
      <w:r w:rsidR="00D15C40">
        <w:rPr>
          <w:lang w:val="en-GB"/>
        </w:rPr>
        <w:t>inter-agency</w:t>
      </w:r>
      <w:r w:rsidRPr="009F7561">
        <w:rPr>
          <w:lang w:val="en-GB"/>
        </w:rPr>
        <w:t xml:space="preserve"> level; however, the sharing of data and reporting should always be limited to non-identifiable, aggregate-level data. Data sharing at this level should only happen if the service provision organ</w:t>
      </w:r>
      <w:r w:rsidRPr="009F7561" w:rsidR="002D1850">
        <w:rPr>
          <w:lang w:val="en-GB"/>
        </w:rPr>
        <w:t>iza</w:t>
      </w:r>
      <w:r w:rsidRPr="009F7561">
        <w:rPr>
          <w:lang w:val="en-GB"/>
        </w:rPr>
        <w:t xml:space="preserve">tions are collecting a standardized dataset, preferably as part of the same information management system (e.g. GBVIMS) and have an information-sharing protocol in place with agreed rules on how data should be shared and used, as well as training on safety and ethics in GBV data management. Because multiple providers often operate in the same area and provide services to the same population, the ability to produce high-quality GBV incident data that can be safely shared and analysed at the </w:t>
      </w:r>
      <w:r w:rsidR="00D15C40">
        <w:rPr>
          <w:lang w:val="en-GB"/>
        </w:rPr>
        <w:t>inter-agency</w:t>
      </w:r>
      <w:r w:rsidRPr="009F7561">
        <w:rPr>
          <w:lang w:val="en-GB"/>
        </w:rPr>
        <w:t xml:space="preserve"> level is a critical step towards understanding trends in reported cases and ensuring a coordinated response.</w:t>
      </w:r>
      <w:r w:rsidRPr="009F7561" w:rsidR="003C264D">
        <w:rPr>
          <w:lang w:val="en-GB"/>
        </w:rPr>
        <w:t xml:space="preserve"> </w:t>
      </w:r>
    </w:p>
    <w:p w:rsidRPr="009F7561" w:rsidR="003B0E6F" w:rsidP="00AA0924" w:rsidRDefault="003B0E6F" w14:paraId="06616DBB" w14:textId="0F5F4044">
      <w:pPr>
        <w:spacing w:before="120" w:after="120" w:line="300" w:lineRule="atLeast"/>
        <w:jc w:val="both"/>
        <w:rPr>
          <w:lang w:val="en-GB"/>
        </w:rPr>
      </w:pPr>
      <w:r w:rsidRPr="009F7561">
        <w:rPr>
          <w:lang w:val="en-GB"/>
        </w:rPr>
        <w:t xml:space="preserve">In insecure environments, contingency plans should be in place at </w:t>
      </w:r>
      <w:r w:rsidR="00D15C40">
        <w:rPr>
          <w:lang w:val="en-GB"/>
        </w:rPr>
        <w:t>inter-agency</w:t>
      </w:r>
      <w:r w:rsidRPr="009F7561">
        <w:rPr>
          <w:lang w:val="en-GB"/>
        </w:rPr>
        <w:t xml:space="preserve"> level to ensure that data evacuation and destruction protocols are clear and agreed upon. </w:t>
      </w:r>
    </w:p>
    <w:p w:rsidRPr="009F7561" w:rsidR="003B0E6F" w:rsidP="00AA0924" w:rsidRDefault="00D15C40" w14:paraId="49FBB94C" w14:textId="1AB7CCC2">
      <w:pPr>
        <w:spacing w:before="120" w:after="120" w:line="300" w:lineRule="atLeast"/>
        <w:jc w:val="both"/>
        <w:rPr>
          <w:lang w:val="en-GB"/>
        </w:rPr>
      </w:pPr>
      <w:r>
        <w:rPr>
          <w:lang w:val="en-GB"/>
        </w:rPr>
        <w:t>Inter-agency</w:t>
      </w:r>
      <w:r w:rsidRPr="009F7561" w:rsidR="003B0E6F">
        <w:rPr>
          <w:lang w:val="en-GB"/>
        </w:rPr>
        <w:t xml:space="preserve"> GBV information</w:t>
      </w:r>
      <w:r w:rsidRPr="009F7561" w:rsidR="00194F51">
        <w:rPr>
          <w:lang w:val="en-GB"/>
        </w:rPr>
        <w:t>-</w:t>
      </w:r>
      <w:r w:rsidRPr="009F7561" w:rsidR="003B0E6F">
        <w:rPr>
          <w:lang w:val="en-GB"/>
        </w:rPr>
        <w:t>sharing protocols must take into account (1) what information is being shared, (2) how it will be used, (3) at what levels (within an organ</w:t>
      </w:r>
      <w:r w:rsidRPr="009F7561" w:rsidR="002D1850">
        <w:rPr>
          <w:lang w:val="en-GB"/>
        </w:rPr>
        <w:t>iza</w:t>
      </w:r>
      <w:r w:rsidRPr="009F7561" w:rsidR="003B0E6F">
        <w:rPr>
          <w:lang w:val="en-GB"/>
        </w:rPr>
        <w:t xml:space="preserve">tion, among signatories to the </w:t>
      </w:r>
      <w:r w:rsidRPr="009F7561" w:rsidR="007B10E8">
        <w:rPr>
          <w:lang w:val="en-GB"/>
        </w:rPr>
        <w:t>information</w:t>
      </w:r>
      <w:r w:rsidR="007B10E8">
        <w:rPr>
          <w:lang w:val="en-GB"/>
        </w:rPr>
        <w:t>-</w:t>
      </w:r>
      <w:r w:rsidRPr="009F7561" w:rsidR="003B0E6F">
        <w:rPr>
          <w:lang w:val="en-GB"/>
        </w:rPr>
        <w:t>sharing protocol, external to protocol signatories</w:t>
      </w:r>
      <w:r w:rsidRPr="009F7561" w:rsidR="00D0221D">
        <w:rPr>
          <w:lang w:val="en-GB"/>
        </w:rPr>
        <w:t xml:space="preserve"> and </w:t>
      </w:r>
      <w:r w:rsidRPr="009F7561" w:rsidR="003B0E6F">
        <w:rPr>
          <w:lang w:val="en-GB"/>
        </w:rPr>
        <w:t>geographic levels of sharing).</w:t>
      </w:r>
      <w:r w:rsidRPr="009F7561" w:rsidR="003B0E6F">
        <w:rPr>
          <w:vertAlign w:val="superscript"/>
          <w:lang w:val="en-GB"/>
        </w:rPr>
        <w:footnoteReference w:id="143"/>
      </w:r>
    </w:p>
    <w:p w:rsidRPr="009F7561" w:rsidR="003B0E6F" w:rsidP="00AA0924" w:rsidRDefault="003B0E6F" w14:paraId="7F1CCF80" w14:textId="4F923D1E">
      <w:pPr>
        <w:spacing w:before="120" w:after="120" w:line="300" w:lineRule="atLeast"/>
        <w:jc w:val="both"/>
        <w:rPr>
          <w:lang w:val="en-GB"/>
        </w:rPr>
      </w:pPr>
      <w:r w:rsidRPr="009F7561">
        <w:rPr>
          <w:lang w:val="en-GB"/>
        </w:rPr>
        <w:t>In order to develop such agreements, organ</w:t>
      </w:r>
      <w:r w:rsidRPr="009F7561" w:rsidR="002D1850">
        <w:rPr>
          <w:lang w:val="en-GB"/>
        </w:rPr>
        <w:t>iza</w:t>
      </w:r>
      <w:r w:rsidRPr="009F7561">
        <w:rPr>
          <w:lang w:val="en-GB"/>
        </w:rPr>
        <w:t>tions collecting survivor data through service provision should agree on using the same information management system, such as one based on the GBVIMS to allow for standardized data. Signatories to these protocols are limited to organ</w:t>
      </w:r>
      <w:r w:rsidRPr="009F7561" w:rsidR="002D1850">
        <w:rPr>
          <w:lang w:val="en-GB"/>
        </w:rPr>
        <w:t>iza</w:t>
      </w:r>
      <w:r w:rsidRPr="009F7561">
        <w:rPr>
          <w:lang w:val="en-GB"/>
        </w:rPr>
        <w:t xml:space="preserve">tions providing direct service provision for GBV survivors (usually GBV </w:t>
      </w:r>
      <w:r w:rsidRPr="009F7561" w:rsidR="00E77EF7">
        <w:rPr>
          <w:lang w:val="en-GB"/>
        </w:rPr>
        <w:t xml:space="preserve">case management </w:t>
      </w:r>
      <w:r w:rsidRPr="009F7561">
        <w:rPr>
          <w:lang w:val="en-GB"/>
        </w:rPr>
        <w:t>services) and collecting data as part of that service provision</w:t>
      </w:r>
      <w:r w:rsidRPr="009F7561" w:rsidR="00D0221D">
        <w:rPr>
          <w:lang w:val="en-GB"/>
        </w:rPr>
        <w:t xml:space="preserve"> and </w:t>
      </w:r>
      <w:r w:rsidRPr="009F7561">
        <w:rPr>
          <w:lang w:val="en-GB"/>
        </w:rPr>
        <w:t>those agencies supporting the implementation of the information management system.</w:t>
      </w:r>
      <w:r w:rsidRPr="009F7561" w:rsidR="003C264D">
        <w:rPr>
          <w:lang w:val="en-GB"/>
        </w:rPr>
        <w:t xml:space="preserve"> </w:t>
      </w:r>
    </w:p>
    <w:p w:rsidRPr="009F7561" w:rsidR="003B0E6F" w:rsidP="00AA0924" w:rsidRDefault="003B0E6F" w14:paraId="3FF00A35" w14:textId="2B30836F">
      <w:pPr>
        <w:spacing w:before="120" w:after="120" w:line="300" w:lineRule="atLeast"/>
        <w:jc w:val="both"/>
        <w:rPr>
          <w:lang w:val="en-GB"/>
        </w:rPr>
      </w:pPr>
      <w:r w:rsidRPr="009F7561">
        <w:rPr>
          <w:lang w:val="en-GB"/>
        </w:rPr>
        <w:t>In the first weeks and months of a rapid onset emergency</w:t>
      </w:r>
      <w:r w:rsidRPr="009F7561" w:rsidR="00461384">
        <w:rPr>
          <w:lang w:val="en-GB"/>
        </w:rPr>
        <w:t xml:space="preserve"> or </w:t>
      </w:r>
      <w:r w:rsidRPr="009F7561">
        <w:rPr>
          <w:lang w:val="en-GB"/>
        </w:rPr>
        <w:t xml:space="preserve">in contexts where a limited amount of documentation and data sharing is possible, a simplified version of standardized tools and </w:t>
      </w:r>
      <w:r w:rsidR="007B10E8">
        <w:rPr>
          <w:lang w:val="en-GB"/>
        </w:rPr>
        <w:t>information-sharing protocol</w:t>
      </w:r>
      <w:r w:rsidRPr="009F7561">
        <w:rPr>
          <w:lang w:val="en-GB"/>
        </w:rPr>
        <w:t xml:space="preserve">s </w:t>
      </w:r>
      <w:r w:rsidR="00534497">
        <w:rPr>
          <w:lang w:val="en-GB"/>
        </w:rPr>
        <w:t>is</w:t>
      </w:r>
      <w:r w:rsidRPr="009F7561" w:rsidR="00534497">
        <w:rPr>
          <w:lang w:val="en-GB"/>
        </w:rPr>
        <w:t xml:space="preserve"> </w:t>
      </w:r>
      <w:r w:rsidRPr="009F7561">
        <w:rPr>
          <w:lang w:val="en-GB"/>
        </w:rPr>
        <w:t>available.</w:t>
      </w:r>
      <w:r w:rsidRPr="009F7561">
        <w:rPr>
          <w:vertAlign w:val="superscript"/>
          <w:lang w:val="en-GB"/>
        </w:rPr>
        <w:footnoteReference w:id="144"/>
      </w:r>
      <w:r w:rsidRPr="009F7561">
        <w:rPr>
          <w:lang w:val="en-GB"/>
        </w:rPr>
        <w:t xml:space="preserve"> This can be used to assist response coordination and mitigate the risk of any unsafe data collection and information sharing. The simplified system should</w:t>
      </w:r>
      <w:r w:rsidR="004F35B4">
        <w:rPr>
          <w:lang w:val="en-GB"/>
        </w:rPr>
        <w:t xml:space="preserve"> </w:t>
      </w:r>
      <w:r w:rsidRPr="009F7561">
        <w:rPr>
          <w:lang w:val="en-GB"/>
        </w:rPr>
        <w:t>only be used as an interim solution until more comprehensive system (such as the GBVIMS) are able to be established. This is only a solution if all of the minimum criteria for data protection and security and other established best practices around GBV data collection can be met.</w:t>
      </w:r>
    </w:p>
    <w:p w:rsidRPr="00AA0924" w:rsidR="003B0E6F" w:rsidP="00AA0924" w:rsidRDefault="00AA0924" w14:paraId="67F62AC3" w14:textId="5C287FB3">
      <w:pPr>
        <w:spacing w:before="120" w:after="120" w:line="300" w:lineRule="atLeast"/>
        <w:jc w:val="both"/>
        <w:rPr>
          <w:i/>
          <w:iCs/>
          <w:color w:val="0070C0"/>
          <w:lang w:val="en-GB"/>
        </w:rPr>
      </w:pPr>
      <w:r w:rsidRPr="00AA0924">
        <w:rPr>
          <w:i/>
          <w:iCs/>
          <w:color w:val="0070C0"/>
          <w:lang w:val="en-GB"/>
        </w:rPr>
        <w:t>[</w:t>
      </w:r>
      <w:r w:rsidRPr="00AA0924" w:rsidR="003B0E6F">
        <w:rPr>
          <w:i/>
          <w:iCs/>
          <w:color w:val="0070C0"/>
          <w:lang w:val="en-GB"/>
        </w:rPr>
        <w:t>Summar</w:t>
      </w:r>
      <w:r w:rsidRPr="00AA0924" w:rsidR="005E1813">
        <w:rPr>
          <w:i/>
          <w:iCs/>
          <w:color w:val="0070C0"/>
          <w:lang w:val="en-GB"/>
        </w:rPr>
        <w:t>ize</w:t>
      </w:r>
      <w:r w:rsidRPr="00AA0924" w:rsidR="003B0E6F">
        <w:rPr>
          <w:i/>
          <w:iCs/>
          <w:color w:val="0070C0"/>
          <w:lang w:val="en-GB"/>
        </w:rPr>
        <w:t xml:space="preserve"> here any systems that are in place for collecting, analysing and sharing any aggregated data related to GBV incidents (e.g. GBVIMS+/Primero or </w:t>
      </w:r>
      <w:proofErr w:type="spellStart"/>
      <w:r w:rsidRPr="00AA0924" w:rsidR="003B0E6F">
        <w:rPr>
          <w:i/>
          <w:iCs/>
          <w:color w:val="0070C0"/>
          <w:lang w:val="en-GB"/>
        </w:rPr>
        <w:t>ProGres</w:t>
      </w:r>
      <w:proofErr w:type="spellEnd"/>
      <w:r w:rsidRPr="00AA0924" w:rsidR="003B0E6F">
        <w:rPr>
          <w:i/>
          <w:iCs/>
          <w:color w:val="0070C0"/>
          <w:lang w:val="en-GB"/>
        </w:rPr>
        <w:t>). State whether an information-sharing protocol is in place or describe the process to establish one.</w:t>
      </w:r>
      <w:r w:rsidRPr="00AA0924">
        <w:rPr>
          <w:i/>
          <w:iCs/>
          <w:color w:val="0070C0"/>
          <w:lang w:val="en-GB"/>
        </w:rPr>
        <w:t>]</w:t>
      </w:r>
    </w:p>
    <w:p w:rsidRPr="00531F29" w:rsidR="003B0E6F" w:rsidP="004C3FCD" w:rsidRDefault="003B0E6F" w14:paraId="69D35906" w14:textId="712E6A35">
      <w:pPr>
        <w:pStyle w:val="Heading4"/>
      </w:pPr>
      <w:bookmarkStart w:name="_Toc134906301" w:id="163"/>
      <w:r w:rsidRPr="00531F29">
        <w:t xml:space="preserve">Management of other GBV-related </w:t>
      </w:r>
      <w:r w:rsidRPr="00531F29" w:rsidR="003509CB">
        <w:t>information</w:t>
      </w:r>
      <w:bookmarkEnd w:id="163"/>
    </w:p>
    <w:p w:rsidRPr="009F7561" w:rsidR="003B0E6F" w:rsidP="00AA0924" w:rsidRDefault="003B0E6F" w14:paraId="020C7D27" w14:textId="76316BC7">
      <w:pPr>
        <w:spacing w:before="120" w:after="120" w:line="300" w:lineRule="atLeast"/>
        <w:jc w:val="both"/>
        <w:rPr>
          <w:lang w:val="en-GB"/>
        </w:rPr>
      </w:pPr>
      <w:r w:rsidRPr="009F7561">
        <w:rPr>
          <w:lang w:val="en-GB"/>
        </w:rPr>
        <w:t>All parties to these GBV SOPs agree to share relevant information to inform and support the analysis of service needs and gaps and improvement of</w:t>
      </w:r>
      <w:r w:rsidR="002730E3">
        <w:rPr>
          <w:lang w:val="en-GB"/>
        </w:rPr>
        <w:t xml:space="preserve"> </w:t>
      </w:r>
      <w:r w:rsidRPr="009F7561">
        <w:rPr>
          <w:lang w:val="en-GB"/>
        </w:rPr>
        <w:t xml:space="preserve">GBV prevention and response interventions. </w:t>
      </w:r>
    </w:p>
    <w:p w:rsidRPr="00895C8F" w:rsidR="003B0E6F" w:rsidP="00AA0924" w:rsidRDefault="00531F29" w14:paraId="4A221E07" w14:textId="19D7BF3D">
      <w:pPr>
        <w:spacing w:before="120" w:after="120" w:line="300" w:lineRule="atLeast"/>
        <w:jc w:val="both"/>
        <w:rPr>
          <w:i/>
          <w:iCs/>
          <w:color w:val="0070C0"/>
          <w:lang w:val="en-GB"/>
        </w:rPr>
      </w:pPr>
      <w:r w:rsidRPr="00895C8F">
        <w:rPr>
          <w:i/>
          <w:iCs/>
          <w:color w:val="0070C0"/>
          <w:lang w:val="en-GB"/>
        </w:rPr>
        <w:t>[</w:t>
      </w:r>
      <w:r w:rsidRPr="00895C8F" w:rsidR="003B0E6F">
        <w:rPr>
          <w:i/>
          <w:iCs/>
          <w:color w:val="0070C0"/>
          <w:lang w:val="en-GB"/>
        </w:rPr>
        <w:t>List here the types of (non-</w:t>
      </w:r>
      <w:r w:rsidRPr="00895C8F" w:rsidR="005E1813">
        <w:rPr>
          <w:i/>
          <w:iCs/>
          <w:color w:val="0070C0"/>
          <w:lang w:val="en-GB"/>
        </w:rPr>
        <w:t xml:space="preserve">GBV </w:t>
      </w:r>
      <w:r w:rsidRPr="00895C8F" w:rsidR="003B0E6F">
        <w:rPr>
          <w:i/>
          <w:iCs/>
          <w:color w:val="0070C0"/>
          <w:lang w:val="en-GB"/>
        </w:rPr>
        <w:t>incident-related) information to be shared in the setting, by whom and how often. This may include:</w:t>
      </w:r>
    </w:p>
    <w:p w:rsidRPr="00895C8F" w:rsidR="003B0E6F" w:rsidP="00E96F61" w:rsidRDefault="003B0E6F" w14:paraId="461BFEB2" w14:textId="7F9E40DD">
      <w:pPr>
        <w:numPr>
          <w:ilvl w:val="0"/>
          <w:numId w:val="25"/>
        </w:numPr>
        <w:spacing w:before="120" w:after="120" w:line="240" w:lineRule="auto"/>
        <w:ind w:left="714" w:hanging="357"/>
        <w:jc w:val="both"/>
        <w:rPr>
          <w:i/>
          <w:iCs/>
          <w:color w:val="0070C0"/>
          <w:lang w:val="en-GB"/>
        </w:rPr>
      </w:pPr>
      <w:r w:rsidRPr="00895C8F">
        <w:rPr>
          <w:i/>
          <w:iCs/>
          <w:color w:val="0070C0"/>
          <w:lang w:val="en-GB"/>
        </w:rPr>
        <w:t>Frequency of updating service mapping</w:t>
      </w:r>
      <w:r w:rsidRPr="00895C8F" w:rsidR="00D0221D">
        <w:rPr>
          <w:i/>
          <w:iCs/>
          <w:color w:val="0070C0"/>
          <w:lang w:val="en-GB"/>
        </w:rPr>
        <w:t xml:space="preserve"> and </w:t>
      </w:r>
      <w:r w:rsidRPr="00895C8F">
        <w:rPr>
          <w:i/>
          <w:iCs/>
          <w:color w:val="0070C0"/>
          <w:lang w:val="en-GB"/>
        </w:rPr>
        <w:t xml:space="preserve">relevant tools (e.g. 3/4/5 </w:t>
      </w:r>
      <w:proofErr w:type="spellStart"/>
      <w:r w:rsidRPr="00895C8F">
        <w:rPr>
          <w:i/>
          <w:iCs/>
          <w:color w:val="0070C0"/>
          <w:lang w:val="en-GB"/>
        </w:rPr>
        <w:t>Ws</w:t>
      </w:r>
      <w:proofErr w:type="spellEnd"/>
      <w:r w:rsidRPr="00895C8F">
        <w:rPr>
          <w:i/>
          <w:iCs/>
          <w:color w:val="0070C0"/>
          <w:lang w:val="en-GB"/>
        </w:rPr>
        <w:t xml:space="preserve"> templates) [attach in annex];</w:t>
      </w:r>
    </w:p>
    <w:p w:rsidRPr="00895C8F" w:rsidR="003B0E6F" w:rsidP="00E96F61" w:rsidRDefault="003B0E6F" w14:paraId="3B06D306" w14:textId="752B521F">
      <w:pPr>
        <w:numPr>
          <w:ilvl w:val="0"/>
          <w:numId w:val="25"/>
        </w:numPr>
        <w:spacing w:before="120" w:after="120" w:line="240" w:lineRule="auto"/>
        <w:ind w:left="714" w:hanging="357"/>
        <w:jc w:val="both"/>
        <w:rPr>
          <w:i/>
          <w:iCs/>
          <w:color w:val="0070C0"/>
          <w:lang w:val="en-GB"/>
        </w:rPr>
      </w:pPr>
      <w:r w:rsidRPr="00895C8F">
        <w:rPr>
          <w:i/>
          <w:iCs/>
          <w:color w:val="0070C0"/>
          <w:lang w:val="en-GB"/>
        </w:rPr>
        <w:t>Harmon</w:t>
      </w:r>
      <w:r w:rsidRPr="00895C8F" w:rsidR="005E1813">
        <w:rPr>
          <w:i/>
          <w:iCs/>
          <w:color w:val="0070C0"/>
          <w:lang w:val="en-GB"/>
        </w:rPr>
        <w:t>ize</w:t>
      </w:r>
      <w:r w:rsidRPr="00895C8F">
        <w:rPr>
          <w:i/>
          <w:iCs/>
          <w:color w:val="0070C0"/>
          <w:lang w:val="en-GB"/>
        </w:rPr>
        <w:t>d needs assessment questions, tools or processes, including safety audits;</w:t>
      </w:r>
    </w:p>
    <w:p w:rsidRPr="00895C8F" w:rsidR="003B0E6F" w:rsidP="00E96F61" w:rsidRDefault="003B0E6F" w14:paraId="0FDA5749" w14:textId="77777777">
      <w:pPr>
        <w:numPr>
          <w:ilvl w:val="0"/>
          <w:numId w:val="25"/>
        </w:numPr>
        <w:spacing w:before="120" w:after="120" w:line="240" w:lineRule="auto"/>
        <w:ind w:left="714" w:hanging="357"/>
        <w:jc w:val="both"/>
        <w:rPr>
          <w:i/>
          <w:iCs/>
          <w:color w:val="0070C0"/>
          <w:lang w:val="en-GB"/>
        </w:rPr>
      </w:pPr>
      <w:r w:rsidRPr="00895C8F">
        <w:rPr>
          <w:i/>
          <w:iCs/>
          <w:color w:val="0070C0"/>
          <w:lang w:val="en-GB"/>
        </w:rPr>
        <w:t>Tools or processes for response monitoring; and</w:t>
      </w:r>
    </w:p>
    <w:p w:rsidRPr="00895C8F" w:rsidR="003B0E6F" w:rsidP="00E96F61" w:rsidRDefault="003B0E6F" w14:paraId="465357A6" w14:textId="04D03C83">
      <w:pPr>
        <w:numPr>
          <w:ilvl w:val="0"/>
          <w:numId w:val="25"/>
        </w:numPr>
        <w:spacing w:before="120" w:after="120" w:line="240" w:lineRule="auto"/>
        <w:ind w:left="714" w:hanging="357"/>
        <w:jc w:val="both"/>
        <w:rPr>
          <w:i/>
          <w:iCs/>
          <w:color w:val="0070C0"/>
          <w:lang w:val="en-GB"/>
        </w:rPr>
      </w:pPr>
      <w:r w:rsidRPr="00895C8F">
        <w:rPr>
          <w:i/>
          <w:iCs/>
          <w:color w:val="0070C0"/>
          <w:lang w:val="en-GB"/>
        </w:rPr>
        <w:t>Locations or processes for sharing public data related to GBV interventions, including response dashboards or publications.</w:t>
      </w:r>
      <w:r w:rsidRPr="00895C8F" w:rsidR="00531F29">
        <w:rPr>
          <w:i/>
          <w:iCs/>
          <w:color w:val="0070C0"/>
          <w:lang w:val="en-GB"/>
        </w:rPr>
        <w:t>]</w:t>
      </w:r>
    </w:p>
    <w:p w:rsidRPr="00DC52A5" w:rsidR="003B0E6F" w:rsidP="00E96F61" w:rsidRDefault="003B0E6F" w14:paraId="36725C1E" w14:textId="281F39FE">
      <w:pPr>
        <w:pStyle w:val="Heading2"/>
        <w:numPr>
          <w:ilvl w:val="1"/>
          <w:numId w:val="44"/>
        </w:numPr>
      </w:pPr>
      <w:bookmarkStart w:name="_Toc134906302" w:id="164"/>
      <w:bookmarkStart w:name="_Toc142469170" w:id="165"/>
      <w:r w:rsidRPr="00DC52A5">
        <w:t xml:space="preserve">Coordination with </w:t>
      </w:r>
      <w:r w:rsidRPr="00DC52A5" w:rsidR="00C0010D">
        <w:t>other sectors</w:t>
      </w:r>
      <w:bookmarkEnd w:id="164"/>
      <w:bookmarkEnd w:id="165"/>
    </w:p>
    <w:p w:rsidRPr="009F7561" w:rsidR="003B0E6F" w:rsidP="00531F29" w:rsidRDefault="003B0E6F" w14:paraId="54B81E48" w14:textId="64DD0626">
      <w:pPr>
        <w:spacing w:before="120" w:after="120" w:line="300" w:lineRule="atLeast"/>
        <w:jc w:val="both"/>
        <w:rPr>
          <w:lang w:val="en-GB"/>
        </w:rPr>
      </w:pPr>
      <w:r w:rsidRPr="009F7561">
        <w:rPr>
          <w:lang w:val="en-GB"/>
        </w:rPr>
        <w:t xml:space="preserve">This section describes coordination with other clusters or sectors </w:t>
      </w:r>
      <w:r w:rsidR="00D42950">
        <w:rPr>
          <w:lang w:val="en-GB"/>
        </w:rPr>
        <w:t xml:space="preserve">in </w:t>
      </w:r>
      <w:r w:rsidRPr="009F7561" w:rsidR="00D42950">
        <w:rPr>
          <w:lang w:val="en-GB"/>
        </w:rPr>
        <w:t>relat</w:t>
      </w:r>
      <w:r w:rsidR="00D42950">
        <w:rPr>
          <w:lang w:val="en-GB"/>
        </w:rPr>
        <w:t>ion</w:t>
      </w:r>
      <w:r w:rsidRPr="009F7561" w:rsidR="00D42950">
        <w:rPr>
          <w:lang w:val="en-GB"/>
        </w:rPr>
        <w:t xml:space="preserve"> </w:t>
      </w:r>
      <w:r w:rsidRPr="009F7561">
        <w:rPr>
          <w:lang w:val="en-GB"/>
        </w:rPr>
        <w:t xml:space="preserve">to risk mitigation </w:t>
      </w:r>
      <w:r w:rsidR="00CD656F">
        <w:rPr>
          <w:lang w:val="en-GB"/>
        </w:rPr>
        <w:t xml:space="preserve">and </w:t>
      </w:r>
      <w:r w:rsidRPr="009F7561">
        <w:rPr>
          <w:lang w:val="en-GB"/>
        </w:rPr>
        <w:t>GBV response, including areas such as CVA, MHM, PSEA</w:t>
      </w:r>
      <w:r w:rsidRPr="009F7561" w:rsidR="00D0221D">
        <w:rPr>
          <w:lang w:val="en-GB"/>
        </w:rPr>
        <w:t xml:space="preserve"> and </w:t>
      </w:r>
      <w:r w:rsidRPr="009F7561">
        <w:rPr>
          <w:lang w:val="en-GB"/>
        </w:rPr>
        <w:t>others</w:t>
      </w:r>
      <w:r w:rsidR="00630569">
        <w:rPr>
          <w:lang w:val="en-GB"/>
        </w:rPr>
        <w:t xml:space="preserve"> </w:t>
      </w:r>
      <w:r w:rsidR="009D5E96">
        <w:rPr>
          <w:lang w:val="en-GB"/>
        </w:rPr>
        <w:t xml:space="preserve">unless </w:t>
      </w:r>
      <w:r w:rsidRPr="009F7561">
        <w:rPr>
          <w:lang w:val="en-GB"/>
        </w:rPr>
        <w:t xml:space="preserve">these are already described under the relevant sections above. </w:t>
      </w:r>
    </w:p>
    <w:p w:rsidRPr="00A218BD" w:rsidR="003B0E6F" w:rsidP="00531F29" w:rsidRDefault="00A218BD" w14:paraId="494951F7" w14:textId="73170797">
      <w:pPr>
        <w:spacing w:before="120" w:after="120" w:line="300" w:lineRule="atLeast"/>
        <w:jc w:val="both"/>
        <w:rPr>
          <w:i/>
          <w:iCs/>
          <w:color w:val="0070C0"/>
          <w:lang w:val="en-GB"/>
        </w:rPr>
      </w:pPr>
      <w:r w:rsidRPr="00A218BD">
        <w:rPr>
          <w:i/>
          <w:iCs/>
          <w:color w:val="0070C0"/>
          <w:lang w:val="en-GB"/>
        </w:rPr>
        <w:t>[</w:t>
      </w:r>
      <w:r w:rsidRPr="00A218BD" w:rsidR="003B0E6F">
        <w:rPr>
          <w:i/>
          <w:iCs/>
          <w:color w:val="0070C0"/>
          <w:lang w:val="en-GB"/>
        </w:rPr>
        <w:t>Describe here any agreements related to:</w:t>
      </w:r>
    </w:p>
    <w:p w:rsidRPr="00A218BD" w:rsidR="003B0E6F" w:rsidP="00E96F61" w:rsidRDefault="003B0E6F" w14:paraId="1CDA4507" w14:textId="42AD7032">
      <w:pPr>
        <w:numPr>
          <w:ilvl w:val="0"/>
          <w:numId w:val="13"/>
        </w:numPr>
        <w:spacing w:before="120" w:after="120" w:line="240" w:lineRule="auto"/>
        <w:ind w:left="714" w:hanging="357"/>
        <w:jc w:val="both"/>
        <w:rPr>
          <w:i/>
          <w:iCs/>
          <w:color w:val="0070C0"/>
          <w:lang w:val="en-GB"/>
        </w:rPr>
      </w:pPr>
      <w:r w:rsidRPr="00A218BD">
        <w:rPr>
          <w:i/>
          <w:iCs/>
          <w:color w:val="0070C0"/>
          <w:lang w:val="en-GB"/>
        </w:rPr>
        <w:t>Designating focal points for GBV among other sectors/clusters</w:t>
      </w:r>
      <w:r w:rsidRPr="00A218BD" w:rsidR="00461384">
        <w:rPr>
          <w:i/>
          <w:iCs/>
          <w:color w:val="0070C0"/>
          <w:lang w:val="en-GB"/>
        </w:rPr>
        <w:t xml:space="preserve"> or </w:t>
      </w:r>
      <w:r w:rsidRPr="00A218BD">
        <w:rPr>
          <w:i/>
          <w:iCs/>
          <w:color w:val="0070C0"/>
          <w:lang w:val="en-GB"/>
        </w:rPr>
        <w:t>sector/cluster focal points among GBV actors</w:t>
      </w:r>
      <w:r w:rsidRPr="00A218BD" w:rsidR="00531F29">
        <w:rPr>
          <w:i/>
          <w:iCs/>
          <w:color w:val="0070C0"/>
          <w:lang w:val="en-GB"/>
        </w:rPr>
        <w:t>.</w:t>
      </w:r>
    </w:p>
    <w:p w:rsidRPr="00A218BD" w:rsidR="003B0E6F" w:rsidP="00E96F61" w:rsidRDefault="003B0E6F" w14:paraId="7C96DE47" w14:textId="2E0D3526">
      <w:pPr>
        <w:numPr>
          <w:ilvl w:val="0"/>
          <w:numId w:val="13"/>
        </w:numPr>
        <w:spacing w:before="120" w:after="120" w:line="240" w:lineRule="auto"/>
        <w:ind w:left="714" w:hanging="357"/>
        <w:jc w:val="both"/>
        <w:rPr>
          <w:i/>
          <w:iCs/>
          <w:color w:val="0070C0"/>
          <w:lang w:val="en-GB"/>
        </w:rPr>
      </w:pPr>
      <w:r w:rsidRPr="00A218BD">
        <w:rPr>
          <w:i/>
          <w:iCs/>
          <w:color w:val="0070C0"/>
          <w:lang w:val="en-GB"/>
        </w:rPr>
        <w:t>Cross-participation in coordination meetings</w:t>
      </w:r>
      <w:r w:rsidRPr="00A218BD" w:rsidR="00A218BD">
        <w:rPr>
          <w:i/>
          <w:iCs/>
          <w:color w:val="0070C0"/>
          <w:lang w:val="en-GB"/>
        </w:rPr>
        <w:t>.</w:t>
      </w:r>
    </w:p>
    <w:p w:rsidRPr="00A218BD" w:rsidR="003B0E6F" w:rsidP="00E96F61" w:rsidRDefault="003B0E6F" w14:paraId="42DA4799" w14:textId="21F00B0D">
      <w:pPr>
        <w:numPr>
          <w:ilvl w:val="0"/>
          <w:numId w:val="13"/>
        </w:numPr>
        <w:spacing w:before="120" w:after="120" w:line="240" w:lineRule="auto"/>
        <w:ind w:left="714" w:hanging="357"/>
        <w:jc w:val="both"/>
        <w:rPr>
          <w:i/>
          <w:iCs/>
          <w:color w:val="0070C0"/>
          <w:lang w:val="en-GB"/>
        </w:rPr>
      </w:pPr>
      <w:r w:rsidRPr="00A218BD">
        <w:rPr>
          <w:i/>
          <w:iCs/>
          <w:color w:val="0070C0"/>
          <w:lang w:val="en-GB"/>
        </w:rPr>
        <w:t>Collaboration on assessments</w:t>
      </w:r>
      <w:r w:rsidRPr="00A218BD" w:rsidR="00A218BD">
        <w:rPr>
          <w:i/>
          <w:iCs/>
          <w:color w:val="0070C0"/>
          <w:lang w:val="en-GB"/>
        </w:rPr>
        <w:t>.</w:t>
      </w:r>
    </w:p>
    <w:p w:rsidRPr="00A218BD" w:rsidR="003B0E6F" w:rsidP="00E96F61" w:rsidRDefault="003B0E6F" w14:paraId="4AF99186" w14:textId="558B2C48">
      <w:pPr>
        <w:numPr>
          <w:ilvl w:val="0"/>
          <w:numId w:val="13"/>
        </w:numPr>
        <w:spacing w:before="120" w:after="120" w:line="240" w:lineRule="auto"/>
        <w:ind w:left="714" w:hanging="357"/>
        <w:jc w:val="both"/>
        <w:rPr>
          <w:i/>
          <w:iCs/>
          <w:color w:val="0070C0"/>
          <w:lang w:val="en-GB"/>
        </w:rPr>
      </w:pPr>
      <w:r w:rsidRPr="00A218BD">
        <w:rPr>
          <w:i/>
          <w:iCs/>
          <w:color w:val="0070C0"/>
          <w:lang w:val="en-GB"/>
        </w:rPr>
        <w:t>Any other areas of coordination.</w:t>
      </w:r>
      <w:r w:rsidRPr="00A218BD" w:rsidR="00A218BD">
        <w:rPr>
          <w:i/>
          <w:iCs/>
          <w:color w:val="0070C0"/>
          <w:lang w:val="en-GB"/>
        </w:rPr>
        <w:t>]</w:t>
      </w:r>
      <w:r w:rsidRPr="00A218BD">
        <w:rPr>
          <w:i/>
          <w:iCs/>
          <w:color w:val="0070C0"/>
          <w:lang w:val="en-GB"/>
        </w:rPr>
        <w:t xml:space="preserve"> </w:t>
      </w:r>
    </w:p>
    <w:bookmarkEnd w:id="4"/>
    <w:p w:rsidRPr="009F7561" w:rsidR="003B0E6F" w:rsidP="00BF3DE4" w:rsidRDefault="003B0E6F" w14:paraId="5EE1B546" w14:textId="5F75F4FC">
      <w:pPr>
        <w:spacing w:before="120" w:after="120" w:line="300" w:lineRule="atLeast"/>
        <w:jc w:val="both"/>
        <w:rPr>
          <w:lang w:val="en-GB"/>
        </w:rPr>
      </w:pPr>
      <w:r w:rsidRPr="009F7561">
        <w:rPr>
          <w:lang w:val="en-GB"/>
        </w:rPr>
        <w:br w:type="page"/>
      </w:r>
      <w:r w:rsidRPr="009F7561">
        <w:rPr>
          <w:b/>
          <w:sz w:val="28"/>
          <w:szCs w:val="28"/>
          <w:lang w:val="en-GB"/>
        </w:rPr>
        <w:t xml:space="preserve">Signature </w:t>
      </w:r>
      <w:r w:rsidRPr="009F7561" w:rsidR="003A6A2D">
        <w:rPr>
          <w:b/>
          <w:sz w:val="28"/>
          <w:szCs w:val="28"/>
          <w:lang w:val="en-GB"/>
        </w:rPr>
        <w:t>page for participating actors</w:t>
      </w:r>
    </w:p>
    <w:p w:rsidRPr="000B2411" w:rsidR="003B0E6F" w:rsidP="00BF3DE4" w:rsidRDefault="00BF3DE4" w14:paraId="1A8CB01D" w14:textId="4EAA71EB">
      <w:pPr>
        <w:spacing w:before="120" w:after="120" w:line="300" w:lineRule="atLeast"/>
        <w:jc w:val="both"/>
        <w:rPr>
          <w:i/>
          <w:color w:val="0070C0"/>
          <w:lang w:val="en-GB"/>
        </w:rPr>
      </w:pPr>
      <w:r>
        <w:rPr>
          <w:i/>
          <w:color w:val="0070C0"/>
          <w:lang w:val="en-GB"/>
        </w:rPr>
        <w:t>[</w:t>
      </w:r>
      <w:r w:rsidRPr="000B2411" w:rsidR="003B0E6F">
        <w:rPr>
          <w:i/>
          <w:color w:val="0070C0"/>
          <w:lang w:val="en-GB"/>
        </w:rPr>
        <w:t>All participating agencies and organ</w:t>
      </w:r>
      <w:r w:rsidRPr="000B2411" w:rsidR="002D1850">
        <w:rPr>
          <w:i/>
          <w:color w:val="0070C0"/>
          <w:lang w:val="en-GB"/>
        </w:rPr>
        <w:t>iza</w:t>
      </w:r>
      <w:r w:rsidRPr="000B2411" w:rsidR="003B0E6F">
        <w:rPr>
          <w:i/>
          <w:color w:val="0070C0"/>
          <w:lang w:val="en-GB"/>
        </w:rPr>
        <w:t>tions mentioned in the document</w:t>
      </w:r>
      <w:r w:rsidRPr="000B2411" w:rsidR="003B0E6F">
        <w:rPr>
          <w:b/>
          <w:i/>
          <w:color w:val="0070C0"/>
          <w:lang w:val="en-GB"/>
        </w:rPr>
        <w:t xml:space="preserve"> </w:t>
      </w:r>
      <w:r w:rsidRPr="000B2411" w:rsidR="003B0E6F">
        <w:rPr>
          <w:i/>
          <w:color w:val="0070C0"/>
          <w:lang w:val="en-GB"/>
        </w:rPr>
        <w:t>demonstrate,</w:t>
      </w:r>
      <w:r w:rsidRPr="000B2411" w:rsidR="003B0E6F">
        <w:rPr>
          <w:b/>
          <w:i/>
          <w:color w:val="0070C0"/>
          <w:lang w:val="en-GB"/>
        </w:rPr>
        <w:t xml:space="preserve"> </w:t>
      </w:r>
      <w:r w:rsidRPr="000B2411" w:rsidR="003B0E6F">
        <w:rPr>
          <w:i/>
          <w:color w:val="0070C0"/>
          <w:lang w:val="en-GB"/>
        </w:rPr>
        <w:t>with a signature, their full commitment to the GBV SOPs.</w:t>
      </w:r>
      <w:r>
        <w:rPr>
          <w:i/>
          <w:color w:val="0070C0"/>
          <w:lang w:val="en-GB"/>
        </w:rPr>
        <w:t>]</w:t>
      </w:r>
    </w:p>
    <w:p w:rsidRPr="00585205" w:rsidR="003B0E6F" w:rsidP="00BF3DE4" w:rsidRDefault="003B0E6F" w14:paraId="01DC6931" w14:textId="2E4C8F06">
      <w:pPr>
        <w:spacing w:before="120" w:after="120" w:line="300" w:lineRule="atLeast"/>
        <w:ind w:right="-232"/>
        <w:jc w:val="both"/>
        <w:rPr>
          <w:lang w:val="en-GB"/>
        </w:rPr>
      </w:pPr>
      <w:r w:rsidRPr="00585205">
        <w:rPr>
          <w:lang w:val="en-GB"/>
        </w:rPr>
        <w:t xml:space="preserve">We, the undersigned, as representatives of our respective organizations, agree and commit to: </w:t>
      </w:r>
    </w:p>
    <w:p w:rsidRPr="00585205" w:rsidR="003B0E6F" w:rsidP="00E96F61" w:rsidRDefault="003B0E6F" w14:paraId="7FBC34C5" w14:textId="3669CA81">
      <w:pPr>
        <w:numPr>
          <w:ilvl w:val="0"/>
          <w:numId w:val="4"/>
        </w:numPr>
        <w:spacing w:before="120" w:after="120" w:line="240" w:lineRule="auto"/>
        <w:ind w:left="714" w:right="-232" w:hanging="357"/>
        <w:jc w:val="both"/>
        <w:rPr>
          <w:lang w:val="en-GB"/>
        </w:rPr>
      </w:pPr>
      <w:r w:rsidRPr="00585205">
        <w:rPr>
          <w:lang w:val="en-GB"/>
        </w:rPr>
        <w:t>Abide by the procedures and guidelines contained in this document</w:t>
      </w:r>
      <w:r w:rsidR="002E7C50">
        <w:rPr>
          <w:lang w:val="en-GB"/>
        </w:rPr>
        <w:t>.</w:t>
      </w:r>
    </w:p>
    <w:p w:rsidRPr="00585205" w:rsidR="003B0E6F" w:rsidP="00E96F61" w:rsidRDefault="003B0E6F" w14:paraId="72415DB4" w14:textId="455CC0E2">
      <w:pPr>
        <w:numPr>
          <w:ilvl w:val="0"/>
          <w:numId w:val="4"/>
        </w:numPr>
        <w:spacing w:before="120" w:after="120" w:line="240" w:lineRule="auto"/>
        <w:ind w:left="714" w:right="-232" w:hanging="357"/>
        <w:jc w:val="both"/>
        <w:rPr>
          <w:lang w:val="en-GB"/>
        </w:rPr>
      </w:pPr>
      <w:r w:rsidRPr="009F7561">
        <w:rPr>
          <w:lang w:val="en-GB"/>
        </w:rPr>
        <w:t>Fulfil our roles and responsibilities to respond to, mitigate and prevent GBV</w:t>
      </w:r>
      <w:r w:rsidR="002E7C50">
        <w:rPr>
          <w:lang w:val="en-GB"/>
        </w:rPr>
        <w:t>.</w:t>
      </w:r>
    </w:p>
    <w:p w:rsidRPr="00585205" w:rsidR="003B0E6F" w:rsidP="00E96F61" w:rsidRDefault="003B0E6F" w14:paraId="50B4C823" w14:textId="594BB6C9">
      <w:pPr>
        <w:numPr>
          <w:ilvl w:val="0"/>
          <w:numId w:val="4"/>
        </w:numPr>
        <w:spacing w:before="120" w:after="120" w:line="240" w:lineRule="auto"/>
        <w:ind w:left="714" w:right="4" w:hanging="357"/>
        <w:jc w:val="both"/>
        <w:rPr>
          <w:lang w:val="en-GB"/>
        </w:rPr>
      </w:pPr>
      <w:r w:rsidRPr="00585205">
        <w:rPr>
          <w:lang w:val="en-GB"/>
        </w:rPr>
        <w:t>Provide copies of this document to all incoming staff in our organizations with responsibilities for action to address GBV so that these procedures will continue beyond the contract term of any individual staff member</w:t>
      </w:r>
      <w:r w:rsidR="007D64B0">
        <w:rPr>
          <w:lang w:val="en-GB"/>
        </w:rPr>
        <w:t>.</w:t>
      </w:r>
    </w:p>
    <w:p w:rsidRPr="000B2411" w:rsidR="003B0E6F" w:rsidP="00BF3DE4" w:rsidRDefault="00BF3DE4" w14:paraId="2F310A00" w14:textId="67029305">
      <w:pPr>
        <w:spacing w:before="120" w:after="120" w:line="300" w:lineRule="atLeast"/>
        <w:ind w:right="-230"/>
        <w:jc w:val="both"/>
        <w:rPr>
          <w:i/>
          <w:color w:val="0070C0"/>
          <w:lang w:val="en-GB"/>
        </w:rPr>
      </w:pPr>
      <w:r>
        <w:rPr>
          <w:i/>
          <w:color w:val="0070C0"/>
          <w:lang w:val="en-GB"/>
        </w:rPr>
        <w:t>[</w:t>
      </w:r>
      <w:r w:rsidRPr="000B2411" w:rsidR="003B0E6F">
        <w:rPr>
          <w:i/>
          <w:color w:val="0070C0"/>
          <w:lang w:val="en-GB"/>
        </w:rPr>
        <w:t>List here all of the organ</w:t>
      </w:r>
      <w:r w:rsidRPr="000B2411" w:rsidR="002D1850">
        <w:rPr>
          <w:i/>
          <w:color w:val="0070C0"/>
          <w:lang w:val="en-GB"/>
        </w:rPr>
        <w:t>iza</w:t>
      </w:r>
      <w:r w:rsidRPr="000B2411" w:rsidR="003B0E6F">
        <w:rPr>
          <w:i/>
          <w:color w:val="0070C0"/>
          <w:lang w:val="en-GB"/>
        </w:rPr>
        <w:t>tions/groups who participated in the process of developing these GBV SOPs:</w:t>
      </w:r>
      <w:r>
        <w:rPr>
          <w:i/>
          <w:color w:val="0070C0"/>
          <w:lang w:val="en-GB"/>
        </w:rPr>
        <w:t>]</w:t>
      </w:r>
    </w:p>
    <w:tbl>
      <w:tblPr>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3528"/>
        <w:gridCol w:w="1345"/>
        <w:gridCol w:w="4415"/>
      </w:tblGrid>
      <w:tr w:rsidRPr="009F7561" w:rsidR="007B57E6" w:rsidTr="002E7C50" w14:paraId="126DC857" w14:textId="77777777">
        <w:trPr>
          <w:jc w:val="center"/>
        </w:trPr>
        <w:tc>
          <w:tcPr>
            <w:tcW w:w="3528" w:type="dxa"/>
            <w:vAlign w:val="center"/>
          </w:tcPr>
          <w:p w:rsidRPr="009F7561" w:rsidR="003B0E6F" w:rsidP="00E82689" w:rsidRDefault="003B0E6F" w14:paraId="0AFCE64E" w14:textId="77777777">
            <w:pPr>
              <w:spacing w:before="120" w:after="120" w:line="240" w:lineRule="auto"/>
              <w:ind w:right="-230"/>
              <w:jc w:val="both"/>
              <w:rPr>
                <w:b/>
                <w:lang w:val="en-GB"/>
              </w:rPr>
            </w:pPr>
            <w:r w:rsidRPr="009F7561">
              <w:rPr>
                <w:b/>
                <w:lang w:val="en-GB"/>
              </w:rPr>
              <w:t>Organization / Agency Name</w:t>
            </w:r>
          </w:p>
        </w:tc>
        <w:tc>
          <w:tcPr>
            <w:tcW w:w="1345" w:type="dxa"/>
            <w:vAlign w:val="center"/>
          </w:tcPr>
          <w:p w:rsidRPr="009F7561" w:rsidR="003B0E6F" w:rsidP="00E82689" w:rsidRDefault="003B0E6F" w14:paraId="231BEA2C" w14:textId="77777777">
            <w:pPr>
              <w:spacing w:before="120" w:after="120" w:line="240" w:lineRule="auto"/>
              <w:jc w:val="both"/>
              <w:rPr>
                <w:b/>
                <w:lang w:val="en-GB"/>
              </w:rPr>
            </w:pPr>
            <w:r w:rsidRPr="009F7561">
              <w:rPr>
                <w:b/>
                <w:lang w:val="en-GB"/>
              </w:rPr>
              <w:t>Date</w:t>
            </w:r>
          </w:p>
        </w:tc>
        <w:tc>
          <w:tcPr>
            <w:tcW w:w="4415" w:type="dxa"/>
            <w:vAlign w:val="center"/>
          </w:tcPr>
          <w:p w:rsidRPr="009F7561" w:rsidR="003B0E6F" w:rsidP="00E82689" w:rsidRDefault="003B0E6F" w14:paraId="00F3576E" w14:textId="77777777">
            <w:pPr>
              <w:spacing w:before="120" w:after="120" w:line="240" w:lineRule="auto"/>
              <w:ind w:right="-230"/>
              <w:jc w:val="both"/>
              <w:rPr>
                <w:b/>
                <w:lang w:val="en-GB"/>
              </w:rPr>
            </w:pPr>
            <w:r w:rsidRPr="009F7561">
              <w:rPr>
                <w:b/>
                <w:lang w:val="en-GB"/>
              </w:rPr>
              <w:t>Signature</w:t>
            </w:r>
          </w:p>
        </w:tc>
      </w:tr>
      <w:tr w:rsidRPr="009F7561" w:rsidR="007B57E6" w:rsidTr="002E7C50" w14:paraId="440A9405" w14:textId="77777777">
        <w:trPr>
          <w:trHeight w:val="432"/>
          <w:jc w:val="center"/>
        </w:trPr>
        <w:tc>
          <w:tcPr>
            <w:tcW w:w="3528" w:type="dxa"/>
          </w:tcPr>
          <w:p w:rsidRPr="009F7561" w:rsidR="003B0E6F" w:rsidP="00E82689" w:rsidRDefault="003B0E6F" w14:paraId="18AB7FFC" w14:textId="77777777">
            <w:pPr>
              <w:spacing w:before="120" w:after="120" w:line="240" w:lineRule="auto"/>
              <w:jc w:val="both"/>
              <w:rPr>
                <w:lang w:val="en-GB"/>
              </w:rPr>
            </w:pPr>
          </w:p>
        </w:tc>
        <w:tc>
          <w:tcPr>
            <w:tcW w:w="1345" w:type="dxa"/>
          </w:tcPr>
          <w:p w:rsidRPr="009F7561" w:rsidR="003B0E6F" w:rsidP="00E82689" w:rsidRDefault="003B0E6F" w14:paraId="0659A561" w14:textId="77777777">
            <w:pPr>
              <w:spacing w:before="120" w:after="120" w:line="240" w:lineRule="auto"/>
              <w:ind w:right="-230"/>
              <w:jc w:val="both"/>
              <w:rPr>
                <w:lang w:val="en-GB"/>
              </w:rPr>
            </w:pPr>
          </w:p>
        </w:tc>
        <w:tc>
          <w:tcPr>
            <w:tcW w:w="4415" w:type="dxa"/>
          </w:tcPr>
          <w:p w:rsidRPr="009F7561" w:rsidR="003B0E6F" w:rsidP="00E82689" w:rsidRDefault="003B0E6F" w14:paraId="382A2642" w14:textId="77777777">
            <w:pPr>
              <w:spacing w:before="120" w:after="120" w:line="240" w:lineRule="auto"/>
              <w:ind w:right="-230"/>
              <w:jc w:val="both"/>
              <w:rPr>
                <w:lang w:val="en-GB"/>
              </w:rPr>
            </w:pPr>
          </w:p>
        </w:tc>
      </w:tr>
      <w:tr w:rsidRPr="009F7561" w:rsidR="007B57E6" w:rsidTr="002E7C50" w14:paraId="7D43D254" w14:textId="77777777">
        <w:trPr>
          <w:trHeight w:val="432"/>
          <w:jc w:val="center"/>
        </w:trPr>
        <w:tc>
          <w:tcPr>
            <w:tcW w:w="3528" w:type="dxa"/>
          </w:tcPr>
          <w:p w:rsidRPr="009F7561" w:rsidR="003B0E6F" w:rsidP="00E82689" w:rsidRDefault="003B0E6F" w14:paraId="64DD6479" w14:textId="77777777">
            <w:pPr>
              <w:spacing w:before="120" w:after="120" w:line="240" w:lineRule="auto"/>
              <w:ind w:right="-230"/>
              <w:jc w:val="both"/>
              <w:rPr>
                <w:lang w:val="en-GB"/>
              </w:rPr>
            </w:pPr>
          </w:p>
        </w:tc>
        <w:tc>
          <w:tcPr>
            <w:tcW w:w="1345" w:type="dxa"/>
          </w:tcPr>
          <w:p w:rsidRPr="009F7561" w:rsidR="003B0E6F" w:rsidP="00E82689" w:rsidRDefault="003B0E6F" w14:paraId="1C645BF0" w14:textId="77777777">
            <w:pPr>
              <w:spacing w:before="120" w:after="120" w:line="240" w:lineRule="auto"/>
              <w:ind w:right="-230"/>
              <w:jc w:val="both"/>
              <w:rPr>
                <w:lang w:val="en-GB"/>
              </w:rPr>
            </w:pPr>
          </w:p>
        </w:tc>
        <w:tc>
          <w:tcPr>
            <w:tcW w:w="4415" w:type="dxa"/>
          </w:tcPr>
          <w:p w:rsidRPr="009F7561" w:rsidR="003B0E6F" w:rsidP="00E82689" w:rsidRDefault="003B0E6F" w14:paraId="5127C1D4" w14:textId="77777777">
            <w:pPr>
              <w:spacing w:before="120" w:after="120" w:line="240" w:lineRule="auto"/>
              <w:jc w:val="both"/>
              <w:rPr>
                <w:lang w:val="en-GB"/>
              </w:rPr>
            </w:pPr>
          </w:p>
        </w:tc>
      </w:tr>
      <w:tr w:rsidRPr="009F7561" w:rsidR="007B57E6" w:rsidTr="002E7C50" w14:paraId="371EFFF9" w14:textId="77777777">
        <w:trPr>
          <w:trHeight w:val="432"/>
          <w:jc w:val="center"/>
        </w:trPr>
        <w:tc>
          <w:tcPr>
            <w:tcW w:w="3528" w:type="dxa"/>
          </w:tcPr>
          <w:p w:rsidRPr="009F7561" w:rsidR="003B0E6F" w:rsidP="00E82689" w:rsidRDefault="003B0E6F" w14:paraId="2DE8EB6F" w14:textId="77777777">
            <w:pPr>
              <w:spacing w:before="120" w:after="120" w:line="240" w:lineRule="auto"/>
              <w:ind w:right="-230"/>
              <w:jc w:val="both"/>
              <w:rPr>
                <w:lang w:val="en-GB"/>
              </w:rPr>
            </w:pPr>
          </w:p>
        </w:tc>
        <w:tc>
          <w:tcPr>
            <w:tcW w:w="1345" w:type="dxa"/>
          </w:tcPr>
          <w:p w:rsidRPr="009F7561" w:rsidR="003B0E6F" w:rsidP="00E82689" w:rsidRDefault="003B0E6F" w14:paraId="5B9CD22C" w14:textId="77777777">
            <w:pPr>
              <w:spacing w:before="120" w:after="120" w:line="240" w:lineRule="auto"/>
              <w:ind w:right="-230"/>
              <w:jc w:val="both"/>
              <w:rPr>
                <w:lang w:val="en-GB"/>
              </w:rPr>
            </w:pPr>
          </w:p>
        </w:tc>
        <w:tc>
          <w:tcPr>
            <w:tcW w:w="4415" w:type="dxa"/>
          </w:tcPr>
          <w:p w:rsidRPr="009F7561" w:rsidR="003B0E6F" w:rsidP="00E82689" w:rsidRDefault="003B0E6F" w14:paraId="2A37BB73" w14:textId="77777777">
            <w:pPr>
              <w:spacing w:before="120" w:after="120" w:line="240" w:lineRule="auto"/>
              <w:ind w:right="-230"/>
              <w:jc w:val="both"/>
              <w:rPr>
                <w:lang w:val="en-GB"/>
              </w:rPr>
            </w:pPr>
          </w:p>
        </w:tc>
      </w:tr>
      <w:tr w:rsidRPr="009F7561" w:rsidR="007B57E6" w:rsidTr="002E7C50" w14:paraId="334E7CD0" w14:textId="77777777">
        <w:trPr>
          <w:trHeight w:val="432"/>
          <w:jc w:val="center"/>
        </w:trPr>
        <w:tc>
          <w:tcPr>
            <w:tcW w:w="3528" w:type="dxa"/>
          </w:tcPr>
          <w:p w:rsidRPr="009F7561" w:rsidR="003B0E6F" w:rsidP="00E82689" w:rsidRDefault="003B0E6F" w14:paraId="3B4EBB17" w14:textId="77777777">
            <w:pPr>
              <w:spacing w:before="120" w:after="120" w:line="240" w:lineRule="auto"/>
              <w:ind w:right="-230"/>
              <w:jc w:val="both"/>
              <w:rPr>
                <w:lang w:val="en-GB"/>
              </w:rPr>
            </w:pPr>
          </w:p>
        </w:tc>
        <w:tc>
          <w:tcPr>
            <w:tcW w:w="1345" w:type="dxa"/>
          </w:tcPr>
          <w:p w:rsidRPr="009F7561" w:rsidR="003B0E6F" w:rsidP="00E82689" w:rsidRDefault="003B0E6F" w14:paraId="566C2DB5" w14:textId="77777777">
            <w:pPr>
              <w:spacing w:before="120" w:after="120" w:line="240" w:lineRule="auto"/>
              <w:ind w:right="-230"/>
              <w:jc w:val="both"/>
              <w:rPr>
                <w:lang w:val="en-GB"/>
              </w:rPr>
            </w:pPr>
          </w:p>
        </w:tc>
        <w:tc>
          <w:tcPr>
            <w:tcW w:w="4415" w:type="dxa"/>
          </w:tcPr>
          <w:p w:rsidRPr="009F7561" w:rsidR="003B0E6F" w:rsidP="00E82689" w:rsidRDefault="003B0E6F" w14:paraId="0F22561E" w14:textId="77777777">
            <w:pPr>
              <w:spacing w:before="120" w:after="120" w:line="240" w:lineRule="auto"/>
              <w:ind w:right="-230"/>
              <w:jc w:val="both"/>
              <w:rPr>
                <w:lang w:val="en-GB"/>
              </w:rPr>
            </w:pPr>
          </w:p>
        </w:tc>
      </w:tr>
      <w:tr w:rsidRPr="009F7561" w:rsidR="007B57E6" w:rsidTr="002E7C50" w14:paraId="1AE05454" w14:textId="77777777">
        <w:trPr>
          <w:trHeight w:val="432"/>
          <w:jc w:val="center"/>
        </w:trPr>
        <w:tc>
          <w:tcPr>
            <w:tcW w:w="3528" w:type="dxa"/>
          </w:tcPr>
          <w:p w:rsidRPr="009F7561" w:rsidR="003B0E6F" w:rsidP="00E82689" w:rsidRDefault="003B0E6F" w14:paraId="65170F14" w14:textId="77777777">
            <w:pPr>
              <w:spacing w:before="120" w:after="120" w:line="240" w:lineRule="auto"/>
              <w:ind w:right="-230"/>
              <w:jc w:val="both"/>
              <w:rPr>
                <w:lang w:val="en-GB"/>
              </w:rPr>
            </w:pPr>
          </w:p>
        </w:tc>
        <w:tc>
          <w:tcPr>
            <w:tcW w:w="1345" w:type="dxa"/>
          </w:tcPr>
          <w:p w:rsidRPr="009F7561" w:rsidR="003B0E6F" w:rsidP="00E82689" w:rsidRDefault="003B0E6F" w14:paraId="40AA5219" w14:textId="77777777">
            <w:pPr>
              <w:spacing w:before="120" w:after="120" w:line="240" w:lineRule="auto"/>
              <w:ind w:right="-230"/>
              <w:jc w:val="both"/>
              <w:rPr>
                <w:lang w:val="en-GB"/>
              </w:rPr>
            </w:pPr>
          </w:p>
        </w:tc>
        <w:tc>
          <w:tcPr>
            <w:tcW w:w="4415" w:type="dxa"/>
          </w:tcPr>
          <w:p w:rsidRPr="009F7561" w:rsidR="003B0E6F" w:rsidP="00E82689" w:rsidRDefault="003B0E6F" w14:paraId="611C6F22" w14:textId="77777777">
            <w:pPr>
              <w:spacing w:before="120" w:after="120" w:line="240" w:lineRule="auto"/>
              <w:ind w:right="-230"/>
              <w:jc w:val="both"/>
              <w:rPr>
                <w:lang w:val="en-GB"/>
              </w:rPr>
            </w:pPr>
          </w:p>
        </w:tc>
      </w:tr>
      <w:tr w:rsidRPr="009F7561" w:rsidR="007B57E6" w:rsidTr="002E7C50" w14:paraId="5ECD733D" w14:textId="77777777">
        <w:trPr>
          <w:trHeight w:val="432"/>
          <w:jc w:val="center"/>
        </w:trPr>
        <w:tc>
          <w:tcPr>
            <w:tcW w:w="3528" w:type="dxa"/>
          </w:tcPr>
          <w:p w:rsidRPr="009F7561" w:rsidR="003B0E6F" w:rsidP="00E82689" w:rsidRDefault="003B0E6F" w14:paraId="2B0FE05A" w14:textId="77777777">
            <w:pPr>
              <w:spacing w:before="120" w:after="120" w:line="240" w:lineRule="auto"/>
              <w:ind w:right="-230"/>
              <w:jc w:val="both"/>
              <w:rPr>
                <w:lang w:val="en-GB"/>
              </w:rPr>
            </w:pPr>
          </w:p>
        </w:tc>
        <w:tc>
          <w:tcPr>
            <w:tcW w:w="1345" w:type="dxa"/>
          </w:tcPr>
          <w:p w:rsidRPr="009F7561" w:rsidR="003B0E6F" w:rsidP="00E82689" w:rsidRDefault="003B0E6F" w14:paraId="1B1E9B43" w14:textId="77777777">
            <w:pPr>
              <w:spacing w:before="120" w:after="120" w:line="240" w:lineRule="auto"/>
              <w:ind w:right="-230"/>
              <w:jc w:val="both"/>
              <w:rPr>
                <w:lang w:val="en-GB"/>
              </w:rPr>
            </w:pPr>
          </w:p>
        </w:tc>
        <w:tc>
          <w:tcPr>
            <w:tcW w:w="4415" w:type="dxa"/>
          </w:tcPr>
          <w:p w:rsidRPr="009F7561" w:rsidR="003B0E6F" w:rsidP="00E82689" w:rsidRDefault="003B0E6F" w14:paraId="00372685" w14:textId="77777777">
            <w:pPr>
              <w:spacing w:before="120" w:after="120" w:line="240" w:lineRule="auto"/>
              <w:ind w:right="-230"/>
              <w:jc w:val="both"/>
              <w:rPr>
                <w:lang w:val="en-GB"/>
              </w:rPr>
            </w:pPr>
          </w:p>
        </w:tc>
      </w:tr>
      <w:tr w:rsidRPr="009F7561" w:rsidR="007B57E6" w:rsidTr="002E7C50" w14:paraId="7A9D5E68" w14:textId="77777777">
        <w:trPr>
          <w:trHeight w:val="432"/>
          <w:jc w:val="center"/>
        </w:trPr>
        <w:tc>
          <w:tcPr>
            <w:tcW w:w="3528" w:type="dxa"/>
          </w:tcPr>
          <w:p w:rsidRPr="009F7561" w:rsidR="003B0E6F" w:rsidP="00E82689" w:rsidRDefault="003B0E6F" w14:paraId="0ACACA79" w14:textId="77777777">
            <w:pPr>
              <w:spacing w:before="120" w:after="120" w:line="240" w:lineRule="auto"/>
              <w:ind w:right="-230"/>
              <w:jc w:val="both"/>
              <w:rPr>
                <w:lang w:val="en-GB"/>
              </w:rPr>
            </w:pPr>
          </w:p>
        </w:tc>
        <w:tc>
          <w:tcPr>
            <w:tcW w:w="1345" w:type="dxa"/>
          </w:tcPr>
          <w:p w:rsidRPr="009F7561" w:rsidR="003B0E6F" w:rsidP="00E82689" w:rsidRDefault="003B0E6F" w14:paraId="20C6479F" w14:textId="77777777">
            <w:pPr>
              <w:spacing w:before="120" w:after="120" w:line="240" w:lineRule="auto"/>
              <w:ind w:right="-230"/>
              <w:jc w:val="both"/>
              <w:rPr>
                <w:lang w:val="en-GB"/>
              </w:rPr>
            </w:pPr>
          </w:p>
        </w:tc>
        <w:tc>
          <w:tcPr>
            <w:tcW w:w="4415" w:type="dxa"/>
          </w:tcPr>
          <w:p w:rsidRPr="009F7561" w:rsidR="003B0E6F" w:rsidP="00E82689" w:rsidRDefault="003B0E6F" w14:paraId="71B6530F" w14:textId="77777777">
            <w:pPr>
              <w:spacing w:before="120" w:after="120" w:line="240" w:lineRule="auto"/>
              <w:ind w:right="-230"/>
              <w:jc w:val="both"/>
              <w:rPr>
                <w:lang w:val="en-GB"/>
              </w:rPr>
            </w:pPr>
          </w:p>
        </w:tc>
      </w:tr>
      <w:tr w:rsidRPr="009F7561" w:rsidR="007B57E6" w:rsidTr="002E7C50" w14:paraId="77F8948B" w14:textId="77777777">
        <w:trPr>
          <w:trHeight w:val="432"/>
          <w:jc w:val="center"/>
        </w:trPr>
        <w:tc>
          <w:tcPr>
            <w:tcW w:w="3528" w:type="dxa"/>
          </w:tcPr>
          <w:p w:rsidRPr="009F7561" w:rsidR="003B0E6F" w:rsidP="00E82689" w:rsidRDefault="003B0E6F" w14:paraId="023BB4A5" w14:textId="77777777">
            <w:pPr>
              <w:spacing w:before="120" w:after="120" w:line="240" w:lineRule="auto"/>
              <w:ind w:right="-230"/>
              <w:jc w:val="both"/>
              <w:rPr>
                <w:lang w:val="en-GB"/>
              </w:rPr>
            </w:pPr>
          </w:p>
        </w:tc>
        <w:tc>
          <w:tcPr>
            <w:tcW w:w="1345" w:type="dxa"/>
          </w:tcPr>
          <w:p w:rsidRPr="009F7561" w:rsidR="003B0E6F" w:rsidP="00E82689" w:rsidRDefault="003B0E6F" w14:paraId="478DD0F8" w14:textId="77777777">
            <w:pPr>
              <w:spacing w:before="120" w:after="120" w:line="240" w:lineRule="auto"/>
              <w:ind w:right="-230"/>
              <w:jc w:val="both"/>
              <w:rPr>
                <w:lang w:val="en-GB"/>
              </w:rPr>
            </w:pPr>
          </w:p>
        </w:tc>
        <w:tc>
          <w:tcPr>
            <w:tcW w:w="4415" w:type="dxa"/>
          </w:tcPr>
          <w:p w:rsidRPr="009F7561" w:rsidR="003B0E6F" w:rsidP="00E82689" w:rsidRDefault="003B0E6F" w14:paraId="26968853" w14:textId="77777777">
            <w:pPr>
              <w:spacing w:before="120" w:after="120" w:line="240" w:lineRule="auto"/>
              <w:ind w:right="-230"/>
              <w:jc w:val="both"/>
              <w:rPr>
                <w:lang w:val="en-GB"/>
              </w:rPr>
            </w:pPr>
          </w:p>
        </w:tc>
      </w:tr>
      <w:tr w:rsidRPr="009F7561" w:rsidR="007B57E6" w:rsidTr="002E7C50" w14:paraId="72169AF0" w14:textId="77777777">
        <w:trPr>
          <w:trHeight w:val="432"/>
          <w:jc w:val="center"/>
        </w:trPr>
        <w:tc>
          <w:tcPr>
            <w:tcW w:w="3528" w:type="dxa"/>
          </w:tcPr>
          <w:p w:rsidRPr="009F7561" w:rsidR="003B0E6F" w:rsidP="00E82689" w:rsidRDefault="003B0E6F" w14:paraId="166781C6" w14:textId="77777777">
            <w:pPr>
              <w:spacing w:before="120" w:after="120" w:line="240" w:lineRule="auto"/>
              <w:ind w:right="-230"/>
              <w:jc w:val="both"/>
              <w:rPr>
                <w:lang w:val="en-GB"/>
              </w:rPr>
            </w:pPr>
          </w:p>
        </w:tc>
        <w:tc>
          <w:tcPr>
            <w:tcW w:w="1345" w:type="dxa"/>
          </w:tcPr>
          <w:p w:rsidRPr="009F7561" w:rsidR="003B0E6F" w:rsidP="00E82689" w:rsidRDefault="003B0E6F" w14:paraId="1BEA445A" w14:textId="77777777">
            <w:pPr>
              <w:spacing w:before="120" w:after="120" w:line="240" w:lineRule="auto"/>
              <w:ind w:right="-230"/>
              <w:jc w:val="both"/>
              <w:rPr>
                <w:lang w:val="en-GB"/>
              </w:rPr>
            </w:pPr>
          </w:p>
        </w:tc>
        <w:tc>
          <w:tcPr>
            <w:tcW w:w="4415" w:type="dxa"/>
          </w:tcPr>
          <w:p w:rsidRPr="009F7561" w:rsidR="003B0E6F" w:rsidP="00E82689" w:rsidRDefault="003B0E6F" w14:paraId="054CE5C0" w14:textId="77777777">
            <w:pPr>
              <w:spacing w:before="120" w:after="120" w:line="240" w:lineRule="auto"/>
              <w:ind w:right="-230"/>
              <w:jc w:val="both"/>
              <w:rPr>
                <w:lang w:val="en-GB"/>
              </w:rPr>
            </w:pPr>
          </w:p>
        </w:tc>
      </w:tr>
      <w:tr w:rsidRPr="009F7561" w:rsidR="007B57E6" w:rsidTr="002E7C50" w14:paraId="4BF3D28E" w14:textId="77777777">
        <w:trPr>
          <w:trHeight w:val="432"/>
          <w:jc w:val="center"/>
        </w:trPr>
        <w:tc>
          <w:tcPr>
            <w:tcW w:w="3528" w:type="dxa"/>
          </w:tcPr>
          <w:p w:rsidRPr="009F7561" w:rsidR="003B0E6F" w:rsidP="00E82689" w:rsidRDefault="003B0E6F" w14:paraId="6842DF1F" w14:textId="77777777">
            <w:pPr>
              <w:spacing w:before="120" w:after="120" w:line="240" w:lineRule="auto"/>
              <w:ind w:right="-230"/>
              <w:jc w:val="both"/>
              <w:rPr>
                <w:lang w:val="en-GB"/>
              </w:rPr>
            </w:pPr>
          </w:p>
        </w:tc>
        <w:tc>
          <w:tcPr>
            <w:tcW w:w="1345" w:type="dxa"/>
          </w:tcPr>
          <w:p w:rsidRPr="009F7561" w:rsidR="003B0E6F" w:rsidP="00E82689" w:rsidRDefault="003B0E6F" w14:paraId="6876A4DE" w14:textId="77777777">
            <w:pPr>
              <w:spacing w:before="120" w:after="120" w:line="240" w:lineRule="auto"/>
              <w:ind w:right="-230"/>
              <w:jc w:val="both"/>
              <w:rPr>
                <w:lang w:val="en-GB"/>
              </w:rPr>
            </w:pPr>
          </w:p>
        </w:tc>
        <w:tc>
          <w:tcPr>
            <w:tcW w:w="4415" w:type="dxa"/>
          </w:tcPr>
          <w:p w:rsidRPr="009F7561" w:rsidR="003B0E6F" w:rsidP="00E82689" w:rsidRDefault="003B0E6F" w14:paraId="2A9FB51D" w14:textId="77777777">
            <w:pPr>
              <w:spacing w:before="120" w:after="120" w:line="240" w:lineRule="auto"/>
              <w:ind w:right="-230"/>
              <w:jc w:val="both"/>
              <w:rPr>
                <w:lang w:val="en-GB"/>
              </w:rPr>
            </w:pPr>
          </w:p>
        </w:tc>
      </w:tr>
      <w:tr w:rsidRPr="009F7561" w:rsidR="007B57E6" w:rsidTr="002E7C50" w14:paraId="0E392475" w14:textId="77777777">
        <w:trPr>
          <w:trHeight w:val="432"/>
          <w:jc w:val="center"/>
        </w:trPr>
        <w:tc>
          <w:tcPr>
            <w:tcW w:w="3528" w:type="dxa"/>
          </w:tcPr>
          <w:p w:rsidRPr="009F7561" w:rsidR="003B0E6F" w:rsidP="00E82689" w:rsidRDefault="003B0E6F" w14:paraId="63E17431" w14:textId="77777777">
            <w:pPr>
              <w:spacing w:before="120" w:after="120" w:line="240" w:lineRule="auto"/>
              <w:ind w:right="-230"/>
              <w:jc w:val="both"/>
              <w:rPr>
                <w:lang w:val="en-GB"/>
              </w:rPr>
            </w:pPr>
          </w:p>
        </w:tc>
        <w:tc>
          <w:tcPr>
            <w:tcW w:w="1345" w:type="dxa"/>
          </w:tcPr>
          <w:p w:rsidRPr="009F7561" w:rsidR="003B0E6F" w:rsidP="00E82689" w:rsidRDefault="003B0E6F" w14:paraId="5B335723" w14:textId="77777777">
            <w:pPr>
              <w:spacing w:before="120" w:after="120" w:line="240" w:lineRule="auto"/>
              <w:ind w:right="-230"/>
              <w:jc w:val="both"/>
              <w:rPr>
                <w:lang w:val="en-GB"/>
              </w:rPr>
            </w:pPr>
          </w:p>
        </w:tc>
        <w:tc>
          <w:tcPr>
            <w:tcW w:w="4415" w:type="dxa"/>
          </w:tcPr>
          <w:p w:rsidRPr="009F7561" w:rsidR="003B0E6F" w:rsidP="00E82689" w:rsidRDefault="003B0E6F" w14:paraId="5BA2C3A9" w14:textId="77777777">
            <w:pPr>
              <w:spacing w:before="120" w:after="120" w:line="240" w:lineRule="auto"/>
              <w:ind w:right="-230"/>
              <w:jc w:val="both"/>
              <w:rPr>
                <w:lang w:val="en-GB"/>
              </w:rPr>
            </w:pPr>
          </w:p>
        </w:tc>
      </w:tr>
      <w:tr w:rsidRPr="009F7561" w:rsidR="007B57E6" w:rsidTr="002E7C50" w14:paraId="153EA85A" w14:textId="77777777">
        <w:trPr>
          <w:trHeight w:val="432"/>
          <w:jc w:val="center"/>
        </w:trPr>
        <w:tc>
          <w:tcPr>
            <w:tcW w:w="3528" w:type="dxa"/>
          </w:tcPr>
          <w:p w:rsidRPr="009F7561" w:rsidR="003B0E6F" w:rsidP="00E82689" w:rsidRDefault="003B0E6F" w14:paraId="41384BDC" w14:textId="77777777">
            <w:pPr>
              <w:spacing w:before="120" w:after="120" w:line="240" w:lineRule="auto"/>
              <w:ind w:right="-230"/>
              <w:jc w:val="both"/>
              <w:rPr>
                <w:lang w:val="en-GB"/>
              </w:rPr>
            </w:pPr>
          </w:p>
        </w:tc>
        <w:tc>
          <w:tcPr>
            <w:tcW w:w="1345" w:type="dxa"/>
          </w:tcPr>
          <w:p w:rsidRPr="009F7561" w:rsidR="003B0E6F" w:rsidP="00E82689" w:rsidRDefault="003B0E6F" w14:paraId="27C308F8" w14:textId="77777777">
            <w:pPr>
              <w:spacing w:before="120" w:after="120" w:line="240" w:lineRule="auto"/>
              <w:ind w:right="-230"/>
              <w:jc w:val="both"/>
              <w:rPr>
                <w:lang w:val="en-GB"/>
              </w:rPr>
            </w:pPr>
          </w:p>
        </w:tc>
        <w:tc>
          <w:tcPr>
            <w:tcW w:w="4415" w:type="dxa"/>
          </w:tcPr>
          <w:p w:rsidRPr="009F7561" w:rsidR="003B0E6F" w:rsidP="00E82689" w:rsidRDefault="003B0E6F" w14:paraId="003BE7F7" w14:textId="77777777">
            <w:pPr>
              <w:spacing w:before="120" w:after="120" w:line="240" w:lineRule="auto"/>
              <w:ind w:right="-230"/>
              <w:jc w:val="both"/>
              <w:rPr>
                <w:lang w:val="en-GB"/>
              </w:rPr>
            </w:pPr>
          </w:p>
        </w:tc>
      </w:tr>
    </w:tbl>
    <w:p w:rsidRPr="00847EC9" w:rsidR="008655AD" w:rsidP="00847EC9" w:rsidRDefault="008655AD" w14:paraId="7A9A3C1E" w14:textId="59AA3E62">
      <w:pPr>
        <w:rPr>
          <w:b/>
          <w:sz w:val="56"/>
          <w:szCs w:val="56"/>
          <w:lang w:val="en-GB"/>
        </w:rPr>
      </w:pPr>
    </w:p>
    <w:sectPr w:rsidRPr="00847EC9" w:rsidR="008655AD">
      <w:headerReference w:type="default" r:id="rId34"/>
      <w:footerReference w:type="default" r:id="rId35"/>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696B" w:rsidRDefault="0046696B" w14:paraId="1EAEE4EC" w14:textId="77777777">
      <w:pPr>
        <w:spacing w:line="240" w:lineRule="auto"/>
      </w:pPr>
      <w:r>
        <w:separator/>
      </w:r>
    </w:p>
  </w:endnote>
  <w:endnote w:type="continuationSeparator" w:id="0">
    <w:p w:rsidR="0046696B" w:rsidRDefault="0046696B" w14:paraId="73EC09CA" w14:textId="77777777">
      <w:pPr>
        <w:spacing w:line="240" w:lineRule="auto"/>
      </w:pPr>
      <w:r>
        <w:continuationSeparator/>
      </w:r>
    </w:p>
  </w:endnote>
  <w:endnote w:type="continuationNotice" w:id="1">
    <w:p w:rsidR="0046696B" w:rsidRDefault="0046696B" w14:paraId="625F61B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23A" w:rsidRDefault="00CE2830" w14:paraId="7E28FE74" w14:textId="7F696719">
    <w:pPr>
      <w:jc w:val="right"/>
    </w:pPr>
    <w:r>
      <w:fldChar w:fldCharType="begin"/>
    </w:r>
    <w:r>
      <w:instrText>PAGE</w:instrText>
    </w:r>
    <w:r>
      <w:fldChar w:fldCharType="separate"/>
    </w:r>
    <w:r w:rsidR="005D1C8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696B" w:rsidRDefault="0046696B" w14:paraId="68ACFDA3" w14:textId="77777777">
      <w:pPr>
        <w:spacing w:line="240" w:lineRule="auto"/>
      </w:pPr>
      <w:r>
        <w:separator/>
      </w:r>
    </w:p>
  </w:footnote>
  <w:footnote w:type="continuationSeparator" w:id="0">
    <w:p w:rsidR="0046696B" w:rsidRDefault="0046696B" w14:paraId="2CA21986" w14:textId="77777777">
      <w:pPr>
        <w:spacing w:line="240" w:lineRule="auto"/>
      </w:pPr>
      <w:r>
        <w:continuationSeparator/>
      </w:r>
    </w:p>
  </w:footnote>
  <w:footnote w:type="continuationNotice" w:id="1">
    <w:p w:rsidR="0046696B" w:rsidRDefault="0046696B" w14:paraId="34969FFC" w14:textId="77777777">
      <w:pPr>
        <w:spacing w:line="240" w:lineRule="auto"/>
      </w:pPr>
    </w:p>
  </w:footnote>
  <w:footnote w:id="2">
    <w:p w:rsidRPr="00C624CF" w:rsidR="001D323A" w:rsidRDefault="00CE2830" w14:paraId="7E28FE80" w14:textId="46CCEED1">
      <w:pPr>
        <w:pBdr>
          <w:top w:val="nil"/>
          <w:left w:val="nil"/>
          <w:bottom w:val="nil"/>
          <w:right w:val="nil"/>
          <w:between w:val="nil"/>
        </w:pBdr>
        <w:spacing w:line="240" w:lineRule="auto"/>
        <w:rPr>
          <w:color w:val="000000"/>
          <w:sz w:val="18"/>
        </w:rPr>
      </w:pPr>
      <w:r w:rsidRPr="00C624CF">
        <w:rPr>
          <w:rStyle w:val="FootnoteReference"/>
          <w:sz w:val="18"/>
        </w:rPr>
        <w:footnoteRef/>
      </w:r>
      <w:r w:rsidRPr="00C624CF">
        <w:rPr>
          <w:color w:val="000000"/>
          <w:sz w:val="18"/>
        </w:rPr>
        <w:t xml:space="preserve"> The GBV SOPs </w:t>
      </w:r>
      <w:r w:rsidRPr="00C624CF" w:rsidR="000963B3">
        <w:rPr>
          <w:color w:val="000000"/>
          <w:sz w:val="18"/>
        </w:rPr>
        <w:t xml:space="preserve">reference group </w:t>
      </w:r>
      <w:r w:rsidRPr="00C624CF">
        <w:rPr>
          <w:color w:val="000000"/>
          <w:sz w:val="18"/>
        </w:rPr>
        <w:t xml:space="preserve">represents key actors and </w:t>
      </w:r>
      <w:r w:rsidRPr="00C624CF" w:rsidR="00320A1B">
        <w:rPr>
          <w:color w:val="000000"/>
          <w:sz w:val="18"/>
        </w:rPr>
        <w:t>organizations</w:t>
      </w:r>
      <w:r w:rsidRPr="00C624CF">
        <w:rPr>
          <w:color w:val="000000"/>
          <w:sz w:val="18"/>
        </w:rPr>
        <w:t xml:space="preserve"> and includes women-led </w:t>
      </w:r>
      <w:r w:rsidRPr="00C624CF" w:rsidR="000963B3">
        <w:rPr>
          <w:color w:val="000000"/>
          <w:sz w:val="18"/>
        </w:rPr>
        <w:t xml:space="preserve">organizations </w:t>
      </w:r>
      <w:r w:rsidRPr="00C624CF">
        <w:rPr>
          <w:color w:val="000000"/>
          <w:sz w:val="18"/>
        </w:rPr>
        <w:t>(WLO</w:t>
      </w:r>
      <w:r w:rsidRPr="00C624CF" w:rsidR="000963B3">
        <w:rPr>
          <w:color w:val="000000"/>
          <w:sz w:val="18"/>
        </w:rPr>
        <w:t>s</w:t>
      </w:r>
      <w:r w:rsidRPr="00C624CF">
        <w:rPr>
          <w:color w:val="000000"/>
          <w:sz w:val="18"/>
        </w:rPr>
        <w:t xml:space="preserve">) and women’s rights </w:t>
      </w:r>
      <w:r w:rsidRPr="00C624CF" w:rsidR="00320A1B">
        <w:rPr>
          <w:color w:val="000000"/>
          <w:sz w:val="18"/>
        </w:rPr>
        <w:t>organizations</w:t>
      </w:r>
      <w:r w:rsidRPr="00C624CF">
        <w:rPr>
          <w:color w:val="000000"/>
          <w:sz w:val="18"/>
        </w:rPr>
        <w:t xml:space="preserve"> (WRO</w:t>
      </w:r>
      <w:r w:rsidRPr="00C624CF" w:rsidR="000963B3">
        <w:rPr>
          <w:color w:val="000000"/>
          <w:sz w:val="18"/>
        </w:rPr>
        <w:t>s</w:t>
      </w:r>
      <w:r w:rsidRPr="00C624CF">
        <w:rPr>
          <w:color w:val="000000"/>
          <w:sz w:val="18"/>
        </w:rPr>
        <w:t xml:space="preserve">), local, national and international NGOs, government, other clusters/sectors and UN agencies. This core group will facilitate the GBV </w:t>
      </w:r>
      <w:r w:rsidRPr="00C624CF" w:rsidR="0056267F">
        <w:rPr>
          <w:color w:val="000000"/>
          <w:sz w:val="18"/>
        </w:rPr>
        <w:t>SOPs</w:t>
      </w:r>
      <w:r w:rsidRPr="00C624CF">
        <w:rPr>
          <w:color w:val="000000"/>
          <w:sz w:val="18"/>
        </w:rPr>
        <w:t xml:space="preserve"> development process and keep it moving forward.</w:t>
      </w:r>
    </w:p>
  </w:footnote>
  <w:footnote w:id="3">
    <w:p w:rsidRPr="00C624CF" w:rsidR="001D323A" w:rsidRDefault="00CE2830" w14:paraId="7E28FE81" w14:textId="2B45E3B4">
      <w:pPr>
        <w:pBdr>
          <w:top w:val="nil"/>
          <w:left w:val="nil"/>
          <w:bottom w:val="nil"/>
          <w:right w:val="nil"/>
          <w:between w:val="nil"/>
        </w:pBdr>
        <w:spacing w:line="240" w:lineRule="auto"/>
        <w:rPr>
          <w:color w:val="000000"/>
          <w:sz w:val="18"/>
        </w:rPr>
      </w:pPr>
      <w:r w:rsidRPr="00C624CF">
        <w:rPr>
          <w:rStyle w:val="FootnoteReference"/>
          <w:sz w:val="18"/>
        </w:rPr>
        <w:footnoteRef/>
      </w:r>
      <w:r w:rsidRPr="00C624CF">
        <w:rPr>
          <w:color w:val="000000"/>
          <w:sz w:val="18"/>
        </w:rPr>
        <w:t xml:space="preserve"> Although this GBV </w:t>
      </w:r>
      <w:r w:rsidRPr="00C624CF" w:rsidR="0056267F">
        <w:rPr>
          <w:color w:val="000000"/>
          <w:sz w:val="18"/>
        </w:rPr>
        <w:t>SOPs</w:t>
      </w:r>
      <w:r w:rsidRPr="00C624CF">
        <w:rPr>
          <w:color w:val="000000"/>
          <w:sz w:val="18"/>
        </w:rPr>
        <w:t xml:space="preserve"> </w:t>
      </w:r>
      <w:r w:rsidRPr="00C624CF" w:rsidR="002513DC">
        <w:rPr>
          <w:sz w:val="18"/>
        </w:rPr>
        <w:t>resource package</w:t>
      </w:r>
      <w:r w:rsidRPr="00C624CF" w:rsidR="002513DC">
        <w:rPr>
          <w:color w:val="000000"/>
          <w:sz w:val="18"/>
        </w:rPr>
        <w:t xml:space="preserve"> </w:t>
      </w:r>
      <w:r w:rsidRPr="00C624CF">
        <w:rPr>
          <w:color w:val="000000"/>
          <w:sz w:val="18"/>
        </w:rPr>
        <w:t>focuses on humanitarian settings, the content is flexible enough to be used in contexts where there are both humanitarian and development interventions.</w:t>
      </w:r>
    </w:p>
  </w:footnote>
  <w:footnote w:id="4">
    <w:p w:rsidRPr="00C624CF" w:rsidR="001D323A" w:rsidRDefault="00CE2830" w14:paraId="7E28FE82" w14:textId="47180FAB">
      <w:pPr>
        <w:pBdr>
          <w:top w:val="nil"/>
          <w:left w:val="nil"/>
          <w:bottom w:val="nil"/>
          <w:right w:val="nil"/>
          <w:between w:val="nil"/>
        </w:pBdr>
        <w:spacing w:line="240" w:lineRule="auto"/>
        <w:rPr>
          <w:color w:val="000000"/>
          <w:sz w:val="18"/>
        </w:rPr>
      </w:pPr>
      <w:r w:rsidRPr="00C624CF">
        <w:rPr>
          <w:rStyle w:val="FootnoteReference"/>
          <w:sz w:val="18"/>
        </w:rPr>
        <w:footnoteRef/>
      </w:r>
      <w:r w:rsidRPr="00C624CF">
        <w:rPr>
          <w:color w:val="000000"/>
          <w:sz w:val="18"/>
        </w:rPr>
        <w:t xml:space="preserve"> Please add other sectoral actors to the table based on the actors and </w:t>
      </w:r>
      <w:r w:rsidRPr="00C624CF">
        <w:rPr>
          <w:sz w:val="18"/>
        </w:rPr>
        <w:t xml:space="preserve">persons we work with and </w:t>
      </w:r>
      <w:r w:rsidRPr="00630569" w:rsidR="00A1516F">
        <w:rPr>
          <w:sz w:val="18"/>
          <w:szCs w:val="18"/>
        </w:rPr>
        <w:t xml:space="preserve">also based </w:t>
      </w:r>
      <w:r w:rsidRPr="00C624CF" w:rsidR="009721D2">
        <w:rPr>
          <w:sz w:val="18"/>
        </w:rPr>
        <w:t xml:space="preserve">on </w:t>
      </w:r>
      <w:r w:rsidRPr="00C624CF">
        <w:rPr>
          <w:color w:val="000000"/>
          <w:sz w:val="18"/>
        </w:rPr>
        <w:t xml:space="preserve">who participated in the GBV </w:t>
      </w:r>
      <w:r w:rsidRPr="00C624CF" w:rsidR="0056267F">
        <w:rPr>
          <w:color w:val="000000"/>
          <w:sz w:val="18"/>
        </w:rPr>
        <w:t>SOPs</w:t>
      </w:r>
      <w:r w:rsidRPr="00C624CF">
        <w:rPr>
          <w:color w:val="000000"/>
          <w:sz w:val="18"/>
        </w:rPr>
        <w:t xml:space="preserve"> development process.</w:t>
      </w:r>
    </w:p>
  </w:footnote>
  <w:footnote w:id="5">
    <w:p w:rsidRPr="00E34583" w:rsidR="001D323A" w:rsidP="00E34583" w:rsidRDefault="00CE2830" w14:paraId="7E28FE83" w14:textId="61888D4F">
      <w:pPr>
        <w:rPr>
          <w:sz w:val="18"/>
          <w:szCs w:val="18"/>
        </w:rPr>
      </w:pPr>
      <w:r w:rsidRPr="00C624CF">
        <w:rPr>
          <w:rStyle w:val="FootnoteReference"/>
          <w:sz w:val="18"/>
        </w:rPr>
        <w:footnoteRef/>
      </w:r>
      <w:r w:rsidRPr="00C624CF">
        <w:rPr>
          <w:sz w:val="18"/>
        </w:rPr>
        <w:t xml:space="preserve"> In an effort to ensure consistency, to the extent possible, some definitions have been taken directly from the </w:t>
      </w:r>
      <w:hyperlink w:history="1" r:id="rId1">
        <w:r w:rsidRPr="00BE761E" w:rsidR="00E34583">
          <w:rPr>
            <w:rStyle w:val="Hyperlink"/>
            <w:sz w:val="18"/>
            <w:szCs w:val="18"/>
          </w:rPr>
          <w:t>IASC GBV Guidelines (2015)</w:t>
        </w:r>
      </w:hyperlink>
      <w:r w:rsidRPr="00BE761E" w:rsidR="00E34583">
        <w:rPr>
          <w:sz w:val="18"/>
          <w:szCs w:val="18"/>
        </w:rPr>
        <w:t xml:space="preserve"> </w:t>
      </w:r>
      <w:r w:rsidRPr="001C3445" w:rsidR="001C3445">
        <w:rPr>
          <w:sz w:val="18"/>
          <w:szCs w:val="18"/>
        </w:rPr>
        <w:t>(accessed 27 June 2023)</w:t>
      </w:r>
      <w:r w:rsidR="001C3445">
        <w:rPr>
          <w:sz w:val="18"/>
          <w:szCs w:val="18"/>
        </w:rPr>
        <w:t xml:space="preserve"> </w:t>
      </w:r>
      <w:r w:rsidRPr="00C624CF">
        <w:rPr>
          <w:sz w:val="18"/>
        </w:rPr>
        <w:t xml:space="preserve">and from </w:t>
      </w:r>
      <w:hyperlink w:history="1" r:id="rId2">
        <w:r w:rsidR="00566E98">
          <w:rPr>
            <w:rStyle w:val="Hyperlink"/>
            <w:sz w:val="18"/>
            <w:szCs w:val="18"/>
          </w:rPr>
          <w:t>Caring for Child Survivors of Sexual Abuse (2014)</w:t>
        </w:r>
      </w:hyperlink>
      <w:r w:rsidR="001C3445">
        <w:rPr>
          <w:sz w:val="18"/>
          <w:szCs w:val="18"/>
        </w:rPr>
        <w:t xml:space="preserve"> </w:t>
      </w:r>
      <w:r w:rsidRPr="001C3445" w:rsidR="001C3445">
        <w:rPr>
          <w:sz w:val="18"/>
          <w:szCs w:val="18"/>
        </w:rPr>
        <w:t>(accessed 27 June 2023)</w:t>
      </w:r>
      <w:r w:rsidRPr="00630569" w:rsidR="00FD6F7C">
        <w:rPr>
          <w:sz w:val="18"/>
          <w:szCs w:val="18"/>
        </w:rPr>
        <w:t>.</w:t>
      </w:r>
      <w:r w:rsidR="008623F3">
        <w:rPr>
          <w:sz w:val="18"/>
          <w:szCs w:val="18"/>
        </w:rPr>
        <w:t xml:space="preserve"> </w:t>
      </w:r>
    </w:p>
  </w:footnote>
  <w:footnote w:id="6">
    <w:p w:rsidRPr="00C624CF" w:rsidR="001D323A" w:rsidRDefault="00CE2830" w14:paraId="7E28FE84" w14:textId="78F112EA">
      <w:pPr>
        <w:spacing w:line="240" w:lineRule="auto"/>
        <w:rPr>
          <w:sz w:val="18"/>
        </w:rPr>
      </w:pPr>
      <w:r w:rsidRPr="00C624CF">
        <w:rPr>
          <w:rStyle w:val="FootnoteReference"/>
          <w:sz w:val="18"/>
        </w:rPr>
        <w:footnoteRef/>
      </w:r>
      <w:r w:rsidRPr="00C624CF">
        <w:rPr>
          <w:sz w:val="18"/>
        </w:rPr>
        <w:t xml:space="preserve"> Age 18 is the legal age for a person to be responsible for their actions</w:t>
      </w:r>
      <w:r w:rsidRPr="00630569" w:rsidR="00A50150">
        <w:rPr>
          <w:sz w:val="18"/>
          <w:szCs w:val="18"/>
        </w:rPr>
        <w:t>.</w:t>
      </w:r>
      <w:r w:rsidRPr="00630569" w:rsidR="001A0D9F">
        <w:rPr>
          <w:sz w:val="18"/>
          <w:szCs w:val="18"/>
        </w:rPr>
        <w:t xml:space="preserve"> </w:t>
      </w:r>
      <w:r w:rsidRPr="00630569" w:rsidR="00A50150">
        <w:rPr>
          <w:sz w:val="18"/>
          <w:szCs w:val="18"/>
        </w:rPr>
        <w:t>The same person can</w:t>
      </w:r>
      <w:r w:rsidRPr="00C624CF" w:rsidR="00A50150">
        <w:rPr>
          <w:sz w:val="18"/>
        </w:rPr>
        <w:t xml:space="preserve"> </w:t>
      </w:r>
      <w:r w:rsidRPr="00C624CF">
        <w:rPr>
          <w:sz w:val="18"/>
        </w:rPr>
        <w:t xml:space="preserve">be a </w:t>
      </w:r>
      <w:r w:rsidRPr="00C624CF" w:rsidR="00840231">
        <w:rPr>
          <w:sz w:val="18"/>
        </w:rPr>
        <w:t>“</w:t>
      </w:r>
      <w:r w:rsidRPr="00C624CF">
        <w:rPr>
          <w:sz w:val="18"/>
        </w:rPr>
        <w:t xml:space="preserve">late </w:t>
      </w:r>
      <w:r w:rsidRPr="00C624CF" w:rsidR="00840231">
        <w:rPr>
          <w:sz w:val="18"/>
        </w:rPr>
        <w:t xml:space="preserve">adolescent” </w:t>
      </w:r>
      <w:r w:rsidRPr="00C624CF">
        <w:rPr>
          <w:sz w:val="18"/>
        </w:rPr>
        <w:t xml:space="preserve">in terms of development and an </w:t>
      </w:r>
      <w:r w:rsidRPr="00C624CF" w:rsidR="00840231">
        <w:rPr>
          <w:sz w:val="18"/>
        </w:rPr>
        <w:t xml:space="preserve">“adult” </w:t>
      </w:r>
      <w:r w:rsidRPr="00C624CF">
        <w:rPr>
          <w:sz w:val="18"/>
        </w:rPr>
        <w:t>according to international guidance.</w:t>
      </w:r>
    </w:p>
  </w:footnote>
  <w:footnote w:id="7">
    <w:p w:rsidRPr="00FE54D8" w:rsidR="001D323A" w:rsidP="00FE54D8" w:rsidRDefault="00CE2830" w14:paraId="7E28FE85" w14:textId="09E8D765">
      <w:pPr>
        <w:rPr>
          <w:sz w:val="18"/>
          <w:szCs w:val="18"/>
        </w:rPr>
      </w:pPr>
      <w:r w:rsidRPr="00C624CF">
        <w:rPr>
          <w:rStyle w:val="FootnoteReference"/>
          <w:sz w:val="18"/>
        </w:rPr>
        <w:footnoteRef/>
      </w:r>
      <w:r w:rsidRPr="0005346E">
        <w:rPr>
          <w:sz w:val="18"/>
        </w:rPr>
        <w:t xml:space="preserve"> </w:t>
      </w:r>
      <w:hyperlink w:history="1" r:id="rId3">
        <w:r w:rsidRPr="00BE761E" w:rsidR="00FE54D8">
          <w:rPr>
            <w:rStyle w:val="Hyperlink"/>
            <w:sz w:val="18"/>
            <w:szCs w:val="18"/>
          </w:rPr>
          <w:t>IASC GBV Guidelines (2015)</w:t>
        </w:r>
      </w:hyperlink>
      <w:r w:rsidR="0005346E">
        <w:rPr>
          <w:sz w:val="18"/>
        </w:rPr>
        <w:t xml:space="preserve">, </w:t>
      </w:r>
      <w:r w:rsidRPr="0005346E" w:rsidR="0005346E">
        <w:rPr>
          <w:sz w:val="18"/>
        </w:rPr>
        <w:t>p. 324, note 1.</w:t>
      </w:r>
    </w:p>
  </w:footnote>
  <w:footnote w:id="8">
    <w:p w:rsidRPr="0005346E" w:rsidR="001D323A" w:rsidRDefault="00CE2830" w14:paraId="7E28FE86" w14:textId="04B779E6">
      <w:pPr>
        <w:pBdr>
          <w:top w:val="nil"/>
          <w:left w:val="nil"/>
          <w:bottom w:val="nil"/>
          <w:right w:val="nil"/>
          <w:between w:val="nil"/>
        </w:pBdr>
        <w:spacing w:line="240" w:lineRule="auto"/>
        <w:rPr>
          <w:color w:val="000000"/>
          <w:sz w:val="18"/>
        </w:rPr>
      </w:pPr>
      <w:r w:rsidRPr="0005346E">
        <w:rPr>
          <w:rStyle w:val="FootnoteReference"/>
          <w:sz w:val="18"/>
        </w:rPr>
        <w:footnoteRef/>
      </w:r>
      <w:sdt>
        <w:sdtPr>
          <w:rPr>
            <w:sz w:val="18"/>
          </w:rPr>
          <w:tag w:val="goog_rdk_85"/>
          <w:id w:val="304747787"/>
        </w:sdtPr>
        <w:sdtEndPr/>
        <w:sdtContent>
          <w:r w:rsidRPr="0005346E">
            <w:rPr>
              <w:color w:val="000000"/>
              <w:sz w:val="18"/>
            </w:rPr>
            <w:t xml:space="preserve"> </w:t>
          </w:r>
          <w:hyperlink w:history="1" w:anchor=":~:text=Note%3A%20For%20UNHCR%2C%20the%20terms,people%2C%20and%20the%20internally%20displaced" r:id="rId4">
            <w:r w:rsidRPr="00FE54D8">
              <w:rPr>
                <w:sz w:val="18"/>
              </w:rPr>
              <w:t>UNHCR</w:t>
            </w:r>
            <w:r w:rsidRPr="00FE54D8" w:rsidR="007A5C96">
              <w:rPr>
                <w:sz w:val="18"/>
              </w:rPr>
              <w:t>,</w:t>
            </w:r>
            <w:r w:rsidR="007A5C96">
              <w:rPr>
                <w:color w:val="0000FF"/>
                <w:sz w:val="18"/>
                <w:u w:val="single"/>
              </w:rPr>
              <w:t xml:space="preserve"> </w:t>
            </w:r>
            <w:r w:rsidRPr="0005346E">
              <w:rPr>
                <w:color w:val="0000FF"/>
                <w:sz w:val="18"/>
                <w:u w:val="single"/>
              </w:rPr>
              <w:t>Master Glossary of Terms</w:t>
            </w:r>
          </w:hyperlink>
          <w:r w:rsidR="00F80DB7">
            <w:rPr>
              <w:color w:val="0000FF"/>
              <w:sz w:val="18"/>
              <w:szCs w:val="18"/>
              <w:u w:val="single"/>
            </w:rPr>
            <w:t xml:space="preserve"> </w:t>
          </w:r>
          <w:r w:rsidRPr="00566E98" w:rsidR="00F80DB7">
            <w:rPr>
              <w:sz w:val="18"/>
              <w:szCs w:val="18"/>
            </w:rPr>
            <w:t>(accessed 27 June 2023)</w:t>
          </w:r>
          <w:r w:rsidRPr="00566E98">
            <w:rPr>
              <w:sz w:val="18"/>
              <w:szCs w:val="18"/>
            </w:rPr>
            <w:t xml:space="preserve">. </w:t>
          </w:r>
        </w:sdtContent>
      </w:sdt>
    </w:p>
  </w:footnote>
  <w:footnote w:id="9">
    <w:p w:rsidRPr="00FE54D8" w:rsidR="001D323A" w:rsidP="00FE54D8" w:rsidRDefault="00CE2830" w14:paraId="7E28FE87" w14:textId="48604F35">
      <w:pPr>
        <w:rPr>
          <w:sz w:val="18"/>
          <w:szCs w:val="18"/>
        </w:rPr>
      </w:pPr>
      <w:r w:rsidRPr="0005346E">
        <w:rPr>
          <w:rStyle w:val="FootnoteReference"/>
          <w:sz w:val="18"/>
        </w:rPr>
        <w:footnoteRef/>
      </w:r>
      <w:r w:rsidRPr="0005346E">
        <w:rPr>
          <w:sz w:val="18"/>
        </w:rPr>
        <w:t xml:space="preserve"> </w:t>
      </w:r>
      <w:hyperlink w:history="1" r:id="rId5">
        <w:r w:rsidRPr="00BE761E" w:rsidR="00FE54D8">
          <w:rPr>
            <w:rStyle w:val="Hyperlink"/>
            <w:sz w:val="18"/>
            <w:szCs w:val="18"/>
          </w:rPr>
          <w:t>IASC GBV Guidelines (2015)</w:t>
        </w:r>
      </w:hyperlink>
      <w:r w:rsidRPr="0005346E">
        <w:rPr>
          <w:sz w:val="18"/>
        </w:rPr>
        <w:t xml:space="preserve">, p. </w:t>
      </w:r>
      <w:r w:rsidR="00B445A3">
        <w:rPr>
          <w:sz w:val="18"/>
        </w:rPr>
        <w:t>338</w:t>
      </w:r>
      <w:r w:rsidR="008835EB">
        <w:rPr>
          <w:sz w:val="18"/>
        </w:rPr>
        <w:t>.</w:t>
      </w:r>
    </w:p>
  </w:footnote>
  <w:footnote w:id="10">
    <w:p w:rsidRPr="00957172" w:rsidR="001D323A" w:rsidRDefault="00CE2830" w14:paraId="7E28FE88" w14:textId="5CDC2444">
      <w:pPr>
        <w:pBdr>
          <w:top w:val="nil"/>
          <w:left w:val="nil"/>
          <w:bottom w:val="nil"/>
          <w:right w:val="nil"/>
          <w:between w:val="nil"/>
        </w:pBdr>
        <w:spacing w:line="240" w:lineRule="auto"/>
        <w:rPr>
          <w:color w:val="000000"/>
          <w:sz w:val="18"/>
        </w:rPr>
      </w:pPr>
      <w:r w:rsidRPr="0005346E">
        <w:rPr>
          <w:rStyle w:val="FootnoteReference"/>
          <w:sz w:val="18"/>
        </w:rPr>
        <w:footnoteRef/>
      </w:r>
      <w:r w:rsidRPr="0005346E">
        <w:rPr>
          <w:color w:val="000000"/>
          <w:sz w:val="18"/>
        </w:rPr>
        <w:t xml:space="preserve"> </w:t>
      </w:r>
      <w:sdt>
        <w:sdtPr>
          <w:rPr>
            <w:sz w:val="18"/>
          </w:rPr>
          <w:tag w:val="goog_rdk_86"/>
          <w:id w:val="-1532946227"/>
        </w:sdtPr>
        <w:sdtEndPr/>
        <w:sdtContent>
          <w:hyperlink w:history="1" w:anchor=":~:text=Note%3A%20For%20UNHCR%2C%20the%20terms,people%2C%20and%20the%20internally%20displaced" r:id="rId6">
            <w:r w:rsidRPr="007A5C96" w:rsidR="007A5C96">
              <w:rPr>
                <w:sz w:val="18"/>
                <w:u w:val="single"/>
              </w:rPr>
              <w:t>UNHCR,</w:t>
            </w:r>
            <w:r w:rsidR="007A5C96">
              <w:rPr>
                <w:color w:val="0000FF"/>
                <w:sz w:val="18"/>
                <w:u w:val="single"/>
              </w:rPr>
              <w:t xml:space="preserve"> </w:t>
            </w:r>
            <w:r w:rsidRPr="00F80DB7" w:rsidR="00F80DB7">
              <w:rPr>
                <w:color w:val="0000FF"/>
                <w:sz w:val="18"/>
                <w:szCs w:val="18"/>
                <w:u w:val="single"/>
              </w:rPr>
              <w:t>M</w:t>
            </w:r>
            <w:r w:rsidRPr="00630569" w:rsidR="00265A67">
              <w:rPr>
                <w:color w:val="0000FF"/>
                <w:sz w:val="18"/>
                <w:szCs w:val="18"/>
                <w:u w:val="single"/>
              </w:rPr>
              <w:t>aster</w:t>
            </w:r>
            <w:r w:rsidRPr="0005346E" w:rsidR="00265A67">
              <w:rPr>
                <w:color w:val="0000FF"/>
                <w:sz w:val="18"/>
                <w:u w:val="single"/>
              </w:rPr>
              <w:t xml:space="preserve"> glossary of terms</w:t>
            </w:r>
          </w:hyperlink>
          <w:r w:rsidR="00957172">
            <w:rPr>
              <w:color w:val="0000FF"/>
              <w:sz w:val="18"/>
              <w:u w:val="single"/>
            </w:rPr>
            <w:t xml:space="preserve"> </w:t>
          </w:r>
          <w:r w:rsidRPr="007A5C96" w:rsidR="00957172">
            <w:rPr>
              <w:sz w:val="18"/>
              <w:u w:val="single"/>
            </w:rPr>
            <w:t>(accessed 27 June 2023)</w:t>
          </w:r>
          <w:r w:rsidRPr="007A5C96">
            <w:rPr>
              <w:sz w:val="18"/>
            </w:rPr>
            <w:t>.</w:t>
          </w:r>
        </w:sdtContent>
      </w:sdt>
    </w:p>
  </w:footnote>
  <w:footnote w:id="11">
    <w:p w:rsidRPr="007A5C96" w:rsidR="001D323A" w:rsidP="007A5C96" w:rsidRDefault="00CE2830" w14:paraId="7E28FE89" w14:textId="30BC672B">
      <w:pPr>
        <w:rPr>
          <w:sz w:val="18"/>
        </w:rPr>
      </w:pPr>
      <w:r w:rsidRPr="00957172">
        <w:rPr>
          <w:rStyle w:val="FootnoteReference"/>
          <w:sz w:val="18"/>
        </w:rPr>
        <w:footnoteRef/>
      </w:r>
      <w:r w:rsidRPr="00957172">
        <w:rPr>
          <w:color w:val="000000"/>
          <w:sz w:val="18"/>
        </w:rPr>
        <w:t xml:space="preserve"> </w:t>
      </w:r>
      <w:sdt>
        <w:sdtPr>
          <w:rPr>
            <w:sz w:val="18"/>
          </w:rPr>
          <w:tag w:val="goog_rdk_87"/>
          <w:id w:val="-970049055"/>
        </w:sdtPr>
        <w:sdtEndPr/>
        <w:sdtContent>
          <w:sdt>
            <w:sdtPr>
              <w:rPr>
                <w:sz w:val="18"/>
              </w:rPr>
              <w:tag w:val="goog_rdk_102"/>
              <w:id w:val="-1423413119"/>
            </w:sdtPr>
            <w:sdtEndPr/>
            <w:sdtContent>
              <w:hyperlink w:history="1" r:id="rId7">
                <w:r w:rsidR="007E3ECC">
                  <w:rPr>
                    <w:rStyle w:val="Hyperlink"/>
                    <w:sz w:val="18"/>
                  </w:rPr>
                  <w:t>Inter-Agency GBV Case Management Guidelines (2017)</w:t>
                </w:r>
              </w:hyperlink>
            </w:sdtContent>
          </w:sdt>
        </w:sdtContent>
      </w:sdt>
      <w:r w:rsidR="00F12172">
        <w:rPr>
          <w:color w:val="000000"/>
          <w:sz w:val="18"/>
        </w:rPr>
        <w:t xml:space="preserve">, </w:t>
      </w:r>
      <w:r w:rsidRPr="00957172" w:rsidR="00F12172">
        <w:rPr>
          <w:color w:val="000000"/>
          <w:sz w:val="18"/>
        </w:rPr>
        <w:t>p.243</w:t>
      </w:r>
    </w:p>
  </w:footnote>
  <w:footnote w:id="12">
    <w:p w:rsidRPr="00812262" w:rsidR="001D323A" w:rsidRDefault="00CE2830" w14:paraId="7E28FE8A" w14:textId="127A2DC3">
      <w:pPr>
        <w:pBdr>
          <w:top w:val="nil"/>
          <w:left w:val="nil"/>
          <w:bottom w:val="nil"/>
          <w:right w:val="nil"/>
          <w:between w:val="nil"/>
        </w:pBdr>
        <w:spacing w:line="240" w:lineRule="auto"/>
        <w:rPr>
          <w:color w:val="000000"/>
          <w:sz w:val="18"/>
        </w:rPr>
      </w:pPr>
      <w:r w:rsidRPr="00812262">
        <w:rPr>
          <w:rStyle w:val="FootnoteReference"/>
          <w:sz w:val="18"/>
        </w:rPr>
        <w:footnoteRef/>
      </w:r>
      <w:r w:rsidRPr="00812262">
        <w:rPr>
          <w:color w:val="000000"/>
          <w:sz w:val="18"/>
        </w:rPr>
        <w:t xml:space="preserve"> </w:t>
      </w:r>
      <w:sdt>
        <w:sdtPr>
          <w:rPr>
            <w:sz w:val="18"/>
          </w:rPr>
          <w:tag w:val="goog_rdk_88"/>
          <w:id w:val="-1408456691"/>
        </w:sdtPr>
        <w:sdtEndPr/>
        <w:sdtContent>
          <w:r w:rsidR="00F12172">
            <w:rPr>
              <w:color w:val="000000"/>
              <w:sz w:val="18"/>
            </w:rPr>
            <w:t>Ibid</w:t>
          </w:r>
          <w:r w:rsidRPr="00812262">
            <w:rPr>
              <w:color w:val="000000"/>
              <w:sz w:val="18"/>
            </w:rPr>
            <w:t>, p.</w:t>
          </w:r>
          <w:r w:rsidRPr="00812262" w:rsidR="0017621C">
            <w:rPr>
              <w:color w:val="000000"/>
              <w:sz w:val="18"/>
            </w:rPr>
            <w:t xml:space="preserve"> </w:t>
          </w:r>
          <w:r w:rsidRPr="00812262">
            <w:rPr>
              <w:color w:val="000000"/>
              <w:sz w:val="18"/>
            </w:rPr>
            <w:t>243</w:t>
          </w:r>
          <w:r w:rsidRPr="00812262" w:rsidR="00DA0204">
            <w:rPr>
              <w:color w:val="000000"/>
              <w:sz w:val="18"/>
            </w:rPr>
            <w:t>.</w:t>
          </w:r>
        </w:sdtContent>
      </w:sdt>
    </w:p>
  </w:footnote>
  <w:footnote w:id="13">
    <w:p w:rsidRPr="00812262" w:rsidR="001D323A" w:rsidRDefault="00CE2830" w14:paraId="7E28FE8B" w14:textId="334FA029">
      <w:pPr>
        <w:pBdr>
          <w:top w:val="nil"/>
          <w:left w:val="nil"/>
          <w:bottom w:val="nil"/>
          <w:right w:val="nil"/>
          <w:between w:val="nil"/>
        </w:pBdr>
        <w:spacing w:line="240" w:lineRule="auto"/>
        <w:rPr>
          <w:color w:val="000000"/>
          <w:sz w:val="18"/>
        </w:rPr>
      </w:pPr>
      <w:r w:rsidRPr="00812262">
        <w:rPr>
          <w:rStyle w:val="FootnoteReference"/>
          <w:sz w:val="18"/>
        </w:rPr>
        <w:footnoteRef/>
      </w:r>
      <w:r w:rsidRPr="00812262">
        <w:rPr>
          <w:color w:val="000000"/>
          <w:sz w:val="18"/>
        </w:rPr>
        <w:t xml:space="preserve"> </w:t>
      </w:r>
      <w:sdt>
        <w:sdtPr>
          <w:rPr>
            <w:sz w:val="18"/>
          </w:rPr>
          <w:tag w:val="goog_rdk_89"/>
          <w:id w:val="1419912475"/>
        </w:sdtPr>
        <w:sdtEndPr/>
        <w:sdtContent>
          <w:r w:rsidR="00F12172">
            <w:rPr>
              <w:color w:val="000000"/>
              <w:sz w:val="18"/>
            </w:rPr>
            <w:t>Ibid, p</w:t>
          </w:r>
          <w:r w:rsidRPr="00812262">
            <w:rPr>
              <w:color w:val="000000"/>
              <w:sz w:val="18"/>
            </w:rPr>
            <w:t>.</w:t>
          </w:r>
          <w:r w:rsidRPr="00812262" w:rsidR="0017621C">
            <w:rPr>
              <w:color w:val="000000"/>
              <w:sz w:val="18"/>
            </w:rPr>
            <w:t xml:space="preserve"> </w:t>
          </w:r>
          <w:r w:rsidRPr="00812262">
            <w:rPr>
              <w:color w:val="000000"/>
              <w:sz w:val="18"/>
            </w:rPr>
            <w:t>243</w:t>
          </w:r>
          <w:r w:rsidRPr="00812262" w:rsidR="00DA0204">
            <w:rPr>
              <w:color w:val="000000"/>
              <w:sz w:val="18"/>
            </w:rPr>
            <w:t>.</w:t>
          </w:r>
        </w:sdtContent>
      </w:sdt>
    </w:p>
  </w:footnote>
  <w:footnote w:id="14">
    <w:p w:rsidRPr="00812262" w:rsidR="001D323A" w:rsidRDefault="00CE2830" w14:paraId="7E28FE8C" w14:textId="01BA6C9E">
      <w:pPr>
        <w:pBdr>
          <w:top w:val="nil"/>
          <w:left w:val="nil"/>
          <w:bottom w:val="nil"/>
          <w:right w:val="nil"/>
          <w:between w:val="nil"/>
        </w:pBdr>
        <w:spacing w:line="240" w:lineRule="auto"/>
        <w:rPr>
          <w:color w:val="000000"/>
          <w:sz w:val="18"/>
        </w:rPr>
      </w:pPr>
      <w:r w:rsidRPr="00812262">
        <w:rPr>
          <w:rStyle w:val="FootnoteReference"/>
          <w:sz w:val="18"/>
        </w:rPr>
        <w:footnoteRef/>
      </w:r>
      <w:r w:rsidRPr="00812262">
        <w:rPr>
          <w:color w:val="000000"/>
          <w:sz w:val="18"/>
        </w:rPr>
        <w:t xml:space="preserve"> </w:t>
      </w:r>
      <w:sdt>
        <w:sdtPr>
          <w:rPr>
            <w:sz w:val="18"/>
          </w:rPr>
          <w:tag w:val="goog_rdk_90"/>
          <w:id w:val="-875000380"/>
        </w:sdtPr>
        <w:sdtEndPr/>
        <w:sdtContent>
          <w:r w:rsidR="00F12172">
            <w:rPr>
              <w:color w:val="000000"/>
              <w:sz w:val="18"/>
            </w:rPr>
            <w:t>Ibid</w:t>
          </w:r>
          <w:r w:rsidRPr="00812262">
            <w:rPr>
              <w:color w:val="000000"/>
              <w:sz w:val="18"/>
            </w:rPr>
            <w:t>, p.</w:t>
          </w:r>
          <w:r w:rsidRPr="00812262" w:rsidR="0017621C">
            <w:rPr>
              <w:color w:val="000000"/>
              <w:sz w:val="18"/>
            </w:rPr>
            <w:t xml:space="preserve"> </w:t>
          </w:r>
          <w:r w:rsidRPr="00812262">
            <w:rPr>
              <w:color w:val="000000"/>
              <w:sz w:val="18"/>
            </w:rPr>
            <w:t>244</w:t>
          </w:r>
          <w:r w:rsidRPr="00812262" w:rsidR="00DA0204">
            <w:rPr>
              <w:color w:val="000000"/>
              <w:sz w:val="18"/>
            </w:rPr>
            <w:t>.</w:t>
          </w:r>
        </w:sdtContent>
      </w:sdt>
    </w:p>
  </w:footnote>
  <w:footnote w:id="15">
    <w:p w:rsidRPr="00812262" w:rsidR="001D323A" w:rsidRDefault="00CE2830" w14:paraId="7E28FE8D" w14:textId="6A2BFD43">
      <w:pPr>
        <w:pBdr>
          <w:top w:val="nil"/>
          <w:left w:val="nil"/>
          <w:bottom w:val="nil"/>
          <w:right w:val="nil"/>
          <w:between w:val="nil"/>
        </w:pBdr>
        <w:spacing w:line="240" w:lineRule="auto"/>
        <w:rPr>
          <w:color w:val="000000"/>
          <w:sz w:val="18"/>
        </w:rPr>
      </w:pPr>
      <w:r w:rsidRPr="00812262">
        <w:rPr>
          <w:rStyle w:val="FootnoteReference"/>
          <w:sz w:val="18"/>
        </w:rPr>
        <w:footnoteRef/>
      </w:r>
      <w:sdt>
        <w:sdtPr>
          <w:rPr>
            <w:sz w:val="18"/>
          </w:rPr>
          <w:tag w:val="goog_rdk_91"/>
          <w:id w:val="21821633"/>
        </w:sdtPr>
        <w:sdtEndPr/>
        <w:sdtContent>
          <w:hyperlink w:history="1" r:id="rId8">
            <w:r w:rsidR="00D62CEA">
              <w:rPr>
                <w:rStyle w:val="Hyperlink"/>
                <w:sz w:val="18"/>
              </w:rPr>
              <w:t>United Nations Convention on the Rights of the Child</w:t>
            </w:r>
          </w:hyperlink>
          <w:r w:rsidR="00D62CEA">
            <w:rPr>
              <w:color w:val="000000"/>
              <w:sz w:val="18"/>
            </w:rPr>
            <w:t xml:space="preserve">, </w:t>
          </w:r>
          <w:r w:rsidRPr="00812262" w:rsidR="00D62CEA">
            <w:rPr>
              <w:color w:val="000000"/>
              <w:sz w:val="18"/>
            </w:rPr>
            <w:t>Art.1</w:t>
          </w:r>
          <w:r w:rsidR="00B27FF8">
            <w:rPr>
              <w:color w:val="000000"/>
              <w:sz w:val="18"/>
            </w:rPr>
            <w:t>.</w:t>
          </w:r>
        </w:sdtContent>
      </w:sdt>
    </w:p>
  </w:footnote>
  <w:footnote w:id="16">
    <w:p w:rsidRPr="003275AF" w:rsidR="001D323A" w:rsidP="003275AF" w:rsidRDefault="00CE2830" w14:paraId="7E28FE8E" w14:textId="1D8E6044">
      <w:pPr>
        <w:rPr>
          <w:sz w:val="18"/>
          <w:szCs w:val="18"/>
        </w:rPr>
      </w:pPr>
      <w:r w:rsidRPr="00812262">
        <w:rPr>
          <w:rStyle w:val="FootnoteReference"/>
          <w:sz w:val="18"/>
        </w:rPr>
        <w:footnoteRef/>
      </w:r>
      <w:r w:rsidRPr="00812262">
        <w:rPr>
          <w:sz w:val="18"/>
        </w:rPr>
        <w:t xml:space="preserve"> </w:t>
      </w:r>
      <w:hyperlink w:history="1" r:id="rId9">
        <w:r w:rsidRPr="00BE761E" w:rsidR="003275AF">
          <w:rPr>
            <w:rStyle w:val="Hyperlink"/>
            <w:sz w:val="18"/>
            <w:szCs w:val="18"/>
          </w:rPr>
          <w:t>IASC GBV Guidelines (2015)</w:t>
        </w:r>
      </w:hyperlink>
      <w:r w:rsidRPr="00812262">
        <w:rPr>
          <w:sz w:val="18"/>
        </w:rPr>
        <w:t>, p. 3</w:t>
      </w:r>
      <w:r w:rsidR="006519B7">
        <w:rPr>
          <w:sz w:val="18"/>
        </w:rPr>
        <w:t>35</w:t>
      </w:r>
      <w:r w:rsidRPr="00812262" w:rsidR="00753224">
        <w:rPr>
          <w:sz w:val="18"/>
        </w:rPr>
        <w:t>.</w:t>
      </w:r>
    </w:p>
  </w:footnote>
  <w:footnote w:id="17">
    <w:p w:rsidRPr="00B27FF8" w:rsidR="001D323A" w:rsidP="007A5C96" w:rsidRDefault="00CE2830" w14:paraId="7E28FE8F" w14:textId="7955F9B4">
      <w:pPr>
        <w:rPr>
          <w:sz w:val="18"/>
        </w:rPr>
      </w:pPr>
      <w:r w:rsidRPr="0024572D">
        <w:rPr>
          <w:rStyle w:val="FootnoteReference"/>
          <w:sz w:val="18"/>
        </w:rPr>
        <w:footnoteRef/>
      </w:r>
      <w:r w:rsidRPr="00B27FF8">
        <w:rPr>
          <w:color w:val="000000"/>
          <w:sz w:val="18"/>
        </w:rPr>
        <w:t xml:space="preserve"> </w:t>
      </w:r>
      <w:sdt>
        <w:sdtPr>
          <w:rPr>
            <w:sz w:val="18"/>
            <w:highlight w:val="magenta"/>
          </w:rPr>
          <w:tag w:val="goog_rdk_92"/>
          <w:id w:val="1775282368"/>
        </w:sdtPr>
        <w:sdtEndPr/>
        <w:sdtContent>
          <w:sdt>
            <w:sdtPr>
              <w:rPr>
                <w:sz w:val="18"/>
              </w:rPr>
              <w:tag w:val="goog_rdk_102"/>
              <w:id w:val="32711551"/>
            </w:sdtPr>
            <w:sdtEndPr/>
            <w:sdtContent>
              <w:hyperlink w:history="1" r:id="rId10">
                <w:r w:rsidR="00DF22E0">
                  <w:rPr>
                    <w:rStyle w:val="Hyperlink"/>
                    <w:sz w:val="18"/>
                  </w:rPr>
                  <w:t>Inter-Agency GBV Case Management Guidelines (2017)</w:t>
                </w:r>
              </w:hyperlink>
            </w:sdtContent>
          </w:sdt>
        </w:sdtContent>
      </w:sdt>
      <w:r w:rsidRPr="00B27FF8">
        <w:rPr>
          <w:sz w:val="18"/>
        </w:rPr>
        <w:t xml:space="preserve">, p. </w:t>
      </w:r>
      <w:r w:rsidRPr="00B27FF8" w:rsidR="00F30409">
        <w:rPr>
          <w:sz w:val="18"/>
        </w:rPr>
        <w:t>244</w:t>
      </w:r>
      <w:r w:rsidRPr="00B27FF8" w:rsidR="00B64AB5">
        <w:rPr>
          <w:sz w:val="18"/>
        </w:rPr>
        <w:t>.</w:t>
      </w:r>
    </w:p>
  </w:footnote>
  <w:footnote w:id="18">
    <w:p w:rsidRPr="00B27FF8" w:rsidR="001D323A" w:rsidRDefault="00CE2830" w14:paraId="7E28FE90" w14:textId="33CE7F2A">
      <w:pPr>
        <w:pBdr>
          <w:top w:val="nil"/>
          <w:left w:val="nil"/>
          <w:bottom w:val="nil"/>
          <w:right w:val="nil"/>
          <w:between w:val="nil"/>
        </w:pBdr>
        <w:spacing w:line="240" w:lineRule="auto"/>
        <w:rPr>
          <w:color w:val="000000"/>
          <w:sz w:val="18"/>
        </w:rPr>
      </w:pPr>
      <w:r w:rsidRPr="00B27FF8">
        <w:rPr>
          <w:rStyle w:val="FootnoteReference"/>
          <w:sz w:val="18"/>
        </w:rPr>
        <w:footnoteRef/>
      </w:r>
      <w:r w:rsidRPr="00B27FF8">
        <w:rPr>
          <w:color w:val="000000"/>
          <w:sz w:val="18"/>
        </w:rPr>
        <w:t xml:space="preserve"> </w:t>
      </w:r>
      <w:sdt>
        <w:sdtPr>
          <w:rPr>
            <w:sz w:val="18"/>
          </w:rPr>
          <w:tag w:val="goog_rdk_93"/>
          <w:id w:val="887992502"/>
        </w:sdtPr>
        <w:sdtEndPr/>
        <w:sdtContent>
          <w:hyperlink w:history="1" r:id="rId11">
            <w:r w:rsidR="00B538AF">
              <w:rPr>
                <w:rStyle w:val="Hyperlink"/>
                <w:sz w:val="18"/>
              </w:rPr>
              <w:t>Convention on the rights of persons with disabilities</w:t>
            </w:r>
          </w:hyperlink>
          <w:r w:rsidR="00B538AF">
            <w:rPr>
              <w:sz w:val="18"/>
            </w:rPr>
            <w:t xml:space="preserve">, </w:t>
          </w:r>
          <w:r w:rsidRPr="00B27FF8">
            <w:rPr>
              <w:color w:val="000000"/>
              <w:sz w:val="18"/>
            </w:rPr>
            <w:t>Preamble</w:t>
          </w:r>
          <w:r w:rsidRPr="00B27FF8" w:rsidR="003E694F">
            <w:rPr>
              <w:color w:val="000000"/>
              <w:sz w:val="18"/>
            </w:rPr>
            <w:t>.</w:t>
          </w:r>
        </w:sdtContent>
      </w:sdt>
    </w:p>
  </w:footnote>
  <w:footnote w:id="19">
    <w:p w:rsidRPr="00B27FF8" w:rsidR="001D323A" w:rsidRDefault="00CE2830" w14:paraId="7E28FE91" w14:textId="250300C1">
      <w:pPr>
        <w:pBdr>
          <w:top w:val="nil"/>
          <w:left w:val="nil"/>
          <w:bottom w:val="nil"/>
          <w:right w:val="nil"/>
          <w:between w:val="nil"/>
        </w:pBdr>
        <w:spacing w:line="240" w:lineRule="auto"/>
        <w:rPr>
          <w:color w:val="000000"/>
          <w:sz w:val="18"/>
        </w:rPr>
      </w:pPr>
      <w:r w:rsidRPr="00B27FF8">
        <w:rPr>
          <w:rStyle w:val="FootnoteReference"/>
          <w:sz w:val="18"/>
        </w:rPr>
        <w:footnoteRef/>
      </w:r>
      <w:sdt>
        <w:sdtPr>
          <w:rPr>
            <w:sz w:val="18"/>
          </w:rPr>
          <w:tag w:val="goog_rdk_94"/>
          <w:id w:val="-1537424932"/>
        </w:sdtPr>
        <w:sdtEndPr/>
        <w:sdtContent>
          <w:hyperlink w:history="1" r:id="rId12">
            <w:r w:rsidR="00B27FF8">
              <w:rPr>
                <w:rStyle w:val="Hyperlink"/>
                <w:sz w:val="18"/>
              </w:rPr>
              <w:t>The Council of Europe Convention on preventing and combating violence against women and domestic violence (Istanbul Convention)</w:t>
            </w:r>
          </w:hyperlink>
          <w:r w:rsidRPr="00B27FF8" w:rsidR="00B27FF8">
            <w:rPr>
              <w:color w:val="000000"/>
              <w:sz w:val="18"/>
            </w:rPr>
            <w:t xml:space="preserve"> Art.3.</w:t>
          </w:r>
          <w:r w:rsidR="00B27FF8">
            <w:rPr>
              <w:color w:val="000000"/>
              <w:sz w:val="18"/>
            </w:rPr>
            <w:t xml:space="preserve">  </w:t>
          </w:r>
        </w:sdtContent>
      </w:sdt>
    </w:p>
  </w:footnote>
  <w:footnote w:id="20">
    <w:p w:rsidRPr="00F02A8C" w:rsidR="001D323A" w:rsidP="00F02A8C" w:rsidRDefault="00CE2830" w14:paraId="7E28FE92" w14:textId="02A0687B">
      <w:pPr>
        <w:rPr>
          <w:sz w:val="18"/>
          <w:szCs w:val="18"/>
        </w:rPr>
      </w:pPr>
      <w:r w:rsidRPr="00B27FF8">
        <w:rPr>
          <w:rStyle w:val="FootnoteReference"/>
          <w:sz w:val="18"/>
        </w:rPr>
        <w:footnoteRef/>
      </w:r>
      <w:r w:rsidR="001C266D">
        <w:rPr>
          <w:sz w:val="18"/>
        </w:rPr>
        <w:t xml:space="preserve"> UNDRR</w:t>
      </w:r>
      <w:r w:rsidRPr="00B27FF8">
        <w:rPr>
          <w:sz w:val="18"/>
        </w:rPr>
        <w:t>,</w:t>
      </w:r>
      <w:r w:rsidR="00D24931">
        <w:rPr>
          <w:sz w:val="18"/>
        </w:rPr>
        <w:t xml:space="preserve"> </w:t>
      </w:r>
      <w:hyperlink w:history="1" r:id="rId13">
        <w:r w:rsidR="00D24931">
          <w:rPr>
            <w:rStyle w:val="Hyperlink"/>
            <w:sz w:val="18"/>
          </w:rPr>
          <w:t>Sendai Framework Terminology on Disaster Risk Reduction</w:t>
        </w:r>
      </w:hyperlink>
      <w:r w:rsidR="00D24931">
        <w:rPr>
          <w:sz w:val="18"/>
        </w:rPr>
        <w:t xml:space="preserve"> </w:t>
      </w:r>
      <w:r w:rsidR="00A62DDC">
        <w:rPr>
          <w:sz w:val="18"/>
        </w:rPr>
        <w:t>(accessed 27 June 2023)</w:t>
      </w:r>
    </w:p>
  </w:footnote>
  <w:footnote w:id="21">
    <w:p w:rsidRPr="00B27FF8" w:rsidR="001D323A" w:rsidRDefault="00CE2830" w14:paraId="7E28FE93" w14:textId="4C3181AA">
      <w:pPr>
        <w:pBdr>
          <w:top w:val="nil"/>
          <w:left w:val="nil"/>
          <w:bottom w:val="nil"/>
          <w:right w:val="nil"/>
          <w:between w:val="nil"/>
        </w:pBdr>
        <w:spacing w:line="240" w:lineRule="auto"/>
        <w:rPr>
          <w:color w:val="000000"/>
          <w:sz w:val="18"/>
        </w:rPr>
      </w:pPr>
      <w:r w:rsidRPr="00B27FF8">
        <w:rPr>
          <w:rStyle w:val="FootnoteReference"/>
          <w:sz w:val="18"/>
        </w:rPr>
        <w:footnoteRef/>
      </w:r>
      <w:r w:rsidRPr="00B27FF8">
        <w:rPr>
          <w:color w:val="000000"/>
          <w:sz w:val="18"/>
        </w:rPr>
        <w:t xml:space="preserve"> </w:t>
      </w:r>
      <w:sdt>
        <w:sdtPr>
          <w:rPr>
            <w:sz w:val="18"/>
          </w:rPr>
          <w:tag w:val="goog_rdk_95"/>
          <w:id w:val="-2144112447"/>
        </w:sdtPr>
        <w:sdtEndPr/>
        <w:sdtContent>
          <w:hyperlink w:history="1" r:id="rId14">
            <w:r w:rsidRPr="00BE761E" w:rsidR="00EB483C">
              <w:rPr>
                <w:rStyle w:val="Hyperlink"/>
                <w:sz w:val="18"/>
                <w:szCs w:val="18"/>
              </w:rPr>
              <w:t>IASC GBV Guidelines (2015)</w:t>
            </w:r>
          </w:hyperlink>
          <w:r w:rsidRPr="00B27FF8">
            <w:rPr>
              <w:sz w:val="18"/>
            </w:rPr>
            <w:t xml:space="preserve">, p. </w:t>
          </w:r>
          <w:r w:rsidRPr="00B27FF8" w:rsidR="00911FA7">
            <w:rPr>
              <w:sz w:val="18"/>
            </w:rPr>
            <w:t>321</w:t>
          </w:r>
          <w:r w:rsidRPr="00B27FF8" w:rsidR="00F55149">
            <w:rPr>
              <w:sz w:val="18"/>
            </w:rPr>
            <w:t>.</w:t>
          </w:r>
        </w:sdtContent>
      </w:sdt>
    </w:p>
  </w:footnote>
  <w:footnote w:id="22">
    <w:p w:rsidRPr="00B27FF8" w:rsidR="001D323A" w:rsidRDefault="00CE2830" w14:paraId="7E28FE94" w14:textId="4C2CDE0D">
      <w:pPr>
        <w:spacing w:line="240" w:lineRule="auto"/>
        <w:rPr>
          <w:sz w:val="18"/>
        </w:rPr>
      </w:pPr>
      <w:r w:rsidRPr="00B27FF8">
        <w:rPr>
          <w:rStyle w:val="FootnoteReference"/>
          <w:sz w:val="18"/>
        </w:rPr>
        <w:footnoteRef/>
      </w:r>
      <w:r w:rsidRPr="00B27FF8">
        <w:rPr>
          <w:sz w:val="18"/>
        </w:rPr>
        <w:t xml:space="preserve"> Humanitarian Coalition. </w:t>
      </w:r>
      <w:hyperlink r:id="rId15">
        <w:r w:rsidR="00E81C27">
          <w:rPr>
            <w:color w:val="0000FF"/>
            <w:sz w:val="18"/>
            <w:u w:val="single"/>
          </w:rPr>
          <w:t>What is a humanitarian-emergency</w:t>
        </w:r>
      </w:hyperlink>
      <w:r w:rsidR="008A3189">
        <w:rPr>
          <w:sz w:val="18"/>
          <w:szCs w:val="18"/>
        </w:rPr>
        <w:t xml:space="preserve"> </w:t>
      </w:r>
      <w:r w:rsidRPr="008A3189" w:rsidR="008A3189">
        <w:rPr>
          <w:sz w:val="18"/>
          <w:szCs w:val="18"/>
        </w:rPr>
        <w:t>(</w:t>
      </w:r>
      <w:r w:rsidRPr="00B27FF8" w:rsidR="008A3189">
        <w:rPr>
          <w:sz w:val="18"/>
        </w:rPr>
        <w:t xml:space="preserve">accessed </w:t>
      </w:r>
      <w:r w:rsidRPr="008A3189" w:rsidR="008A3189">
        <w:rPr>
          <w:sz w:val="18"/>
          <w:szCs w:val="18"/>
        </w:rPr>
        <w:t>27 June</w:t>
      </w:r>
      <w:r w:rsidR="007A5C96">
        <w:rPr>
          <w:sz w:val="18"/>
          <w:szCs w:val="18"/>
        </w:rPr>
        <w:t xml:space="preserve"> </w:t>
      </w:r>
      <w:r w:rsidRPr="008A3189" w:rsidR="008A3189">
        <w:rPr>
          <w:sz w:val="18"/>
          <w:szCs w:val="18"/>
        </w:rPr>
        <w:t>2023)</w:t>
      </w:r>
      <w:r w:rsidRPr="00630569">
        <w:rPr>
          <w:sz w:val="18"/>
          <w:szCs w:val="18"/>
        </w:rPr>
        <w:t>.</w:t>
      </w:r>
    </w:p>
  </w:footnote>
  <w:footnote w:id="23">
    <w:p w:rsidRPr="00FC6406" w:rsidR="001D323A" w:rsidP="00FC6406" w:rsidRDefault="00CE2830" w14:paraId="7E28FE95" w14:textId="45DEEE94">
      <w:pPr>
        <w:rPr>
          <w:sz w:val="18"/>
          <w:szCs w:val="18"/>
        </w:rPr>
      </w:pPr>
      <w:r w:rsidRPr="00B27FF8">
        <w:rPr>
          <w:rStyle w:val="FootnoteReference"/>
          <w:sz w:val="18"/>
        </w:rPr>
        <w:footnoteRef/>
      </w:r>
      <w:r w:rsidRPr="00B27FF8">
        <w:rPr>
          <w:sz w:val="18"/>
        </w:rPr>
        <w:t xml:space="preserve"> </w:t>
      </w:r>
      <w:hyperlink w:history="1" r:id="rId16">
        <w:r w:rsidRPr="00BE761E" w:rsidR="00FC6406">
          <w:rPr>
            <w:rStyle w:val="Hyperlink"/>
            <w:sz w:val="18"/>
            <w:szCs w:val="18"/>
          </w:rPr>
          <w:t>IASC GBV Guidelines (2015)</w:t>
        </w:r>
      </w:hyperlink>
      <w:r w:rsidRPr="00B27FF8">
        <w:rPr>
          <w:sz w:val="18"/>
        </w:rPr>
        <w:t xml:space="preserve">, p. </w:t>
      </w:r>
      <w:sdt>
        <w:sdtPr>
          <w:rPr>
            <w:sz w:val="18"/>
          </w:rPr>
          <w:tag w:val="goog_rdk_96"/>
          <w:id w:val="-120766905"/>
        </w:sdtPr>
        <w:sdtEndPr/>
        <w:sdtContent>
          <w:r w:rsidRPr="00B27FF8" w:rsidR="00214C0A">
            <w:rPr>
              <w:sz w:val="18"/>
            </w:rPr>
            <w:t>321</w:t>
          </w:r>
          <w:r w:rsidRPr="00B27FF8" w:rsidR="00A819C2">
            <w:rPr>
              <w:sz w:val="18"/>
            </w:rPr>
            <w:t>.</w:t>
          </w:r>
        </w:sdtContent>
      </w:sdt>
      <w:sdt>
        <w:sdtPr>
          <w:rPr>
            <w:sz w:val="18"/>
          </w:rPr>
          <w:tag w:val="goog_rdk_97"/>
          <w:id w:val="1987127866"/>
          <w:showingPlcHdr/>
        </w:sdtPr>
        <w:sdtEndPr/>
        <w:sdtContent>
          <w:r w:rsidRPr="00B27FF8" w:rsidR="00D66728">
            <w:rPr>
              <w:sz w:val="18"/>
            </w:rPr>
            <w:t xml:space="preserve">     </w:t>
          </w:r>
        </w:sdtContent>
      </w:sdt>
    </w:p>
  </w:footnote>
  <w:footnote w:id="24">
    <w:p w:rsidRPr="00B27FF8" w:rsidR="001D323A" w:rsidRDefault="00CE2830" w14:paraId="7E28FE96" w14:textId="1E748773">
      <w:pPr>
        <w:pBdr>
          <w:top w:val="nil"/>
          <w:left w:val="nil"/>
          <w:bottom w:val="nil"/>
          <w:right w:val="nil"/>
          <w:between w:val="nil"/>
        </w:pBdr>
        <w:spacing w:line="240" w:lineRule="auto"/>
        <w:rPr>
          <w:color w:val="000000"/>
          <w:sz w:val="18"/>
        </w:rPr>
      </w:pPr>
      <w:r w:rsidRPr="00B27FF8">
        <w:rPr>
          <w:rStyle w:val="FootnoteReference"/>
          <w:sz w:val="18"/>
        </w:rPr>
        <w:footnoteRef/>
      </w:r>
      <w:r w:rsidRPr="00B27FF8">
        <w:rPr>
          <w:color w:val="000000"/>
          <w:sz w:val="18"/>
        </w:rPr>
        <w:t xml:space="preserve"> </w:t>
      </w:r>
      <w:sdt>
        <w:sdtPr>
          <w:rPr>
            <w:sz w:val="18"/>
            <w:szCs w:val="18"/>
          </w:rPr>
          <w:tag w:val="goog_rdk_98"/>
          <w:id w:val="1027149302"/>
        </w:sdtPr>
        <w:sdtEndPr/>
        <w:sdtContent>
          <w:r w:rsidRPr="00B27FF8">
            <w:rPr>
              <w:color w:val="000000"/>
              <w:sz w:val="18"/>
            </w:rPr>
            <w:t xml:space="preserve">UNWOMEN, </w:t>
          </w:r>
          <w:hyperlink w:history="1" r:id="rId17">
            <w:r w:rsidRPr="00B27FF8">
              <w:rPr>
                <w:color w:val="0000FF"/>
                <w:sz w:val="18"/>
                <w:u w:val="single"/>
              </w:rPr>
              <w:t>Gender Equality Glossary</w:t>
            </w:r>
          </w:hyperlink>
          <w:r w:rsidR="008A3189">
            <w:rPr>
              <w:color w:val="0000FF"/>
              <w:sz w:val="18"/>
              <w:szCs w:val="18"/>
              <w:u w:val="single"/>
            </w:rPr>
            <w:t xml:space="preserve"> </w:t>
          </w:r>
          <w:r w:rsidRPr="00E81C27" w:rsidR="008A3189">
            <w:rPr>
              <w:sz w:val="18"/>
              <w:szCs w:val="18"/>
            </w:rPr>
            <w:t>(accessed 27 June 2023)</w:t>
          </w:r>
          <w:r w:rsidRPr="00E81C27" w:rsidR="00BF25D1">
            <w:rPr>
              <w:sz w:val="18"/>
              <w:szCs w:val="18"/>
            </w:rPr>
            <w:t>.</w:t>
          </w:r>
          <w:r w:rsidRPr="00E81C27">
            <w:rPr>
              <w:sz w:val="18"/>
              <w:szCs w:val="18"/>
            </w:rPr>
            <w:t xml:space="preserve"> </w:t>
          </w:r>
        </w:sdtContent>
      </w:sdt>
    </w:p>
  </w:footnote>
  <w:footnote w:id="25">
    <w:p w:rsidRPr="00FB20D6" w:rsidR="001D323A" w:rsidRDefault="00CE2830" w14:paraId="7E28FE97" w14:textId="371EE357">
      <w:pPr>
        <w:pBdr>
          <w:top w:val="nil"/>
          <w:left w:val="nil"/>
          <w:bottom w:val="nil"/>
          <w:right w:val="nil"/>
          <w:between w:val="nil"/>
        </w:pBdr>
        <w:spacing w:line="240" w:lineRule="auto"/>
        <w:rPr>
          <w:color w:val="000000"/>
          <w:sz w:val="18"/>
        </w:rPr>
      </w:pPr>
      <w:r w:rsidRPr="00FB20D6">
        <w:rPr>
          <w:rStyle w:val="FootnoteReference"/>
          <w:sz w:val="18"/>
        </w:rPr>
        <w:footnoteRef/>
      </w:r>
      <w:r w:rsidRPr="00FB20D6">
        <w:rPr>
          <w:color w:val="000000"/>
          <w:sz w:val="18"/>
        </w:rPr>
        <w:t xml:space="preserve"> </w:t>
      </w:r>
      <w:sdt>
        <w:sdtPr>
          <w:rPr>
            <w:sz w:val="18"/>
          </w:rPr>
          <w:tag w:val="goog_rdk_99"/>
          <w:id w:val="-822581463"/>
        </w:sdtPr>
        <w:sdtEndPr/>
        <w:sdtContent>
          <w:hyperlink w:history="1" r:id="rId18">
            <w:r w:rsidRPr="00BE761E" w:rsidR="005F722C">
              <w:rPr>
                <w:rStyle w:val="Hyperlink"/>
                <w:sz w:val="18"/>
                <w:szCs w:val="18"/>
              </w:rPr>
              <w:t>IASC GBV Guidelines (2015)</w:t>
            </w:r>
          </w:hyperlink>
          <w:r w:rsidRPr="00BE761E" w:rsidR="005F722C">
            <w:rPr>
              <w:sz w:val="18"/>
              <w:szCs w:val="18"/>
            </w:rPr>
            <w:t xml:space="preserve"> </w:t>
          </w:r>
          <w:r w:rsidR="005F722C">
            <w:rPr>
              <w:sz w:val="18"/>
              <w:szCs w:val="18"/>
            </w:rPr>
            <w:t xml:space="preserve"> </w:t>
          </w:r>
          <w:r w:rsidRPr="00FB20D6">
            <w:rPr>
              <w:color w:val="000000"/>
              <w:sz w:val="18"/>
            </w:rPr>
            <w:t>, p.</w:t>
          </w:r>
          <w:r w:rsidRPr="00FB20D6" w:rsidR="00625A29">
            <w:rPr>
              <w:color w:val="000000"/>
              <w:sz w:val="18"/>
            </w:rPr>
            <w:t>321</w:t>
          </w:r>
          <w:r w:rsidRPr="00FB20D6" w:rsidR="00BF25D1">
            <w:rPr>
              <w:color w:val="000000"/>
              <w:sz w:val="18"/>
            </w:rPr>
            <w:t>.</w:t>
          </w:r>
        </w:sdtContent>
      </w:sdt>
    </w:p>
  </w:footnote>
  <w:footnote w:id="26">
    <w:p w:rsidRPr="00FB20D6" w:rsidR="001D323A" w:rsidRDefault="00CE2830" w14:paraId="7E28FE98" w14:textId="70FA1FD4">
      <w:pPr>
        <w:pBdr>
          <w:top w:val="nil"/>
          <w:left w:val="nil"/>
          <w:bottom w:val="nil"/>
          <w:right w:val="nil"/>
          <w:between w:val="nil"/>
        </w:pBdr>
        <w:spacing w:line="240" w:lineRule="auto"/>
        <w:rPr>
          <w:color w:val="000000"/>
          <w:sz w:val="18"/>
        </w:rPr>
      </w:pPr>
      <w:r w:rsidRPr="00FB20D6">
        <w:rPr>
          <w:rStyle w:val="FootnoteReference"/>
          <w:sz w:val="18"/>
        </w:rPr>
        <w:footnoteRef/>
      </w:r>
      <w:r w:rsidRPr="00FB20D6">
        <w:rPr>
          <w:color w:val="000000"/>
          <w:sz w:val="18"/>
        </w:rPr>
        <w:t xml:space="preserve"> </w:t>
      </w:r>
      <w:sdt>
        <w:sdtPr>
          <w:rPr>
            <w:sz w:val="18"/>
          </w:rPr>
          <w:tag w:val="goog_rdk_100"/>
          <w:id w:val="-403147461"/>
        </w:sdtPr>
        <w:sdtEndPr/>
        <w:sdtContent>
          <w:r w:rsidR="00C154A8">
            <w:rPr>
              <w:sz w:val="18"/>
            </w:rPr>
            <w:t>Ibid</w:t>
          </w:r>
          <w:r w:rsidRPr="00FB20D6">
            <w:rPr>
              <w:sz w:val="18"/>
            </w:rPr>
            <w:t>, p.</w:t>
          </w:r>
          <w:r w:rsidRPr="00FB20D6" w:rsidR="00B05C2F">
            <w:rPr>
              <w:sz w:val="18"/>
            </w:rPr>
            <w:t>321</w:t>
          </w:r>
          <w:r w:rsidRPr="00FB20D6" w:rsidR="00BF25D1">
            <w:rPr>
              <w:sz w:val="18"/>
            </w:rPr>
            <w:t>.</w:t>
          </w:r>
        </w:sdtContent>
      </w:sdt>
    </w:p>
  </w:footnote>
  <w:footnote w:id="27">
    <w:p w:rsidRPr="00FB20D6" w:rsidR="001D323A" w:rsidRDefault="00CE2830" w14:paraId="7E28FE99" w14:textId="75662CE6">
      <w:pPr>
        <w:spacing w:line="240" w:lineRule="auto"/>
        <w:rPr>
          <w:sz w:val="18"/>
        </w:rPr>
      </w:pPr>
      <w:r w:rsidRPr="00FB20D6">
        <w:rPr>
          <w:rStyle w:val="FootnoteReference"/>
          <w:sz w:val="18"/>
        </w:rPr>
        <w:footnoteRef/>
      </w:r>
      <w:r w:rsidRPr="00FB20D6">
        <w:rPr>
          <w:sz w:val="18"/>
        </w:rPr>
        <w:t xml:space="preserve"> I</w:t>
      </w:r>
      <w:r w:rsidR="00C154A8">
        <w:rPr>
          <w:sz w:val="18"/>
        </w:rPr>
        <w:t>bid</w:t>
      </w:r>
      <w:r w:rsidRPr="00FB20D6">
        <w:rPr>
          <w:sz w:val="18"/>
        </w:rPr>
        <w:t xml:space="preserve">, p. 321. </w:t>
      </w:r>
    </w:p>
  </w:footnote>
  <w:footnote w:id="28">
    <w:p w:rsidRPr="00FB20D6" w:rsidR="001D323A" w:rsidRDefault="00CE2830" w14:paraId="7E28FE9A" w14:textId="15EB2A96">
      <w:pPr>
        <w:spacing w:line="240" w:lineRule="auto"/>
        <w:rPr>
          <w:sz w:val="18"/>
        </w:rPr>
      </w:pPr>
      <w:r w:rsidRPr="00FB20D6">
        <w:rPr>
          <w:rStyle w:val="FootnoteReference"/>
          <w:sz w:val="18"/>
        </w:rPr>
        <w:footnoteRef/>
      </w:r>
      <w:r w:rsidRPr="00FB20D6">
        <w:rPr>
          <w:sz w:val="18"/>
        </w:rPr>
        <w:t xml:space="preserve"> I</w:t>
      </w:r>
      <w:r w:rsidR="00FB20D6">
        <w:rPr>
          <w:sz w:val="18"/>
        </w:rPr>
        <w:t>bid</w:t>
      </w:r>
      <w:r w:rsidRPr="00FB20D6">
        <w:rPr>
          <w:sz w:val="18"/>
        </w:rPr>
        <w:t>, p. 325</w:t>
      </w:r>
      <w:r w:rsidR="004741A2">
        <w:rPr>
          <w:sz w:val="18"/>
        </w:rPr>
        <w:t>.</w:t>
      </w:r>
    </w:p>
  </w:footnote>
  <w:footnote w:id="29">
    <w:p w:rsidRPr="00FB20D6" w:rsidR="001D323A" w:rsidRDefault="00CE2830" w14:paraId="7E28FE9B" w14:textId="0A488FC4">
      <w:pPr>
        <w:pBdr>
          <w:top w:val="nil"/>
          <w:left w:val="nil"/>
          <w:bottom w:val="nil"/>
          <w:right w:val="nil"/>
          <w:between w:val="nil"/>
        </w:pBdr>
        <w:spacing w:line="240" w:lineRule="auto"/>
        <w:rPr>
          <w:color w:val="000000"/>
          <w:sz w:val="18"/>
        </w:rPr>
      </w:pPr>
      <w:r w:rsidRPr="00FB20D6">
        <w:rPr>
          <w:rStyle w:val="FootnoteReference"/>
          <w:sz w:val="18"/>
        </w:rPr>
        <w:footnoteRef/>
      </w:r>
      <w:r w:rsidRPr="00FB20D6">
        <w:rPr>
          <w:color w:val="000000"/>
          <w:sz w:val="18"/>
        </w:rPr>
        <w:t xml:space="preserve"> </w:t>
      </w:r>
      <w:sdt>
        <w:sdtPr>
          <w:rPr>
            <w:sz w:val="18"/>
          </w:rPr>
          <w:tag w:val="goog_rdk_101"/>
          <w:id w:val="-1032799685"/>
        </w:sdtPr>
        <w:sdtEndPr/>
        <w:sdtContent>
          <w:r w:rsidRPr="00FB20D6">
            <w:rPr>
              <w:sz w:val="18"/>
            </w:rPr>
            <w:t>I</w:t>
          </w:r>
          <w:r w:rsidR="00FB20D6">
            <w:rPr>
              <w:sz w:val="18"/>
            </w:rPr>
            <w:t>bid</w:t>
          </w:r>
          <w:r w:rsidRPr="00FB20D6">
            <w:rPr>
              <w:sz w:val="18"/>
            </w:rPr>
            <w:t xml:space="preserve">, p. </w:t>
          </w:r>
          <w:r w:rsidRPr="00FB20D6" w:rsidR="00A020DA">
            <w:rPr>
              <w:sz w:val="18"/>
            </w:rPr>
            <w:t>322</w:t>
          </w:r>
          <w:r w:rsidRPr="00FB20D6" w:rsidR="00BF25D1">
            <w:rPr>
              <w:sz w:val="18"/>
            </w:rPr>
            <w:t>.</w:t>
          </w:r>
        </w:sdtContent>
      </w:sdt>
    </w:p>
  </w:footnote>
  <w:footnote w:id="30">
    <w:p w:rsidRPr="007A5C96" w:rsidR="001D323A" w:rsidP="007A5C96" w:rsidRDefault="00CE2830" w14:paraId="7E28FE9C" w14:textId="4685A700">
      <w:pPr>
        <w:rPr>
          <w:sz w:val="18"/>
        </w:rPr>
      </w:pPr>
      <w:r w:rsidRPr="00FB20D6">
        <w:rPr>
          <w:rStyle w:val="FootnoteReference"/>
          <w:sz w:val="18"/>
        </w:rPr>
        <w:footnoteRef/>
      </w:r>
      <w:r w:rsidRPr="00FB20D6">
        <w:rPr>
          <w:color w:val="000000"/>
          <w:sz w:val="18"/>
        </w:rPr>
        <w:t xml:space="preserve"> </w:t>
      </w:r>
      <w:sdt>
        <w:sdtPr>
          <w:rPr>
            <w:sz w:val="18"/>
          </w:rPr>
          <w:tag w:val="goog_rdk_102"/>
          <w:id w:val="-986700318"/>
        </w:sdtPr>
        <w:sdtEndPr/>
        <w:sdtContent>
          <w:sdt>
            <w:sdtPr>
              <w:rPr>
                <w:sz w:val="18"/>
              </w:rPr>
              <w:tag w:val="goog_rdk_102"/>
              <w:id w:val="-1848091100"/>
            </w:sdtPr>
            <w:sdtEndPr/>
            <w:sdtContent>
              <w:hyperlink w:history="1" r:id="rId19">
                <w:r w:rsidR="00135A5A">
                  <w:rPr>
                    <w:rStyle w:val="Hyperlink"/>
                    <w:sz w:val="18"/>
                  </w:rPr>
                  <w:t>Inter-Agency GBV Case Management Guidelines (2017)</w:t>
                </w:r>
              </w:hyperlink>
            </w:sdtContent>
          </w:sdt>
        </w:sdtContent>
      </w:sdt>
      <w:r w:rsidRPr="00FB20D6">
        <w:rPr>
          <w:sz w:val="18"/>
        </w:rPr>
        <w:t>, p. 243</w:t>
      </w:r>
      <w:r w:rsidRPr="00FB20D6" w:rsidR="00DB6B63">
        <w:rPr>
          <w:sz w:val="18"/>
        </w:rPr>
        <w:t>.</w:t>
      </w:r>
    </w:p>
  </w:footnote>
  <w:footnote w:id="31">
    <w:p w:rsidRPr="004741A2" w:rsidR="001D323A" w:rsidP="004741A2" w:rsidRDefault="00CE2830" w14:paraId="7E28FE9D" w14:textId="7DA8EE7C">
      <w:pPr>
        <w:rPr>
          <w:sz w:val="18"/>
          <w:szCs w:val="18"/>
        </w:rPr>
      </w:pPr>
      <w:r w:rsidRPr="00DE1C03">
        <w:rPr>
          <w:rStyle w:val="FootnoteReference"/>
          <w:sz w:val="18"/>
        </w:rPr>
        <w:footnoteRef/>
      </w:r>
      <w:r w:rsidRPr="00DE1C03">
        <w:rPr>
          <w:sz w:val="18"/>
        </w:rPr>
        <w:t xml:space="preserve"> </w:t>
      </w:r>
      <w:hyperlink w:history="1" r:id="rId20">
        <w:r w:rsidRPr="00BE761E" w:rsidR="004741A2">
          <w:rPr>
            <w:rStyle w:val="Hyperlink"/>
            <w:sz w:val="18"/>
            <w:szCs w:val="18"/>
          </w:rPr>
          <w:t>IASC GBV Guidelines (2015)</w:t>
        </w:r>
      </w:hyperlink>
      <w:r w:rsidRPr="00DE1C03">
        <w:rPr>
          <w:sz w:val="18"/>
        </w:rPr>
        <w:t>, p. 325</w:t>
      </w:r>
      <w:r w:rsidRPr="00DE1C03" w:rsidR="00A01E10">
        <w:rPr>
          <w:sz w:val="18"/>
        </w:rPr>
        <w:t>.</w:t>
      </w:r>
    </w:p>
  </w:footnote>
  <w:footnote w:id="32">
    <w:p w:rsidRPr="00DE1C03" w:rsidR="001D323A" w:rsidRDefault="00CE2830" w14:paraId="7E28FE9E" w14:textId="0E0E84CD">
      <w:pPr>
        <w:spacing w:line="240" w:lineRule="auto"/>
        <w:rPr>
          <w:sz w:val="18"/>
        </w:rPr>
      </w:pPr>
      <w:r w:rsidRPr="00DE1C03">
        <w:rPr>
          <w:rStyle w:val="FootnoteReference"/>
          <w:sz w:val="18"/>
        </w:rPr>
        <w:footnoteRef/>
      </w:r>
      <w:r w:rsidRPr="00DE1C03">
        <w:rPr>
          <w:sz w:val="18"/>
        </w:rPr>
        <w:t xml:space="preserve"> </w:t>
      </w:r>
      <w:r w:rsidR="00DE1C03">
        <w:rPr>
          <w:sz w:val="18"/>
        </w:rPr>
        <w:t>Ibid</w:t>
      </w:r>
      <w:r w:rsidRPr="00DE1C03">
        <w:rPr>
          <w:sz w:val="18"/>
        </w:rPr>
        <w:t>, p. 325</w:t>
      </w:r>
      <w:r w:rsidR="002371C0">
        <w:rPr>
          <w:sz w:val="18"/>
        </w:rPr>
        <w:t>.</w:t>
      </w:r>
    </w:p>
  </w:footnote>
  <w:footnote w:id="33">
    <w:p w:rsidRPr="00DE1C03" w:rsidR="001D323A" w:rsidRDefault="00CE2830" w14:paraId="7E28FE9F" w14:textId="0FB124C5">
      <w:pPr>
        <w:spacing w:line="240" w:lineRule="auto"/>
        <w:rPr>
          <w:sz w:val="18"/>
        </w:rPr>
      </w:pPr>
      <w:r w:rsidRPr="00DE1C03">
        <w:rPr>
          <w:rStyle w:val="FootnoteReference"/>
          <w:sz w:val="18"/>
        </w:rPr>
        <w:footnoteRef/>
      </w:r>
      <w:r w:rsidRPr="00DE1C03">
        <w:rPr>
          <w:sz w:val="18"/>
        </w:rPr>
        <w:t xml:space="preserve"> </w:t>
      </w:r>
      <w:r w:rsidR="00DE1C03">
        <w:rPr>
          <w:sz w:val="18"/>
        </w:rPr>
        <w:t>Ibid</w:t>
      </w:r>
      <w:r w:rsidRPr="00DE1C03">
        <w:rPr>
          <w:sz w:val="18"/>
        </w:rPr>
        <w:t>, p. 325</w:t>
      </w:r>
      <w:r w:rsidR="002371C0">
        <w:rPr>
          <w:sz w:val="18"/>
        </w:rPr>
        <w:t>.</w:t>
      </w:r>
    </w:p>
  </w:footnote>
  <w:footnote w:id="34">
    <w:p w:rsidRPr="00DE1C03" w:rsidR="001D323A" w:rsidRDefault="00CE2830" w14:paraId="7E28FEA0" w14:textId="6A8B1400">
      <w:pPr>
        <w:spacing w:line="240" w:lineRule="auto"/>
        <w:rPr>
          <w:sz w:val="18"/>
        </w:rPr>
      </w:pPr>
      <w:r w:rsidRPr="00DE1C03">
        <w:rPr>
          <w:rStyle w:val="FootnoteReference"/>
          <w:sz w:val="18"/>
        </w:rPr>
        <w:footnoteRef/>
      </w:r>
      <w:r w:rsidRPr="00DE1C03">
        <w:rPr>
          <w:sz w:val="18"/>
        </w:rPr>
        <w:t xml:space="preserve"> </w:t>
      </w:r>
      <w:r w:rsidR="00DE1C03">
        <w:rPr>
          <w:sz w:val="18"/>
        </w:rPr>
        <w:t>Ibid</w:t>
      </w:r>
      <w:r w:rsidRPr="00DE1C03">
        <w:rPr>
          <w:sz w:val="18"/>
        </w:rPr>
        <w:t>, p. 325</w:t>
      </w:r>
      <w:r w:rsidR="002371C0">
        <w:rPr>
          <w:sz w:val="18"/>
        </w:rPr>
        <w:t>.</w:t>
      </w:r>
    </w:p>
  </w:footnote>
  <w:footnote w:id="35">
    <w:p w:rsidRPr="00DE1C03" w:rsidR="001D323A" w:rsidRDefault="00CE2830" w14:paraId="7E28FEA1" w14:textId="1E50E98E">
      <w:pPr>
        <w:spacing w:line="240" w:lineRule="auto"/>
        <w:rPr>
          <w:sz w:val="18"/>
        </w:rPr>
      </w:pPr>
      <w:r w:rsidRPr="00DE1C03">
        <w:rPr>
          <w:rStyle w:val="FootnoteReference"/>
          <w:sz w:val="18"/>
        </w:rPr>
        <w:footnoteRef/>
      </w:r>
      <w:r w:rsidRPr="00DE1C03">
        <w:rPr>
          <w:sz w:val="18"/>
        </w:rPr>
        <w:t xml:space="preserve"> </w:t>
      </w:r>
      <w:r w:rsidR="00DE1C03">
        <w:rPr>
          <w:sz w:val="18"/>
        </w:rPr>
        <w:t>Ibid</w:t>
      </w:r>
      <w:r w:rsidRPr="00DE1C03">
        <w:rPr>
          <w:sz w:val="18"/>
        </w:rPr>
        <w:t>, p. 325</w:t>
      </w:r>
      <w:r w:rsidR="002371C0">
        <w:rPr>
          <w:sz w:val="18"/>
        </w:rPr>
        <w:t>.</w:t>
      </w:r>
    </w:p>
  </w:footnote>
  <w:footnote w:id="36">
    <w:p w:rsidRPr="004745AC" w:rsidR="001D323A" w:rsidRDefault="00CE2830" w14:paraId="7E28FEA2" w14:textId="53269143">
      <w:pPr>
        <w:spacing w:line="240" w:lineRule="auto"/>
        <w:rPr>
          <w:sz w:val="18"/>
        </w:rPr>
      </w:pPr>
      <w:r w:rsidRPr="00DE1C03">
        <w:rPr>
          <w:rStyle w:val="FootnoteReference"/>
          <w:sz w:val="18"/>
        </w:rPr>
        <w:footnoteRef/>
      </w:r>
      <w:r w:rsidRPr="004745AC">
        <w:rPr>
          <w:sz w:val="18"/>
        </w:rPr>
        <w:t xml:space="preserve"> </w:t>
      </w:r>
      <w:r w:rsidR="00DE1C03">
        <w:rPr>
          <w:sz w:val="18"/>
        </w:rPr>
        <w:t>Ibid</w:t>
      </w:r>
      <w:r w:rsidRPr="004745AC">
        <w:rPr>
          <w:sz w:val="18"/>
        </w:rPr>
        <w:t xml:space="preserve">, p. </w:t>
      </w:r>
      <w:r w:rsidRPr="004745AC" w:rsidR="00B80A15">
        <w:rPr>
          <w:sz w:val="18"/>
        </w:rPr>
        <w:t>32</w:t>
      </w:r>
      <w:r w:rsidR="00484108">
        <w:rPr>
          <w:sz w:val="18"/>
        </w:rPr>
        <w:t>2.</w:t>
      </w:r>
    </w:p>
  </w:footnote>
  <w:footnote w:id="37">
    <w:p w:rsidRPr="004745AC" w:rsidR="001D323A" w:rsidRDefault="00CE2830" w14:paraId="7E28FEA3" w14:textId="4E199452">
      <w:pPr>
        <w:pBdr>
          <w:top w:val="nil"/>
          <w:left w:val="nil"/>
          <w:bottom w:val="nil"/>
          <w:right w:val="nil"/>
          <w:between w:val="nil"/>
        </w:pBdr>
        <w:spacing w:line="240" w:lineRule="auto"/>
        <w:rPr>
          <w:color w:val="000000"/>
          <w:sz w:val="18"/>
        </w:rPr>
      </w:pPr>
      <w:r w:rsidRPr="004745AC">
        <w:rPr>
          <w:rStyle w:val="FootnoteReference"/>
          <w:sz w:val="18"/>
        </w:rPr>
        <w:footnoteRef/>
      </w:r>
      <w:r w:rsidRPr="004745AC">
        <w:rPr>
          <w:color w:val="000000"/>
          <w:sz w:val="18"/>
        </w:rPr>
        <w:t xml:space="preserve"> </w:t>
      </w:r>
      <w:sdt>
        <w:sdtPr>
          <w:rPr>
            <w:sz w:val="18"/>
            <w:szCs w:val="18"/>
          </w:rPr>
          <w:tag w:val="goog_rdk_103"/>
          <w:id w:val="-1534567931"/>
        </w:sdtPr>
        <w:sdtEndPr/>
        <w:sdtContent>
          <w:r w:rsidRPr="004745AC">
            <w:rPr>
              <w:color w:val="000000"/>
              <w:sz w:val="18"/>
            </w:rPr>
            <w:t xml:space="preserve">UNHCR, </w:t>
          </w:r>
          <w:hyperlink w:history="1" r:id="rId21">
            <w:r w:rsidRPr="004745AC">
              <w:rPr>
                <w:color w:val="0000FF"/>
                <w:sz w:val="18"/>
                <w:u w:val="single"/>
              </w:rPr>
              <w:t>Master Glossary of Terms</w:t>
            </w:r>
          </w:hyperlink>
          <w:r w:rsidR="007B1AC6">
            <w:rPr>
              <w:color w:val="0000FF"/>
              <w:sz w:val="18"/>
              <w:szCs w:val="18"/>
              <w:u w:val="single"/>
            </w:rPr>
            <w:t xml:space="preserve"> </w:t>
          </w:r>
          <w:r w:rsidRPr="00484108" w:rsidR="007B1AC6">
            <w:rPr>
              <w:sz w:val="18"/>
              <w:szCs w:val="18"/>
            </w:rPr>
            <w:t>(accessed 27 June 2023)</w:t>
          </w:r>
          <w:r w:rsidRPr="00484108" w:rsidR="00A93C38">
            <w:rPr>
              <w:sz w:val="18"/>
              <w:szCs w:val="18"/>
            </w:rPr>
            <w:t>.</w:t>
          </w:r>
          <w:r w:rsidRPr="007A5C96">
            <w:rPr>
              <w:sz w:val="18"/>
              <w:szCs w:val="18"/>
            </w:rPr>
            <w:t xml:space="preserve"> </w:t>
          </w:r>
        </w:sdtContent>
      </w:sdt>
    </w:p>
  </w:footnote>
  <w:footnote w:id="38">
    <w:p w:rsidRPr="004745AC" w:rsidR="001D323A" w:rsidRDefault="00CE2830" w14:paraId="7E28FEA4" w14:textId="6C472277">
      <w:pPr>
        <w:pBdr>
          <w:top w:val="nil"/>
          <w:left w:val="nil"/>
          <w:bottom w:val="nil"/>
          <w:right w:val="nil"/>
          <w:between w:val="nil"/>
        </w:pBdr>
        <w:spacing w:line="240" w:lineRule="auto"/>
        <w:rPr>
          <w:color w:val="000000"/>
          <w:sz w:val="18"/>
        </w:rPr>
      </w:pPr>
      <w:r w:rsidRPr="004745AC">
        <w:rPr>
          <w:rStyle w:val="FootnoteReference"/>
          <w:sz w:val="18"/>
        </w:rPr>
        <w:footnoteRef/>
      </w:r>
      <w:sdt>
        <w:sdtPr>
          <w:rPr>
            <w:sz w:val="18"/>
          </w:rPr>
          <w:tag w:val="goog_rdk_105"/>
          <w:id w:val="-1059017979"/>
        </w:sdtPr>
        <w:sdtEndPr/>
        <w:sdtContent>
          <w:r w:rsidRPr="004745AC">
            <w:rPr>
              <w:color w:val="000000"/>
              <w:sz w:val="18"/>
            </w:rPr>
            <w:t xml:space="preserve"> </w:t>
          </w:r>
          <w:sdt>
            <w:sdtPr>
              <w:rPr>
                <w:sz w:val="18"/>
              </w:rPr>
              <w:tag w:val="goog_rdk_102"/>
              <w:id w:val="1422918749"/>
            </w:sdtPr>
            <w:sdtEndPr/>
            <w:sdtContent>
              <w:hyperlink w:history="1" r:id="rId22">
                <w:r w:rsidR="007A5C96">
                  <w:rPr>
                    <w:rStyle w:val="Hyperlink"/>
                    <w:sz w:val="18"/>
                  </w:rPr>
                  <w:t>Inter-Agency GBV Case Management Guidelines</w:t>
                </w:r>
              </w:hyperlink>
            </w:sdtContent>
          </w:sdt>
          <w:r w:rsidR="007A5C96">
            <w:rPr>
              <w:sz w:val="18"/>
            </w:rPr>
            <w:t xml:space="preserve"> </w:t>
          </w:r>
          <w:r w:rsidRPr="004745AC">
            <w:rPr>
              <w:color w:val="000000"/>
              <w:sz w:val="18"/>
            </w:rPr>
            <w:t>p</w:t>
          </w:r>
          <w:r w:rsidRPr="004745AC" w:rsidR="00A93C38">
            <w:rPr>
              <w:color w:val="000000"/>
              <w:sz w:val="18"/>
            </w:rPr>
            <w:t>.</w:t>
          </w:r>
          <w:r w:rsidRPr="004745AC">
            <w:rPr>
              <w:color w:val="000000"/>
              <w:sz w:val="18"/>
            </w:rPr>
            <w:t xml:space="preserve"> 245</w:t>
          </w:r>
          <w:r w:rsidRPr="004745AC" w:rsidR="00A93C38">
            <w:rPr>
              <w:color w:val="000000"/>
              <w:sz w:val="18"/>
            </w:rPr>
            <w:t>.</w:t>
          </w:r>
        </w:sdtContent>
      </w:sdt>
    </w:p>
  </w:footnote>
  <w:footnote w:id="39">
    <w:p w:rsidRPr="004745AC" w:rsidR="001D323A" w:rsidRDefault="00CE2830" w14:paraId="7E28FEA5" w14:textId="0C29DC34">
      <w:pPr>
        <w:pBdr>
          <w:top w:val="nil"/>
          <w:left w:val="nil"/>
          <w:bottom w:val="nil"/>
          <w:right w:val="nil"/>
          <w:between w:val="nil"/>
        </w:pBdr>
        <w:spacing w:line="240" w:lineRule="auto"/>
        <w:rPr>
          <w:color w:val="000000"/>
          <w:sz w:val="18"/>
        </w:rPr>
      </w:pPr>
      <w:r w:rsidRPr="004745AC">
        <w:rPr>
          <w:rStyle w:val="FootnoteReference"/>
          <w:sz w:val="18"/>
        </w:rPr>
        <w:footnoteRef/>
      </w:r>
      <w:sdt>
        <w:sdtPr>
          <w:rPr>
            <w:sz w:val="18"/>
          </w:rPr>
          <w:tag w:val="goog_rdk_107"/>
          <w:id w:val="828796226"/>
        </w:sdtPr>
        <w:sdtEndPr/>
        <w:sdtContent>
          <w:r w:rsidRPr="004745AC">
            <w:rPr>
              <w:color w:val="000000"/>
              <w:sz w:val="18"/>
            </w:rPr>
            <w:t xml:space="preserve"> </w:t>
          </w:r>
          <w:hyperlink w:history="1" r:id="rId23">
            <w:r w:rsidR="00484108">
              <w:rPr>
                <w:rStyle w:val="Hyperlink"/>
                <w:sz w:val="18"/>
              </w:rPr>
              <w:t>UNHCR Best interests Procedure Guidelines: Assessing and Determining the Best Interests of the Child (2021)</w:t>
            </w:r>
          </w:hyperlink>
          <w:r w:rsidR="003D21DA">
            <w:rPr>
              <w:color w:val="000000"/>
              <w:sz w:val="18"/>
            </w:rPr>
            <w:t>,</w:t>
          </w:r>
          <w:r w:rsidR="00484108">
            <w:rPr>
              <w:color w:val="3F3F3F"/>
              <w:sz w:val="18"/>
              <w:shd w:val="clear" w:color="auto" w:fill="F9F9F9"/>
            </w:rPr>
            <w:t xml:space="preserve"> </w:t>
          </w:r>
          <w:r w:rsidRPr="004745AC">
            <w:rPr>
              <w:color w:val="3F3F3F"/>
              <w:sz w:val="18"/>
              <w:shd w:val="clear" w:color="auto" w:fill="F9F9F9"/>
            </w:rPr>
            <w:t>p 13</w:t>
          </w:r>
        </w:sdtContent>
      </w:sdt>
      <w:r w:rsidRPr="004745AC" w:rsidR="008C6F7B">
        <w:rPr>
          <w:sz w:val="18"/>
        </w:rPr>
        <w:t>.</w:t>
      </w:r>
    </w:p>
  </w:footnote>
  <w:footnote w:id="40">
    <w:p w:rsidRPr="001A1620" w:rsidR="001D323A" w:rsidRDefault="00CE2830" w14:paraId="7E28FEA6" w14:textId="42B0CCB2">
      <w:pPr>
        <w:pBdr>
          <w:top w:val="nil"/>
          <w:left w:val="nil"/>
          <w:bottom w:val="nil"/>
          <w:right w:val="nil"/>
          <w:between w:val="nil"/>
        </w:pBdr>
        <w:spacing w:line="240" w:lineRule="auto"/>
        <w:rPr>
          <w:color w:val="000000"/>
          <w:sz w:val="18"/>
        </w:rPr>
      </w:pPr>
      <w:r w:rsidRPr="001A1620">
        <w:rPr>
          <w:rStyle w:val="FootnoteReference"/>
          <w:sz w:val="18"/>
        </w:rPr>
        <w:footnoteRef/>
      </w:r>
      <w:r w:rsidRPr="001A1620">
        <w:rPr>
          <w:color w:val="000000"/>
          <w:sz w:val="18"/>
        </w:rPr>
        <w:t xml:space="preserve"> </w:t>
      </w:r>
      <w:sdt>
        <w:sdtPr>
          <w:rPr>
            <w:sz w:val="18"/>
          </w:rPr>
          <w:tag w:val="goog_rdk_108"/>
          <w:id w:val="-965813660"/>
        </w:sdtPr>
        <w:sdtEndPr/>
        <w:sdtContent>
          <w:hyperlink w:history="1" r:id="rId24">
            <w:r w:rsidR="00F85F7A">
              <w:rPr>
                <w:rStyle w:val="Hyperlink"/>
                <w:sz w:val="18"/>
              </w:rPr>
              <w:t>Policy on UNHCR's Engagement in Situations of Forced Displacement (2019)</w:t>
            </w:r>
          </w:hyperlink>
          <w:r w:rsidRPr="001A1620">
            <w:rPr>
              <w:sz w:val="18"/>
            </w:rPr>
            <w:t>, p.10</w:t>
          </w:r>
          <w:r w:rsidRPr="001A1620" w:rsidR="00A172D3">
            <w:rPr>
              <w:sz w:val="18"/>
            </w:rPr>
            <w:t>.</w:t>
          </w:r>
        </w:sdtContent>
      </w:sdt>
    </w:p>
  </w:footnote>
  <w:footnote w:id="41">
    <w:p w:rsidRPr="001A1620" w:rsidR="001D323A" w:rsidRDefault="00CE2830" w14:paraId="7E28FEA7" w14:textId="0AE0A68C">
      <w:pPr>
        <w:pBdr>
          <w:top w:val="nil"/>
          <w:left w:val="nil"/>
          <w:bottom w:val="nil"/>
          <w:right w:val="nil"/>
          <w:between w:val="nil"/>
        </w:pBdr>
        <w:spacing w:line="240" w:lineRule="auto"/>
        <w:rPr>
          <w:color w:val="000000"/>
          <w:sz w:val="18"/>
        </w:rPr>
      </w:pPr>
      <w:r w:rsidRPr="001A1620">
        <w:rPr>
          <w:rStyle w:val="FootnoteReference"/>
          <w:sz w:val="18"/>
        </w:rPr>
        <w:footnoteRef/>
      </w:r>
      <w:sdt>
        <w:sdtPr>
          <w:rPr>
            <w:sz w:val="18"/>
          </w:rPr>
          <w:tag w:val="goog_rdk_110"/>
          <w:id w:val="-1631400741"/>
        </w:sdtPr>
        <w:sdtEndPr/>
        <w:sdtContent>
          <w:r w:rsidRPr="001A1620">
            <w:rPr>
              <w:color w:val="000000"/>
              <w:sz w:val="18"/>
            </w:rPr>
            <w:t xml:space="preserve"> </w:t>
          </w:r>
          <w:hyperlink w:history="1" r:id="rId25">
            <w:r w:rsidRPr="00BE761E" w:rsidR="00563ABD">
              <w:rPr>
                <w:rStyle w:val="Hyperlink"/>
                <w:sz w:val="18"/>
                <w:szCs w:val="18"/>
              </w:rPr>
              <w:t>IASC GBV Guidelines (2015)</w:t>
            </w:r>
          </w:hyperlink>
          <w:r w:rsidRPr="001A1620">
            <w:rPr>
              <w:color w:val="000000"/>
              <w:sz w:val="18"/>
            </w:rPr>
            <w:t xml:space="preserve">, p </w:t>
          </w:r>
          <w:r w:rsidR="00AD40B9">
            <w:rPr>
              <w:color w:val="000000"/>
              <w:sz w:val="18"/>
            </w:rPr>
            <w:t>321</w:t>
          </w:r>
          <w:r w:rsidRPr="001A1620">
            <w:rPr>
              <w:color w:val="000000"/>
              <w:sz w:val="18"/>
            </w:rPr>
            <w:t>.</w:t>
          </w:r>
        </w:sdtContent>
      </w:sdt>
    </w:p>
  </w:footnote>
  <w:footnote w:id="42">
    <w:p w:rsidRPr="007A5C96" w:rsidR="001D323A" w:rsidP="007A5C96" w:rsidRDefault="00CE2830" w14:paraId="7E28FEA8" w14:textId="69F25C86">
      <w:pPr>
        <w:rPr>
          <w:sz w:val="18"/>
        </w:rPr>
      </w:pPr>
      <w:r w:rsidRPr="001A1620">
        <w:rPr>
          <w:rStyle w:val="FootnoteReference"/>
          <w:sz w:val="18"/>
        </w:rPr>
        <w:footnoteRef/>
      </w:r>
      <w:r w:rsidRPr="001A1620">
        <w:rPr>
          <w:color w:val="000000"/>
          <w:sz w:val="18"/>
        </w:rPr>
        <w:t xml:space="preserve"> </w:t>
      </w:r>
      <w:sdt>
        <w:sdtPr>
          <w:rPr>
            <w:sz w:val="18"/>
          </w:rPr>
          <w:tag w:val="goog_rdk_111"/>
          <w:id w:val="1436174672"/>
        </w:sdtPr>
        <w:sdtEndPr/>
        <w:sdtContent>
          <w:sdt>
            <w:sdtPr>
              <w:rPr>
                <w:sz w:val="18"/>
              </w:rPr>
              <w:tag w:val="goog_rdk_102"/>
              <w:id w:val="1154335345"/>
            </w:sdtPr>
            <w:sdtEndPr/>
            <w:sdtContent>
              <w:hyperlink w:history="1" r:id="rId26">
                <w:r w:rsidR="007A5C96">
                  <w:rPr>
                    <w:rStyle w:val="Hyperlink"/>
                    <w:sz w:val="18"/>
                  </w:rPr>
                  <w:t>Inter-Agency GBV Case Management Guidelines</w:t>
                </w:r>
              </w:hyperlink>
            </w:sdtContent>
          </w:sdt>
        </w:sdtContent>
      </w:sdt>
      <w:r w:rsidRPr="001A1620">
        <w:rPr>
          <w:color w:val="000000"/>
          <w:sz w:val="18"/>
        </w:rPr>
        <w:t xml:space="preserve">, p </w:t>
      </w:r>
      <w:r w:rsidRPr="001A1620" w:rsidR="00186E30">
        <w:rPr>
          <w:color w:val="000000"/>
          <w:sz w:val="18"/>
        </w:rPr>
        <w:t>246</w:t>
      </w:r>
      <w:r w:rsidRPr="001A1620">
        <w:rPr>
          <w:color w:val="000000"/>
          <w:sz w:val="18"/>
        </w:rPr>
        <w:t>.</w:t>
      </w:r>
    </w:p>
  </w:footnote>
  <w:footnote w:id="43">
    <w:sdt>
      <w:sdtPr>
        <w:rPr>
          <w:sz w:val="18"/>
        </w:rPr>
        <w:tag w:val="goog_rdk_113"/>
        <w:id w:val="1555656924"/>
      </w:sdtPr>
      <w:sdtEndPr/>
      <w:sdtContent>
        <w:p w:rsidRPr="001A1620" w:rsidR="001D323A" w:rsidRDefault="00CE2830" w14:paraId="7E28FEA9" w14:textId="0A533254">
          <w:pPr>
            <w:pBdr>
              <w:top w:val="nil"/>
              <w:left w:val="nil"/>
              <w:bottom w:val="nil"/>
              <w:right w:val="nil"/>
              <w:between w:val="nil"/>
            </w:pBdr>
            <w:spacing w:line="240" w:lineRule="auto"/>
            <w:rPr>
              <w:color w:val="000000"/>
              <w:sz w:val="18"/>
            </w:rPr>
          </w:pPr>
          <w:r w:rsidRPr="001A1620">
            <w:rPr>
              <w:rStyle w:val="FootnoteReference"/>
              <w:sz w:val="18"/>
            </w:rPr>
            <w:footnoteRef/>
          </w:r>
          <w:r w:rsidRPr="001A1620">
            <w:rPr>
              <w:color w:val="000000"/>
              <w:sz w:val="18"/>
            </w:rPr>
            <w:t xml:space="preserve"> </w:t>
          </w:r>
          <w:sdt>
            <w:sdtPr>
              <w:rPr>
                <w:sz w:val="18"/>
              </w:rPr>
              <w:tag w:val="goog_rdk_112"/>
              <w:id w:val="-391885701"/>
            </w:sdtPr>
            <w:sdtEndPr/>
            <w:sdtContent>
              <w:sdt>
                <w:sdtPr>
                  <w:rPr>
                    <w:sz w:val="18"/>
                  </w:rPr>
                  <w:tag w:val="goog_rdk_114"/>
                  <w:id w:val="33395143"/>
                </w:sdtPr>
                <w:sdtEndPr/>
                <w:sdtContent>
                  <w:r w:rsidRPr="00AD40B9" w:rsidR="00AD40B9">
                    <w:rPr>
                      <w:sz w:val="18"/>
                    </w:rPr>
                    <w:t xml:space="preserve">Global Water Security and Sanitation Partnership, </w:t>
                  </w:r>
                  <w:hyperlink w:history="1" r:id="rId27">
                    <w:r w:rsidR="006C290C">
                      <w:rPr>
                        <w:rStyle w:val="Hyperlink"/>
                        <w:sz w:val="18"/>
                      </w:rPr>
                      <w:t>Menstrual Health and Hygiene Resource Package, Tools and Resources for Task Teams (2021)</w:t>
                    </w:r>
                  </w:hyperlink>
                  <w:r w:rsidR="001744EE">
                    <w:rPr>
                      <w:color w:val="000000"/>
                      <w:sz w:val="18"/>
                    </w:rPr>
                    <w:t xml:space="preserve">, </w:t>
                  </w:r>
                  <w:r w:rsidRPr="001A1620" w:rsidR="001744EE">
                    <w:rPr>
                      <w:color w:val="000000"/>
                      <w:sz w:val="18"/>
                    </w:rPr>
                    <w:t>p 13.</w:t>
                  </w:r>
                </w:sdtContent>
              </w:sdt>
            </w:sdtContent>
          </w:sdt>
        </w:p>
      </w:sdtContent>
    </w:sdt>
    <w:p w:rsidRPr="001A1620" w:rsidR="001D323A" w:rsidRDefault="001D323A" w14:paraId="7E28FEAA" w14:textId="6412A252">
      <w:pPr>
        <w:pBdr>
          <w:top w:val="nil"/>
          <w:left w:val="nil"/>
          <w:bottom w:val="nil"/>
          <w:right w:val="nil"/>
          <w:between w:val="nil"/>
        </w:pBdr>
        <w:spacing w:line="240" w:lineRule="auto"/>
        <w:rPr>
          <w:color w:val="000000"/>
          <w:sz w:val="18"/>
        </w:rPr>
      </w:pPr>
    </w:p>
  </w:footnote>
  <w:footnote w:id="44">
    <w:p w:rsidRPr="00B43AAF" w:rsidR="001D323A" w:rsidRDefault="00CE2830" w14:paraId="7E28FEAB" w14:textId="17D5564D">
      <w:pPr>
        <w:pBdr>
          <w:top w:val="nil"/>
          <w:left w:val="nil"/>
          <w:bottom w:val="nil"/>
          <w:right w:val="nil"/>
          <w:between w:val="nil"/>
        </w:pBdr>
        <w:spacing w:line="240" w:lineRule="auto"/>
        <w:rPr>
          <w:color w:val="000000"/>
          <w:sz w:val="18"/>
        </w:rPr>
      </w:pPr>
      <w:r w:rsidRPr="001A1620">
        <w:rPr>
          <w:rStyle w:val="FootnoteReference"/>
          <w:sz w:val="18"/>
        </w:rPr>
        <w:footnoteRef/>
      </w:r>
      <w:r w:rsidRPr="00B43AAF">
        <w:rPr>
          <w:color w:val="000000"/>
          <w:sz w:val="18"/>
        </w:rPr>
        <w:t xml:space="preserve"> </w:t>
      </w:r>
      <w:sdt>
        <w:sdtPr>
          <w:rPr>
            <w:sz w:val="18"/>
          </w:rPr>
          <w:tag w:val="goog_rdk_115"/>
          <w:id w:val="-252588866"/>
        </w:sdtPr>
        <w:sdtEndPr/>
        <w:sdtContent>
          <w:hyperlink w:history="1" r:id="rId28">
            <w:r w:rsidR="00B43AAF">
              <w:rPr>
                <w:rStyle w:val="Hyperlink"/>
                <w:sz w:val="18"/>
              </w:rPr>
              <w:t>IASC Guidelines on mental health and psychosocial support in emergency settings</w:t>
            </w:r>
          </w:hyperlink>
          <w:r w:rsidR="00B43AAF">
            <w:rPr>
              <w:color w:val="000000"/>
              <w:sz w:val="18"/>
            </w:rPr>
            <w:t xml:space="preserve">, </w:t>
          </w:r>
          <w:r w:rsidRPr="00B43AAF" w:rsidR="00B43AAF">
            <w:rPr>
              <w:color w:val="000000"/>
              <w:sz w:val="18"/>
            </w:rPr>
            <w:t>2007. p. 1.</w:t>
          </w:r>
          <w:r w:rsidR="00B43AAF">
            <w:rPr>
              <w:color w:val="000000"/>
              <w:sz w:val="18"/>
            </w:rPr>
            <w:t xml:space="preserve">  </w:t>
          </w:r>
        </w:sdtContent>
      </w:sdt>
    </w:p>
  </w:footnote>
  <w:footnote w:id="45">
    <w:p w:rsidRPr="00B43AAF" w:rsidR="00AE7F75" w:rsidRDefault="00AE7F75" w14:paraId="31A15130" w14:textId="23340105">
      <w:pPr>
        <w:pStyle w:val="FootnoteText"/>
        <w:rPr>
          <w:sz w:val="18"/>
        </w:rPr>
      </w:pPr>
      <w:r w:rsidRPr="00B43AAF">
        <w:rPr>
          <w:rStyle w:val="FootnoteReference"/>
          <w:sz w:val="18"/>
        </w:rPr>
        <w:footnoteRef/>
      </w:r>
      <w:r w:rsidRPr="00B43AAF">
        <w:rPr>
          <w:sz w:val="18"/>
        </w:rPr>
        <w:t xml:space="preserve"> </w:t>
      </w:r>
      <w:sdt>
        <w:sdtPr>
          <w:rPr>
            <w:sz w:val="18"/>
            <w:szCs w:val="18"/>
          </w:rPr>
          <w:tag w:val="goog_rdk_103"/>
          <w:id w:val="1161665466"/>
        </w:sdtPr>
        <w:sdtEndPr/>
        <w:sdtContent>
          <w:r w:rsidRPr="00B43AAF">
            <w:rPr>
              <w:color w:val="000000"/>
              <w:sz w:val="18"/>
            </w:rPr>
            <w:t xml:space="preserve">UNHCR, </w:t>
          </w:r>
          <w:hyperlink w:history="1" r:id="rId29">
            <w:r w:rsidRPr="00B43AAF">
              <w:rPr>
                <w:color w:val="0000FF"/>
                <w:sz w:val="18"/>
                <w:u w:val="single"/>
              </w:rPr>
              <w:t>Master Glossary of Terms</w:t>
            </w:r>
          </w:hyperlink>
          <w:r w:rsidR="003B089A">
            <w:rPr>
              <w:color w:val="0000FF"/>
              <w:sz w:val="18"/>
              <w:szCs w:val="18"/>
              <w:u w:val="single"/>
            </w:rPr>
            <w:t xml:space="preserve"> </w:t>
          </w:r>
          <w:r w:rsidRPr="007A5C96" w:rsidR="003B089A">
            <w:rPr>
              <w:sz w:val="18"/>
              <w:szCs w:val="18"/>
              <w:u w:val="single"/>
            </w:rPr>
            <w:t>(accessed 27 June 2023)</w:t>
          </w:r>
          <w:r w:rsidRPr="007A5C96" w:rsidR="00696AEB">
            <w:rPr>
              <w:sz w:val="18"/>
              <w:szCs w:val="18"/>
              <w:u w:val="single"/>
            </w:rPr>
            <w:t>.</w:t>
          </w:r>
          <w:r w:rsidRPr="007A5C96">
            <w:rPr>
              <w:sz w:val="18"/>
              <w:szCs w:val="18"/>
            </w:rPr>
            <w:t xml:space="preserve"> </w:t>
          </w:r>
        </w:sdtContent>
      </w:sdt>
    </w:p>
  </w:footnote>
  <w:footnote w:id="46">
    <w:p w:rsidRPr="00B43AAF" w:rsidR="001D323A" w:rsidRDefault="00CE2830" w14:paraId="7E28FEAD" w14:textId="3AE0CE37">
      <w:pPr>
        <w:spacing w:line="240" w:lineRule="auto"/>
        <w:rPr>
          <w:sz w:val="18"/>
        </w:rPr>
      </w:pPr>
      <w:r w:rsidRPr="00B43AAF">
        <w:rPr>
          <w:rStyle w:val="FootnoteReference"/>
          <w:sz w:val="18"/>
        </w:rPr>
        <w:footnoteRef/>
      </w:r>
      <w:r w:rsidRPr="00B43AAF">
        <w:rPr>
          <w:sz w:val="18"/>
        </w:rPr>
        <w:t xml:space="preserve"> Oxfam</w:t>
      </w:r>
      <w:r w:rsidR="007A5C96">
        <w:rPr>
          <w:sz w:val="18"/>
        </w:rPr>
        <w:t>,</w:t>
      </w:r>
      <w:r w:rsidRPr="00B43AAF">
        <w:rPr>
          <w:sz w:val="18"/>
        </w:rPr>
        <w:t xml:space="preserve"> </w:t>
      </w:r>
      <w:hyperlink w:history="1" r:id="rId30">
        <w:r w:rsidR="00563ABD">
          <w:rPr>
            <w:rStyle w:val="Hyperlink"/>
            <w:sz w:val="18"/>
          </w:rPr>
          <w:t>The Humanitarian-Development Nexus: What does it mean for multi-mandated organizations? (2019)</w:t>
        </w:r>
      </w:hyperlink>
      <w:r w:rsidR="007A5C96">
        <w:rPr>
          <w:sz w:val="18"/>
        </w:rPr>
        <w:t>.</w:t>
      </w:r>
    </w:p>
  </w:footnote>
  <w:footnote w:id="47">
    <w:p w:rsidRPr="00563ABD" w:rsidR="001D323A" w:rsidP="00563ABD" w:rsidRDefault="00CE2830" w14:paraId="7E28FEAE" w14:textId="53CE0B53">
      <w:pPr>
        <w:rPr>
          <w:sz w:val="18"/>
        </w:rPr>
      </w:pPr>
      <w:r w:rsidRPr="001C56C6">
        <w:rPr>
          <w:rStyle w:val="FootnoteReference"/>
          <w:sz w:val="18"/>
        </w:rPr>
        <w:footnoteRef/>
      </w:r>
      <w:r w:rsidRPr="001C56C6">
        <w:rPr>
          <w:color w:val="000000"/>
          <w:sz w:val="18"/>
        </w:rPr>
        <w:t xml:space="preserve"> </w:t>
      </w:r>
      <w:sdt>
        <w:sdtPr>
          <w:rPr>
            <w:sz w:val="18"/>
          </w:rPr>
          <w:tag w:val="goog_rdk_117"/>
          <w:id w:val="-233319373"/>
        </w:sdtPr>
        <w:sdtEndPr/>
        <w:sdtContent>
          <w:sdt>
            <w:sdtPr>
              <w:rPr>
                <w:sz w:val="18"/>
              </w:rPr>
              <w:tag w:val="goog_rdk_102"/>
              <w:id w:val="2005390511"/>
            </w:sdtPr>
            <w:sdtEndPr/>
            <w:sdtContent>
              <w:sdt>
                <w:sdtPr>
                  <w:rPr>
                    <w:sz w:val="18"/>
                  </w:rPr>
                  <w:tag w:val="goog_rdk_102"/>
                  <w:id w:val="-2109263457"/>
                </w:sdtPr>
                <w:sdtEndPr/>
                <w:sdtContent>
                  <w:hyperlink w:history="1" r:id="rId31">
                    <w:r w:rsidR="009B52C2">
                      <w:rPr>
                        <w:rStyle w:val="Hyperlink"/>
                        <w:sz w:val="18"/>
                      </w:rPr>
                      <w:t>Inter-Agency GBV Case Management Guidelines (2017)</w:t>
                    </w:r>
                  </w:hyperlink>
                </w:sdtContent>
              </w:sdt>
            </w:sdtContent>
          </w:sdt>
        </w:sdtContent>
      </w:sdt>
      <w:r w:rsidRPr="001C56C6">
        <w:rPr>
          <w:color w:val="000000"/>
          <w:sz w:val="18"/>
        </w:rPr>
        <w:t>, p</w:t>
      </w:r>
      <w:r w:rsidRPr="001C56C6" w:rsidR="00A038C3">
        <w:rPr>
          <w:color w:val="000000"/>
          <w:sz w:val="18"/>
        </w:rPr>
        <w:t>.</w:t>
      </w:r>
      <w:r w:rsidRPr="001C56C6">
        <w:rPr>
          <w:color w:val="000000"/>
          <w:sz w:val="18"/>
        </w:rPr>
        <w:t xml:space="preserve"> 246</w:t>
      </w:r>
      <w:r w:rsidRPr="001C56C6" w:rsidR="00633972">
        <w:rPr>
          <w:color w:val="000000"/>
          <w:sz w:val="18"/>
        </w:rPr>
        <w:t>.</w:t>
      </w:r>
    </w:p>
  </w:footnote>
  <w:footnote w:id="48">
    <w:p w:rsidRPr="00563ABD" w:rsidR="001D323A" w:rsidP="00563ABD" w:rsidRDefault="00CE2830" w14:paraId="7E28FEAF" w14:textId="09C0592C">
      <w:pPr>
        <w:rPr>
          <w:sz w:val="18"/>
          <w:szCs w:val="18"/>
        </w:rPr>
      </w:pPr>
      <w:r w:rsidRPr="001C56C6">
        <w:rPr>
          <w:rStyle w:val="FootnoteReference"/>
          <w:sz w:val="18"/>
        </w:rPr>
        <w:footnoteRef/>
      </w:r>
      <w:hyperlink w:history="1" r:id="rId32">
        <w:r w:rsidRPr="00BE761E" w:rsidR="00563ABD">
          <w:rPr>
            <w:rStyle w:val="Hyperlink"/>
            <w:sz w:val="18"/>
            <w:szCs w:val="18"/>
          </w:rPr>
          <w:t>IASC GBV Guidelines (2015)</w:t>
        </w:r>
      </w:hyperlink>
      <w:sdt>
        <w:sdtPr>
          <w:rPr>
            <w:sz w:val="18"/>
          </w:rPr>
          <w:tag w:val="goog_rdk_118"/>
          <w:id w:val="248551079"/>
        </w:sdtPr>
        <w:sdtEndPr/>
        <w:sdtContent>
          <w:r w:rsidRPr="001C56C6">
            <w:rPr>
              <w:color w:val="000000"/>
              <w:sz w:val="18"/>
            </w:rPr>
            <w:t>, p.</w:t>
          </w:r>
          <w:r w:rsidRPr="001C56C6" w:rsidR="00C40D1E">
            <w:rPr>
              <w:color w:val="000000"/>
              <w:sz w:val="18"/>
            </w:rPr>
            <w:t>346</w:t>
          </w:r>
          <w:r w:rsidRPr="001C56C6" w:rsidR="00696AEB">
            <w:rPr>
              <w:color w:val="000000"/>
              <w:sz w:val="18"/>
            </w:rPr>
            <w:t>.</w:t>
          </w:r>
        </w:sdtContent>
      </w:sdt>
    </w:p>
  </w:footnote>
  <w:footnote w:id="49">
    <w:p w:rsidRPr="001C56C6" w:rsidR="001D323A" w:rsidRDefault="00CE2830" w14:paraId="7E28FEB0" w14:textId="7BFD769C">
      <w:pPr>
        <w:pBdr>
          <w:top w:val="nil"/>
          <w:left w:val="nil"/>
          <w:bottom w:val="nil"/>
          <w:right w:val="nil"/>
          <w:between w:val="nil"/>
        </w:pBdr>
        <w:spacing w:line="240" w:lineRule="auto"/>
        <w:rPr>
          <w:color w:val="000000"/>
          <w:sz w:val="18"/>
        </w:rPr>
      </w:pPr>
      <w:r w:rsidRPr="001C56C6">
        <w:rPr>
          <w:rStyle w:val="FootnoteReference"/>
          <w:sz w:val="18"/>
        </w:rPr>
        <w:footnoteRef/>
      </w:r>
      <w:r w:rsidRPr="001C56C6">
        <w:rPr>
          <w:color w:val="000000"/>
          <w:sz w:val="18"/>
        </w:rPr>
        <w:t xml:space="preserve"> </w:t>
      </w:r>
      <w:sdt>
        <w:sdtPr>
          <w:rPr>
            <w:sz w:val="18"/>
          </w:rPr>
          <w:tag w:val="goog_rdk_119"/>
          <w:id w:val="-724304271"/>
        </w:sdtPr>
        <w:sdtEndPr/>
        <w:sdtContent>
          <w:r w:rsidR="005E2962">
            <w:rPr>
              <w:color w:val="000000"/>
              <w:sz w:val="18"/>
            </w:rPr>
            <w:t>Ibid</w:t>
          </w:r>
          <w:r w:rsidRPr="001C56C6">
            <w:rPr>
              <w:color w:val="000000"/>
              <w:sz w:val="18"/>
            </w:rPr>
            <w:t>, p.11</w:t>
          </w:r>
          <w:r w:rsidRPr="001C56C6" w:rsidR="00BF0C1D">
            <w:rPr>
              <w:color w:val="000000"/>
              <w:sz w:val="18"/>
            </w:rPr>
            <w:t>.</w:t>
          </w:r>
        </w:sdtContent>
      </w:sdt>
    </w:p>
  </w:footnote>
  <w:footnote w:id="50">
    <w:p w:rsidRPr="001C56C6" w:rsidR="001D323A" w:rsidRDefault="00CE2830" w14:paraId="7E28FEB1" w14:textId="697434F6">
      <w:pPr>
        <w:pBdr>
          <w:top w:val="nil"/>
          <w:left w:val="nil"/>
          <w:bottom w:val="nil"/>
          <w:right w:val="nil"/>
          <w:between w:val="nil"/>
        </w:pBdr>
        <w:spacing w:line="240" w:lineRule="auto"/>
        <w:rPr>
          <w:color w:val="000000"/>
          <w:sz w:val="18"/>
        </w:rPr>
      </w:pPr>
      <w:r w:rsidRPr="001C56C6">
        <w:rPr>
          <w:rStyle w:val="FootnoteReference"/>
          <w:sz w:val="18"/>
        </w:rPr>
        <w:footnoteRef/>
      </w:r>
      <w:r w:rsidRPr="001C56C6">
        <w:rPr>
          <w:color w:val="000000"/>
          <w:sz w:val="18"/>
        </w:rPr>
        <w:t xml:space="preserve"> </w:t>
      </w:r>
      <w:sdt>
        <w:sdtPr>
          <w:rPr>
            <w:sz w:val="18"/>
          </w:rPr>
          <w:tag w:val="goog_rdk_120"/>
          <w:id w:val="-1440987476"/>
        </w:sdtPr>
        <w:sdtEndPr/>
        <w:sdtContent>
          <w:r w:rsidR="005E2962">
            <w:rPr>
              <w:color w:val="000000"/>
              <w:sz w:val="18"/>
            </w:rPr>
            <w:t>Ibid</w:t>
          </w:r>
          <w:r w:rsidRPr="001C56C6">
            <w:rPr>
              <w:color w:val="000000"/>
              <w:sz w:val="18"/>
            </w:rPr>
            <w:t>, p.</w:t>
          </w:r>
          <w:r w:rsidRPr="001C56C6" w:rsidR="00BF0C1D">
            <w:rPr>
              <w:color w:val="000000"/>
              <w:sz w:val="18"/>
            </w:rPr>
            <w:t xml:space="preserve"> </w:t>
          </w:r>
          <w:r w:rsidRPr="001C56C6" w:rsidR="00283C6D">
            <w:rPr>
              <w:color w:val="000000"/>
              <w:sz w:val="18"/>
            </w:rPr>
            <w:t>326</w:t>
          </w:r>
          <w:r w:rsidRPr="001C56C6" w:rsidR="00BF0C1D">
            <w:rPr>
              <w:color w:val="000000"/>
              <w:sz w:val="18"/>
            </w:rPr>
            <w:t>.</w:t>
          </w:r>
        </w:sdtContent>
      </w:sdt>
    </w:p>
  </w:footnote>
  <w:footnote w:id="51">
    <w:p w:rsidRPr="001C56C6" w:rsidR="001D323A" w:rsidRDefault="00CE2830" w14:paraId="7E28FEB2" w14:textId="5214ADF2">
      <w:pPr>
        <w:pBdr>
          <w:top w:val="nil"/>
          <w:left w:val="nil"/>
          <w:bottom w:val="nil"/>
          <w:right w:val="nil"/>
          <w:between w:val="nil"/>
        </w:pBdr>
        <w:spacing w:line="240" w:lineRule="auto"/>
        <w:rPr>
          <w:color w:val="000000"/>
          <w:sz w:val="18"/>
        </w:rPr>
      </w:pPr>
      <w:r w:rsidRPr="001C56C6">
        <w:rPr>
          <w:rStyle w:val="FootnoteReference"/>
          <w:sz w:val="18"/>
        </w:rPr>
        <w:footnoteRef/>
      </w:r>
      <w:sdt>
        <w:sdtPr>
          <w:rPr>
            <w:sz w:val="18"/>
          </w:rPr>
          <w:tag w:val="goog_rdk_122"/>
          <w:id w:val="-1810390759"/>
        </w:sdtPr>
        <w:sdtEndPr/>
        <w:sdtContent>
          <w:r w:rsidRPr="001C56C6">
            <w:rPr>
              <w:color w:val="000000"/>
              <w:sz w:val="18"/>
            </w:rPr>
            <w:t xml:space="preserve"> </w:t>
          </w:r>
          <w:sdt>
            <w:sdtPr>
              <w:rPr>
                <w:sz w:val="18"/>
              </w:rPr>
              <w:tag w:val="goog_rdk_102"/>
              <w:id w:val="-859515744"/>
            </w:sdtPr>
            <w:sdtEndPr/>
            <w:sdtContent>
              <w:sdt>
                <w:sdtPr>
                  <w:rPr>
                    <w:sz w:val="18"/>
                  </w:rPr>
                  <w:tag w:val="goog_rdk_102"/>
                  <w:id w:val="656277885"/>
                </w:sdtPr>
                <w:sdtEndPr/>
                <w:sdtContent>
                  <w:hyperlink w:history="1" r:id="rId33">
                    <w:r w:rsidR="00292DAD">
                      <w:rPr>
                        <w:rStyle w:val="Hyperlink"/>
                        <w:sz w:val="18"/>
                      </w:rPr>
                      <w:t>Inter-Agency GBV Case Management Guidelines</w:t>
                    </w:r>
                  </w:hyperlink>
                </w:sdtContent>
              </w:sdt>
              <w:r w:rsidR="00292DAD">
                <w:rPr>
                  <w:sz w:val="18"/>
                </w:rPr>
                <w:t xml:space="preserve"> </w:t>
              </w:r>
            </w:sdtContent>
          </w:sdt>
          <w:r w:rsidRPr="001C56C6">
            <w:rPr>
              <w:color w:val="000000"/>
              <w:sz w:val="18"/>
            </w:rPr>
            <w:t>, p.</w:t>
          </w:r>
          <w:r w:rsidRPr="001C56C6" w:rsidR="00A930E7">
            <w:rPr>
              <w:color w:val="000000"/>
              <w:sz w:val="18"/>
            </w:rPr>
            <w:t xml:space="preserve"> </w:t>
          </w:r>
          <w:r w:rsidRPr="001C56C6">
            <w:rPr>
              <w:color w:val="000000"/>
              <w:sz w:val="18"/>
            </w:rPr>
            <w:t>246</w:t>
          </w:r>
          <w:r w:rsidRPr="001C56C6" w:rsidR="00A930E7">
            <w:rPr>
              <w:color w:val="000000"/>
              <w:sz w:val="18"/>
            </w:rPr>
            <w:t>.</w:t>
          </w:r>
        </w:sdtContent>
      </w:sdt>
      <w:r w:rsidRPr="001C56C6">
        <w:rPr>
          <w:color w:val="000000"/>
          <w:sz w:val="18"/>
        </w:rPr>
        <w:t xml:space="preserve"> </w:t>
      </w:r>
    </w:p>
  </w:footnote>
  <w:footnote w:id="52">
    <w:p w:rsidRPr="005741C3" w:rsidR="001D323A" w:rsidP="005741C3" w:rsidRDefault="00CE2830" w14:paraId="7E28FEB3" w14:textId="1B69824C">
      <w:pPr>
        <w:rPr>
          <w:sz w:val="18"/>
          <w:szCs w:val="18"/>
        </w:rPr>
      </w:pPr>
      <w:r w:rsidRPr="001C56C6">
        <w:rPr>
          <w:rStyle w:val="FootnoteReference"/>
          <w:sz w:val="18"/>
        </w:rPr>
        <w:footnoteRef/>
      </w:r>
      <w:r w:rsidRPr="001C56C6">
        <w:rPr>
          <w:sz w:val="18"/>
        </w:rPr>
        <w:t xml:space="preserve"> This definition of rape is consistent with the </w:t>
      </w:r>
      <w:hyperlink w:history="1" r:id="rId34">
        <w:r w:rsidRPr="00BE761E" w:rsidR="005741C3">
          <w:rPr>
            <w:rStyle w:val="Hyperlink"/>
            <w:sz w:val="18"/>
            <w:szCs w:val="18"/>
          </w:rPr>
          <w:t>IASC GBV Guidelines (2015)</w:t>
        </w:r>
      </w:hyperlink>
      <w:r w:rsidRPr="001C56C6">
        <w:rPr>
          <w:sz w:val="18"/>
        </w:rPr>
        <w:t xml:space="preserve">. The GBV Information Management System (GBVIMS), however, defines rape as “non-consensual penetration (however slight) of the vagina, anus or mouth with a penis or other body part. Also includes penetration of the vagina or anus with an object.” These are the two definitions used by GBV specialized actors, whereas </w:t>
      </w:r>
      <w:r w:rsidRPr="001C56C6" w:rsidR="005575A2">
        <w:rPr>
          <w:sz w:val="18"/>
        </w:rPr>
        <w:t xml:space="preserve">health </w:t>
      </w:r>
      <w:r w:rsidRPr="001C56C6">
        <w:rPr>
          <w:sz w:val="18"/>
        </w:rPr>
        <w:t xml:space="preserve">actors might use a World Health Organization definition. Please see </w:t>
      </w:r>
      <w:r w:rsidRPr="001C56C6" w:rsidR="0074297C">
        <w:rPr>
          <w:sz w:val="18"/>
        </w:rPr>
        <w:t xml:space="preserve">section </w:t>
      </w:r>
      <w:r w:rsidRPr="001C56C6">
        <w:rPr>
          <w:sz w:val="18"/>
        </w:rPr>
        <w:t xml:space="preserve">1.3.2.1 for the GBVIMS Incident Type definitions. </w:t>
      </w:r>
    </w:p>
    <w:bookmarkStart w:name="_heading=h.2jxsxqh" w:colFirst="0" w:colLast="0" w:id="1"/>
    <w:bookmarkEnd w:id="1"/>
  </w:footnote>
  <w:footnote w:id="53">
    <w:p w:rsidRPr="001C56C6" w:rsidR="001D323A" w:rsidRDefault="00CE2830" w14:paraId="7E28FEB4" w14:textId="4F52F5DA">
      <w:pPr>
        <w:spacing w:line="240" w:lineRule="auto"/>
        <w:rPr>
          <w:sz w:val="18"/>
        </w:rPr>
      </w:pPr>
      <w:r w:rsidRPr="001C56C6">
        <w:rPr>
          <w:rStyle w:val="FootnoteReference"/>
          <w:sz w:val="18"/>
        </w:rPr>
        <w:footnoteRef/>
      </w:r>
      <w:r w:rsidRPr="001C56C6">
        <w:rPr>
          <w:sz w:val="18"/>
        </w:rPr>
        <w:t xml:space="preserve"> In the GBV Information Management System (GBVIMS), attempted rape is included under “</w:t>
      </w:r>
      <w:r w:rsidRPr="001C56C6" w:rsidR="0074297C">
        <w:rPr>
          <w:sz w:val="18"/>
        </w:rPr>
        <w:t>sexual assault</w:t>
      </w:r>
      <w:r w:rsidRPr="001C56C6">
        <w:rPr>
          <w:sz w:val="18"/>
        </w:rPr>
        <w:t>”.</w:t>
      </w:r>
    </w:p>
  </w:footnote>
  <w:footnote w:id="54">
    <w:p w:rsidRPr="009B52C2" w:rsidR="001D323A" w:rsidP="009B52C2" w:rsidRDefault="00CE2830" w14:paraId="7E28FEB5" w14:textId="66E0CE8B">
      <w:pPr>
        <w:rPr>
          <w:sz w:val="18"/>
          <w:szCs w:val="18"/>
        </w:rPr>
      </w:pPr>
      <w:r w:rsidRPr="001C56C6">
        <w:rPr>
          <w:rStyle w:val="FootnoteReference"/>
          <w:sz w:val="18"/>
        </w:rPr>
        <w:footnoteRef/>
      </w:r>
      <w:r w:rsidRPr="001C56C6">
        <w:rPr>
          <w:sz w:val="18"/>
        </w:rPr>
        <w:t xml:space="preserve"> </w:t>
      </w:r>
      <w:hyperlink w:history="1" r:id="rId35">
        <w:r w:rsidRPr="00BE761E" w:rsidR="009B52C2">
          <w:rPr>
            <w:rStyle w:val="Hyperlink"/>
            <w:sz w:val="18"/>
            <w:szCs w:val="18"/>
          </w:rPr>
          <w:t>IASC GBV Guidelines (2015)</w:t>
        </w:r>
      </w:hyperlink>
      <w:r w:rsidRPr="00BE761E" w:rsidR="009B52C2">
        <w:rPr>
          <w:sz w:val="18"/>
          <w:szCs w:val="18"/>
        </w:rPr>
        <w:t xml:space="preserve"> </w:t>
      </w:r>
      <w:r w:rsidRPr="001C56C6">
        <w:rPr>
          <w:sz w:val="18"/>
        </w:rPr>
        <w:t xml:space="preserve">, p. 322. </w:t>
      </w:r>
    </w:p>
  </w:footnote>
  <w:footnote w:id="55">
    <w:p w:rsidRPr="00FB766F" w:rsidR="001D323A" w:rsidRDefault="00CE2830" w14:paraId="7E28FEB6" w14:textId="566EF86E">
      <w:pPr>
        <w:pBdr>
          <w:top w:val="nil"/>
          <w:left w:val="nil"/>
          <w:bottom w:val="nil"/>
          <w:right w:val="nil"/>
          <w:between w:val="nil"/>
        </w:pBdr>
        <w:spacing w:line="240" w:lineRule="auto"/>
        <w:rPr>
          <w:color w:val="000000"/>
          <w:sz w:val="18"/>
        </w:rPr>
      </w:pPr>
      <w:r w:rsidRPr="001C56C6">
        <w:rPr>
          <w:rStyle w:val="FootnoteReference"/>
          <w:sz w:val="18"/>
        </w:rPr>
        <w:footnoteRef/>
      </w:r>
      <w:r w:rsidRPr="001C56C6">
        <w:rPr>
          <w:color w:val="000000"/>
          <w:sz w:val="18"/>
        </w:rPr>
        <w:t xml:space="preserve"> </w:t>
      </w:r>
      <w:sdt>
        <w:sdtPr>
          <w:rPr>
            <w:sz w:val="18"/>
            <w:szCs w:val="18"/>
          </w:rPr>
          <w:tag w:val="goog_rdk_123"/>
          <w:id w:val="-1473750342"/>
        </w:sdtPr>
        <w:sdtEndPr/>
        <w:sdtContent>
          <w:r w:rsidRPr="001C56C6">
            <w:rPr>
              <w:color w:val="000000"/>
              <w:sz w:val="18"/>
            </w:rPr>
            <w:t xml:space="preserve">UNHCR, </w:t>
          </w:r>
          <w:hyperlink w:history="1" r:id="rId36">
            <w:r w:rsidRPr="001C56C6">
              <w:rPr>
                <w:color w:val="0000FF"/>
                <w:sz w:val="18"/>
                <w:u w:val="single"/>
              </w:rPr>
              <w:t>Master Glossary of Terms</w:t>
            </w:r>
          </w:hyperlink>
          <w:r w:rsidR="003B089A">
            <w:rPr>
              <w:color w:val="0000FF"/>
              <w:sz w:val="18"/>
              <w:szCs w:val="18"/>
              <w:u w:val="single"/>
            </w:rPr>
            <w:t xml:space="preserve"> </w:t>
          </w:r>
          <w:r w:rsidRPr="009B52C2" w:rsidR="003B089A">
            <w:rPr>
              <w:sz w:val="18"/>
              <w:szCs w:val="18"/>
            </w:rPr>
            <w:t>(accessed 27 June 2023)</w:t>
          </w:r>
          <w:r w:rsidRPr="009B52C2" w:rsidR="00566764">
            <w:rPr>
              <w:sz w:val="18"/>
              <w:szCs w:val="18"/>
            </w:rPr>
            <w:t>.</w:t>
          </w:r>
        </w:sdtContent>
      </w:sdt>
    </w:p>
  </w:footnote>
  <w:footnote w:id="56">
    <w:p w:rsidRPr="00FB766F" w:rsidR="00851129" w:rsidRDefault="00851129" w14:paraId="3CFC6568" w14:textId="30F5EF18">
      <w:pPr>
        <w:pStyle w:val="FootnoteText"/>
        <w:rPr>
          <w:sz w:val="18"/>
        </w:rPr>
      </w:pPr>
      <w:r w:rsidRPr="00FB766F">
        <w:rPr>
          <w:rStyle w:val="FootnoteReference"/>
          <w:sz w:val="18"/>
        </w:rPr>
        <w:footnoteRef/>
      </w:r>
      <w:r w:rsidRPr="00FB766F">
        <w:rPr>
          <w:sz w:val="18"/>
        </w:rPr>
        <w:t xml:space="preserve"> </w:t>
      </w:r>
      <w:hyperlink w:history="1" r:id="rId37">
        <w:r w:rsidRPr="00FB766F" w:rsidR="00A116B5">
          <w:rPr>
            <w:rStyle w:val="Hyperlink"/>
            <w:sz w:val="18"/>
          </w:rPr>
          <w:t>UNHCR Integration Handbook</w:t>
        </w:r>
      </w:hyperlink>
      <w:r w:rsidR="003B089A">
        <w:rPr>
          <w:rStyle w:val="Hyperlink"/>
          <w:sz w:val="18"/>
          <w:szCs w:val="18"/>
        </w:rPr>
        <w:t xml:space="preserve"> </w:t>
      </w:r>
      <w:r w:rsidRPr="003B089A" w:rsidR="003B089A">
        <w:rPr>
          <w:rStyle w:val="Hyperlink"/>
          <w:sz w:val="18"/>
          <w:szCs w:val="18"/>
        </w:rPr>
        <w:t>(accessed 27 June 2023)</w:t>
      </w:r>
      <w:r w:rsidRPr="00630569" w:rsidR="00566764">
        <w:rPr>
          <w:rStyle w:val="Hyperlink"/>
          <w:sz w:val="18"/>
          <w:szCs w:val="18"/>
        </w:rPr>
        <w:t>.</w:t>
      </w:r>
      <w:r w:rsidRPr="00630569" w:rsidR="00A116B5">
        <w:rPr>
          <w:sz w:val="18"/>
          <w:szCs w:val="18"/>
        </w:rPr>
        <w:t xml:space="preserve"> </w:t>
      </w:r>
    </w:p>
  </w:footnote>
  <w:footnote w:id="57">
    <w:p w:rsidRPr="00FC4889" w:rsidR="001D323A" w:rsidRDefault="00CE2830" w14:paraId="7E28FEB7" w14:textId="15D6D66B">
      <w:pPr>
        <w:pBdr>
          <w:top w:val="nil"/>
          <w:left w:val="nil"/>
          <w:bottom w:val="nil"/>
          <w:right w:val="nil"/>
          <w:between w:val="nil"/>
        </w:pBdr>
        <w:spacing w:line="240" w:lineRule="auto"/>
        <w:rPr>
          <w:color w:val="000000"/>
          <w:sz w:val="18"/>
        </w:rPr>
      </w:pPr>
      <w:r w:rsidRPr="00FB766F">
        <w:rPr>
          <w:rStyle w:val="FootnoteReference"/>
          <w:sz w:val="18"/>
        </w:rPr>
        <w:footnoteRef/>
      </w:r>
      <w:r w:rsidRPr="00FC4889">
        <w:rPr>
          <w:color w:val="000000"/>
          <w:sz w:val="18"/>
        </w:rPr>
        <w:t xml:space="preserve"> </w:t>
      </w:r>
      <w:sdt>
        <w:sdtPr>
          <w:rPr>
            <w:sz w:val="18"/>
          </w:rPr>
          <w:tag w:val="goog_rdk_124"/>
          <w:id w:val="-594634646"/>
        </w:sdtPr>
        <w:sdtEndPr/>
        <w:sdtContent>
          <w:hyperlink w:history="1" r:id="rId38">
            <w:r w:rsidR="00610520">
              <w:rPr>
                <w:rStyle w:val="Hyperlink"/>
                <w:sz w:val="18"/>
              </w:rPr>
              <w:t>The Inter-Agency Minimum Standards for GBV in Emergencies (2019)</w:t>
            </w:r>
          </w:hyperlink>
          <w:r w:rsidRPr="00FC4889">
            <w:rPr>
              <w:color w:val="000000"/>
              <w:sz w:val="18"/>
            </w:rPr>
            <w:t>, p.16</w:t>
          </w:r>
          <w:r w:rsidRPr="00FC4889" w:rsidR="00566764">
            <w:rPr>
              <w:color w:val="000000"/>
              <w:sz w:val="18"/>
            </w:rPr>
            <w:t>.</w:t>
          </w:r>
        </w:sdtContent>
      </w:sdt>
    </w:p>
  </w:footnote>
  <w:footnote w:id="58">
    <w:p w:rsidRPr="00FC4889" w:rsidR="001D323A" w:rsidRDefault="00CE2830" w14:paraId="7E28FEB8" w14:textId="7D896ACE">
      <w:pPr>
        <w:pBdr>
          <w:top w:val="nil"/>
          <w:left w:val="nil"/>
          <w:bottom w:val="nil"/>
          <w:right w:val="nil"/>
          <w:between w:val="nil"/>
        </w:pBdr>
        <w:spacing w:line="240" w:lineRule="auto"/>
        <w:rPr>
          <w:color w:val="000000"/>
          <w:sz w:val="18"/>
        </w:rPr>
      </w:pPr>
      <w:r w:rsidRPr="00FC4889">
        <w:rPr>
          <w:rStyle w:val="FootnoteReference"/>
          <w:sz w:val="18"/>
        </w:rPr>
        <w:footnoteRef/>
      </w:r>
      <w:r w:rsidRPr="00FC4889">
        <w:rPr>
          <w:color w:val="000000"/>
          <w:sz w:val="18"/>
        </w:rPr>
        <w:t xml:space="preserve"> </w:t>
      </w:r>
      <w:sdt>
        <w:sdtPr>
          <w:rPr>
            <w:sz w:val="18"/>
            <w:szCs w:val="18"/>
          </w:rPr>
          <w:tag w:val="goog_rdk_125"/>
          <w:id w:val="2126197688"/>
        </w:sdtPr>
        <w:sdtEndPr/>
        <w:sdtContent>
          <w:r w:rsidRPr="00FC4889">
            <w:rPr>
              <w:color w:val="000000"/>
              <w:sz w:val="18"/>
            </w:rPr>
            <w:t xml:space="preserve">UNHCR, </w:t>
          </w:r>
          <w:hyperlink w:history="1" r:id="rId39">
            <w:r w:rsidRPr="00FC4889">
              <w:rPr>
                <w:color w:val="0000FF"/>
                <w:sz w:val="18"/>
                <w:u w:val="single"/>
              </w:rPr>
              <w:t>Master Glossary of Terms</w:t>
            </w:r>
          </w:hyperlink>
          <w:r w:rsidR="000C271D">
            <w:rPr>
              <w:color w:val="0000FF"/>
              <w:sz w:val="18"/>
              <w:szCs w:val="18"/>
              <w:u w:val="single"/>
            </w:rPr>
            <w:t xml:space="preserve"> </w:t>
          </w:r>
          <w:r w:rsidRPr="00610520" w:rsidR="000C271D">
            <w:rPr>
              <w:sz w:val="18"/>
              <w:szCs w:val="18"/>
            </w:rPr>
            <w:t>(accessed 27 June 2023)</w:t>
          </w:r>
          <w:r w:rsidRPr="00610520" w:rsidR="00566764">
            <w:rPr>
              <w:sz w:val="18"/>
              <w:szCs w:val="18"/>
            </w:rPr>
            <w:t>.</w:t>
          </w:r>
        </w:sdtContent>
      </w:sdt>
    </w:p>
  </w:footnote>
  <w:footnote w:id="59">
    <w:p w:rsidRPr="00FC4889" w:rsidR="001D323A" w:rsidRDefault="00CE2830" w14:paraId="7E28FEB9" w14:textId="18ED2847">
      <w:pPr>
        <w:pBdr>
          <w:top w:val="nil"/>
          <w:left w:val="nil"/>
          <w:bottom w:val="nil"/>
          <w:right w:val="nil"/>
          <w:between w:val="nil"/>
        </w:pBdr>
        <w:spacing w:line="240" w:lineRule="auto"/>
        <w:rPr>
          <w:color w:val="000000"/>
          <w:sz w:val="18"/>
        </w:rPr>
      </w:pPr>
      <w:r w:rsidRPr="00FC4889">
        <w:rPr>
          <w:rStyle w:val="FootnoteReference"/>
          <w:sz w:val="18"/>
        </w:rPr>
        <w:footnoteRef/>
      </w:r>
      <w:r w:rsidRPr="00FC4889">
        <w:rPr>
          <w:color w:val="000000"/>
          <w:sz w:val="18"/>
        </w:rPr>
        <w:t xml:space="preserve"> </w:t>
      </w:r>
      <w:sdt>
        <w:sdtPr>
          <w:rPr>
            <w:sz w:val="18"/>
          </w:rPr>
          <w:tag w:val="goog_rdk_126"/>
          <w:id w:val="1768418530"/>
        </w:sdtPr>
        <w:sdtEndPr/>
        <w:sdtContent>
          <w:hyperlink w:history="1" r:id="rId40">
            <w:r w:rsidR="00610520">
              <w:rPr>
                <w:rStyle w:val="Hyperlink"/>
                <w:sz w:val="18"/>
              </w:rPr>
              <w:t>UNHCR Policy on GBV Prevention, Risk Mitigation and Response (2020)</w:t>
            </w:r>
          </w:hyperlink>
          <w:r w:rsidR="00E268EA">
            <w:rPr>
              <w:color w:val="000000"/>
              <w:sz w:val="18"/>
            </w:rPr>
            <w:t>, p.9 (</w:t>
          </w:r>
          <w:r w:rsidR="008807B7">
            <w:rPr>
              <w:color w:val="000000"/>
              <w:sz w:val="18"/>
            </w:rPr>
            <w:t>accessed on 27 June 2023)</w:t>
          </w:r>
          <w:r w:rsidR="00E268EA">
            <w:rPr>
              <w:color w:val="000000"/>
              <w:sz w:val="18"/>
            </w:rPr>
            <w:t xml:space="preserve"> </w:t>
          </w:r>
        </w:sdtContent>
      </w:sdt>
    </w:p>
  </w:footnote>
  <w:footnote w:id="60">
    <w:p w:rsidRPr="00FC4889" w:rsidR="001D323A" w:rsidRDefault="00CE2830" w14:paraId="7E28FEBA" w14:textId="562739CF">
      <w:pPr>
        <w:spacing w:line="240" w:lineRule="auto"/>
        <w:rPr>
          <w:sz w:val="18"/>
        </w:rPr>
      </w:pPr>
      <w:r w:rsidRPr="00FC4889">
        <w:rPr>
          <w:rStyle w:val="FootnoteReference"/>
          <w:sz w:val="18"/>
        </w:rPr>
        <w:footnoteRef/>
      </w:r>
      <w:r w:rsidRPr="00FC4889">
        <w:rPr>
          <w:sz w:val="18"/>
        </w:rPr>
        <w:t xml:space="preserve"> Save the Children. </w:t>
      </w:r>
      <w:hyperlink r:id="rId41">
        <w:r w:rsidR="008807B7">
          <w:rPr>
            <w:color w:val="0000FF"/>
            <w:sz w:val="18"/>
            <w:u w:val="single"/>
          </w:rPr>
          <w:t>Safeguarding Children</w:t>
        </w:r>
      </w:hyperlink>
      <w:r w:rsidR="00266FAB">
        <w:rPr>
          <w:sz w:val="18"/>
          <w:szCs w:val="18"/>
        </w:rPr>
        <w:t xml:space="preserve"> </w:t>
      </w:r>
      <w:r w:rsidRPr="00266FAB" w:rsidR="00266FAB">
        <w:rPr>
          <w:sz w:val="18"/>
          <w:szCs w:val="18"/>
        </w:rPr>
        <w:t>(</w:t>
      </w:r>
      <w:r w:rsidRPr="00FC4889" w:rsidR="00266FAB">
        <w:rPr>
          <w:sz w:val="18"/>
        </w:rPr>
        <w:t xml:space="preserve">accessed </w:t>
      </w:r>
      <w:r w:rsidRPr="00266FAB" w:rsidR="00266FAB">
        <w:rPr>
          <w:sz w:val="18"/>
          <w:szCs w:val="18"/>
        </w:rPr>
        <w:t>27 June 2023)</w:t>
      </w:r>
      <w:r w:rsidRPr="00630569">
        <w:rPr>
          <w:sz w:val="18"/>
          <w:szCs w:val="18"/>
        </w:rPr>
        <w:t>.</w:t>
      </w:r>
      <w:r w:rsidRPr="00FC4889">
        <w:rPr>
          <w:sz w:val="18"/>
        </w:rPr>
        <w:t xml:space="preserve"> </w:t>
      </w:r>
    </w:p>
  </w:footnote>
  <w:footnote w:id="61">
    <w:p w:rsidRPr="00FC4889" w:rsidR="001D323A" w:rsidRDefault="00CE2830" w14:paraId="7E28FEBB" w14:textId="1CCF00CC">
      <w:pPr>
        <w:spacing w:line="240" w:lineRule="auto"/>
        <w:rPr>
          <w:sz w:val="18"/>
        </w:rPr>
      </w:pPr>
      <w:r w:rsidRPr="00FC4889">
        <w:rPr>
          <w:rStyle w:val="FootnoteReference"/>
          <w:sz w:val="18"/>
        </w:rPr>
        <w:footnoteRef/>
      </w:r>
      <w:r w:rsidRPr="00FC4889">
        <w:rPr>
          <w:sz w:val="18"/>
        </w:rPr>
        <w:t xml:space="preserve"> Resource &amp; Support Hub. </w:t>
      </w:r>
      <w:hyperlink w:anchor="ftnref1" r:id="rId42">
        <w:r w:rsidR="007A1C30">
          <w:rPr>
            <w:color w:val="0000FF"/>
            <w:sz w:val="18"/>
            <w:u w:val="single"/>
          </w:rPr>
          <w:t>What is Safeguarding</w:t>
        </w:r>
      </w:hyperlink>
      <w:r w:rsidR="00266FAB">
        <w:rPr>
          <w:sz w:val="18"/>
          <w:szCs w:val="18"/>
        </w:rPr>
        <w:t xml:space="preserve"> </w:t>
      </w:r>
      <w:r w:rsidRPr="00266FAB" w:rsidR="00266FAB">
        <w:rPr>
          <w:sz w:val="18"/>
          <w:szCs w:val="18"/>
        </w:rPr>
        <w:t>(</w:t>
      </w:r>
      <w:r w:rsidRPr="00FC4889" w:rsidR="00266FAB">
        <w:rPr>
          <w:sz w:val="18"/>
        </w:rPr>
        <w:t xml:space="preserve">accessed </w:t>
      </w:r>
      <w:r w:rsidRPr="00266FAB" w:rsidR="00266FAB">
        <w:rPr>
          <w:sz w:val="18"/>
          <w:szCs w:val="18"/>
        </w:rPr>
        <w:t>27 June 2023)</w:t>
      </w:r>
      <w:r w:rsidRPr="00630569">
        <w:rPr>
          <w:sz w:val="18"/>
          <w:szCs w:val="18"/>
        </w:rPr>
        <w:t>.</w:t>
      </w:r>
    </w:p>
  </w:footnote>
  <w:footnote w:id="62">
    <w:p w:rsidRPr="00BB56F8" w:rsidR="001D323A" w:rsidP="00BB56F8" w:rsidRDefault="00CE2830" w14:paraId="7E28FEBC" w14:textId="6F0BE384">
      <w:pPr>
        <w:rPr>
          <w:sz w:val="18"/>
          <w:szCs w:val="18"/>
        </w:rPr>
      </w:pPr>
      <w:r w:rsidRPr="00FC4889">
        <w:rPr>
          <w:rStyle w:val="FootnoteReference"/>
          <w:sz w:val="18"/>
        </w:rPr>
        <w:footnoteRef/>
      </w:r>
      <w:hyperlink w:history="1" r:id="rId43">
        <w:r w:rsidR="00BB56F8">
          <w:rPr>
            <w:sz w:val="18"/>
            <w:szCs w:val="18"/>
          </w:rPr>
          <w:t xml:space="preserve"> </w:t>
        </w:r>
        <w:r w:rsidRPr="00BE761E" w:rsidR="00BB56F8">
          <w:rPr>
            <w:rStyle w:val="Hyperlink"/>
            <w:sz w:val="18"/>
            <w:szCs w:val="18"/>
          </w:rPr>
          <w:t>IASC GBV Guidelines (2015)</w:t>
        </w:r>
      </w:hyperlink>
      <w:sdt>
        <w:sdtPr>
          <w:rPr>
            <w:sz w:val="18"/>
          </w:rPr>
          <w:tag w:val="goog_rdk_127"/>
          <w:id w:val="78641190"/>
        </w:sdtPr>
        <w:sdtEndPr/>
        <w:sdtContent>
          <w:r w:rsidRPr="00FC4889">
            <w:rPr>
              <w:color w:val="000000"/>
              <w:sz w:val="18"/>
            </w:rPr>
            <w:t>, p.344</w:t>
          </w:r>
          <w:r w:rsidRPr="00FC4889" w:rsidR="00F8437C">
            <w:rPr>
              <w:color w:val="000000"/>
              <w:sz w:val="18"/>
            </w:rPr>
            <w:t>.</w:t>
          </w:r>
        </w:sdtContent>
      </w:sdt>
    </w:p>
  </w:footnote>
  <w:footnote w:id="63">
    <w:p w:rsidRPr="00FC4889" w:rsidR="001D323A" w:rsidRDefault="00CE2830" w14:paraId="7E28FEBD" w14:textId="5140F4A6">
      <w:pPr>
        <w:pBdr>
          <w:top w:val="nil"/>
          <w:left w:val="nil"/>
          <w:bottom w:val="nil"/>
          <w:right w:val="nil"/>
          <w:between w:val="nil"/>
        </w:pBdr>
        <w:spacing w:line="240" w:lineRule="auto"/>
        <w:rPr>
          <w:color w:val="000000"/>
          <w:sz w:val="18"/>
        </w:rPr>
      </w:pPr>
      <w:r w:rsidRPr="00FC4889">
        <w:rPr>
          <w:rStyle w:val="FootnoteReference"/>
          <w:sz w:val="18"/>
        </w:rPr>
        <w:footnoteRef/>
      </w:r>
      <w:r w:rsidRPr="00FC4889">
        <w:rPr>
          <w:color w:val="000000"/>
          <w:sz w:val="18"/>
        </w:rPr>
        <w:t xml:space="preserve"> </w:t>
      </w:r>
      <w:sdt>
        <w:sdtPr>
          <w:rPr>
            <w:sz w:val="18"/>
          </w:rPr>
          <w:tag w:val="goog_rdk_128"/>
          <w:id w:val="679396513"/>
        </w:sdtPr>
        <w:sdtEndPr/>
        <w:sdtContent>
          <w:r w:rsidR="00FC4889">
            <w:rPr>
              <w:color w:val="000000"/>
              <w:sz w:val="18"/>
            </w:rPr>
            <w:t>Ibid</w:t>
          </w:r>
          <w:r w:rsidRPr="00FC4889">
            <w:rPr>
              <w:color w:val="000000"/>
              <w:sz w:val="18"/>
            </w:rPr>
            <w:t>, p. 344</w:t>
          </w:r>
          <w:r w:rsidRPr="00FC4889" w:rsidR="00F8437C">
            <w:rPr>
              <w:color w:val="000000"/>
              <w:sz w:val="18"/>
            </w:rPr>
            <w:t>.</w:t>
          </w:r>
        </w:sdtContent>
      </w:sdt>
    </w:p>
  </w:footnote>
  <w:footnote w:id="64">
    <w:p w:rsidRPr="003B556D" w:rsidR="001D323A" w:rsidRDefault="00CE2830" w14:paraId="7E28FEBE" w14:textId="27D19D90">
      <w:pPr>
        <w:spacing w:line="240" w:lineRule="auto"/>
        <w:rPr>
          <w:sz w:val="18"/>
        </w:rPr>
      </w:pPr>
      <w:r w:rsidRPr="003B556D">
        <w:rPr>
          <w:rStyle w:val="FootnoteReference"/>
          <w:sz w:val="18"/>
        </w:rPr>
        <w:footnoteRef/>
      </w:r>
      <w:r w:rsidRPr="003B556D">
        <w:rPr>
          <w:sz w:val="18"/>
        </w:rPr>
        <w:t xml:space="preserve"> </w:t>
      </w:r>
      <w:r w:rsidR="00FC4889">
        <w:rPr>
          <w:sz w:val="18"/>
        </w:rPr>
        <w:t>Ibid</w:t>
      </w:r>
      <w:r w:rsidRPr="003B556D">
        <w:rPr>
          <w:sz w:val="18"/>
        </w:rPr>
        <w:t>, p. 3</w:t>
      </w:r>
      <w:sdt>
        <w:sdtPr>
          <w:rPr>
            <w:sz w:val="18"/>
          </w:rPr>
          <w:tag w:val="goog_rdk_129"/>
          <w:id w:val="-1061714655"/>
        </w:sdtPr>
        <w:sdtEndPr/>
        <w:sdtContent>
          <w:r w:rsidRPr="003B556D">
            <w:rPr>
              <w:sz w:val="18"/>
            </w:rPr>
            <w:t>44</w:t>
          </w:r>
        </w:sdtContent>
      </w:sdt>
      <w:sdt>
        <w:sdtPr>
          <w:rPr>
            <w:sz w:val="18"/>
          </w:rPr>
          <w:tag w:val="goog_rdk_130"/>
          <w:id w:val="-1922165360"/>
        </w:sdtPr>
        <w:sdtEndPr/>
        <w:sdtContent>
          <w:r w:rsidRPr="003B556D" w:rsidR="00F8437C">
            <w:rPr>
              <w:sz w:val="18"/>
            </w:rPr>
            <w:t>.</w:t>
          </w:r>
        </w:sdtContent>
      </w:sdt>
      <w:r w:rsidRPr="003B556D">
        <w:rPr>
          <w:sz w:val="18"/>
        </w:rPr>
        <w:t xml:space="preserve"> </w:t>
      </w:r>
    </w:p>
  </w:footnote>
  <w:footnote w:id="65">
    <w:p w:rsidRPr="003B556D" w:rsidR="001D323A" w:rsidRDefault="00CE2830" w14:paraId="7E28FEBF" w14:textId="60BE36A2">
      <w:pPr>
        <w:pBdr>
          <w:top w:val="nil"/>
          <w:left w:val="nil"/>
          <w:bottom w:val="nil"/>
          <w:right w:val="nil"/>
          <w:between w:val="nil"/>
        </w:pBdr>
        <w:spacing w:line="240" w:lineRule="auto"/>
        <w:rPr>
          <w:color w:val="000000"/>
          <w:sz w:val="18"/>
        </w:rPr>
      </w:pPr>
      <w:r w:rsidRPr="003B556D">
        <w:rPr>
          <w:rStyle w:val="FootnoteReference"/>
          <w:sz w:val="18"/>
        </w:rPr>
        <w:footnoteRef/>
      </w:r>
      <w:r w:rsidRPr="003B556D">
        <w:rPr>
          <w:color w:val="000000"/>
          <w:sz w:val="18"/>
        </w:rPr>
        <w:t xml:space="preserve"> </w:t>
      </w:r>
      <w:sdt>
        <w:sdtPr>
          <w:rPr>
            <w:sz w:val="18"/>
          </w:rPr>
          <w:tag w:val="goog_rdk_131"/>
          <w:id w:val="-1974201037"/>
        </w:sdtPr>
        <w:sdtEndPr/>
        <w:sdtContent>
          <w:r w:rsidR="00FC4889">
            <w:rPr>
              <w:color w:val="000000"/>
              <w:sz w:val="18"/>
            </w:rPr>
            <w:t>Ibid</w:t>
          </w:r>
          <w:r w:rsidRPr="003B556D">
            <w:rPr>
              <w:color w:val="000000"/>
              <w:sz w:val="18"/>
            </w:rPr>
            <w:t>, p. 344</w:t>
          </w:r>
          <w:r w:rsidRPr="003B556D" w:rsidR="00F8437C">
            <w:rPr>
              <w:color w:val="000000"/>
              <w:sz w:val="18"/>
            </w:rPr>
            <w:t>.</w:t>
          </w:r>
        </w:sdtContent>
      </w:sdt>
    </w:p>
  </w:footnote>
  <w:footnote w:id="66">
    <w:p w:rsidRPr="003B556D" w:rsidR="001D323A" w:rsidRDefault="00CE2830" w14:paraId="7E28FEC0" w14:textId="3BA1CEAB">
      <w:pPr>
        <w:spacing w:line="240" w:lineRule="auto"/>
        <w:rPr>
          <w:sz w:val="18"/>
        </w:rPr>
      </w:pPr>
      <w:r w:rsidRPr="003B556D">
        <w:rPr>
          <w:rStyle w:val="FootnoteReference"/>
          <w:sz w:val="18"/>
        </w:rPr>
        <w:footnoteRef/>
      </w:r>
      <w:r w:rsidRPr="003B556D">
        <w:rPr>
          <w:sz w:val="18"/>
        </w:rPr>
        <w:t xml:space="preserve"> IOM</w:t>
      </w:r>
      <w:r w:rsidR="00192181">
        <w:rPr>
          <w:sz w:val="18"/>
        </w:rPr>
        <w:t>,</w:t>
      </w:r>
      <w:r w:rsidRPr="003B556D">
        <w:rPr>
          <w:sz w:val="18"/>
        </w:rPr>
        <w:t xml:space="preserve"> </w:t>
      </w:r>
      <w:hyperlink r:id="rId44">
        <w:r w:rsidR="003B556D">
          <w:rPr>
            <w:color w:val="0000FF"/>
            <w:sz w:val="18"/>
            <w:u w:val="single"/>
          </w:rPr>
          <w:t>Full Glossary of Terms</w:t>
        </w:r>
      </w:hyperlink>
      <w:r w:rsidR="00456527">
        <w:rPr>
          <w:sz w:val="18"/>
        </w:rPr>
        <w:t xml:space="preserve"> </w:t>
      </w:r>
      <w:r w:rsidRPr="00266FAB" w:rsidR="00266FAB">
        <w:rPr>
          <w:sz w:val="18"/>
          <w:szCs w:val="18"/>
        </w:rPr>
        <w:t>(</w:t>
      </w:r>
      <w:r w:rsidRPr="003B556D" w:rsidR="00266FAB">
        <w:rPr>
          <w:sz w:val="18"/>
        </w:rPr>
        <w:t xml:space="preserve">accessed </w:t>
      </w:r>
      <w:r w:rsidRPr="00266FAB" w:rsidR="00266FAB">
        <w:rPr>
          <w:sz w:val="18"/>
          <w:szCs w:val="18"/>
        </w:rPr>
        <w:t>27 June 2023)</w:t>
      </w:r>
      <w:r w:rsidRPr="00630569" w:rsidR="008841E8">
        <w:rPr>
          <w:sz w:val="18"/>
          <w:szCs w:val="18"/>
        </w:rPr>
        <w:t>.</w:t>
      </w:r>
      <w:r w:rsidRPr="003B556D">
        <w:rPr>
          <w:sz w:val="18"/>
        </w:rPr>
        <w:t xml:space="preserve"> </w:t>
      </w:r>
    </w:p>
  </w:footnote>
  <w:footnote w:id="67">
    <w:p w:rsidRPr="00192181" w:rsidR="001D323A" w:rsidP="00192181" w:rsidRDefault="00CE2830" w14:paraId="7E28FEC1" w14:textId="4AA30534">
      <w:pPr>
        <w:rPr>
          <w:sz w:val="18"/>
          <w:szCs w:val="18"/>
        </w:rPr>
      </w:pPr>
      <w:r w:rsidRPr="003B556D">
        <w:rPr>
          <w:rStyle w:val="FootnoteReference"/>
          <w:sz w:val="18"/>
        </w:rPr>
        <w:footnoteRef/>
      </w:r>
      <w:r w:rsidR="00192181">
        <w:rPr>
          <w:sz w:val="18"/>
          <w:szCs w:val="18"/>
        </w:rPr>
        <w:t xml:space="preserve"> </w:t>
      </w:r>
      <w:hyperlink w:history="1" r:id="rId45">
        <w:r w:rsidRPr="00BE761E" w:rsidR="00192181">
          <w:rPr>
            <w:rStyle w:val="Hyperlink"/>
            <w:sz w:val="18"/>
            <w:szCs w:val="18"/>
          </w:rPr>
          <w:t>IASC GBV Guidelines (2015)</w:t>
        </w:r>
      </w:hyperlink>
      <w:sdt>
        <w:sdtPr>
          <w:rPr>
            <w:sz w:val="18"/>
          </w:rPr>
          <w:tag w:val="goog_rdk_132"/>
          <w:id w:val="-2083751384"/>
        </w:sdtPr>
        <w:sdtEndPr/>
        <w:sdtContent>
          <w:r w:rsidRPr="003B556D">
            <w:rPr>
              <w:color w:val="000000"/>
              <w:sz w:val="18"/>
            </w:rPr>
            <w:t>, p.344</w:t>
          </w:r>
          <w:r w:rsidRPr="003B556D" w:rsidR="00F8437C">
            <w:rPr>
              <w:color w:val="000000"/>
              <w:sz w:val="18"/>
            </w:rPr>
            <w:t>.</w:t>
          </w:r>
        </w:sdtContent>
      </w:sdt>
    </w:p>
  </w:footnote>
  <w:footnote w:id="68">
    <w:p w:rsidRPr="003B556D" w:rsidR="001D323A" w:rsidP="003A6889" w:rsidRDefault="00CE2830" w14:paraId="7E28FEC4" w14:textId="0D89D6B2">
      <w:pPr>
        <w:spacing w:line="240" w:lineRule="auto"/>
        <w:rPr>
          <w:sz w:val="18"/>
        </w:rPr>
      </w:pPr>
      <w:r w:rsidRPr="003B556D">
        <w:rPr>
          <w:rStyle w:val="FootnoteReference"/>
          <w:sz w:val="18"/>
        </w:rPr>
        <w:footnoteRef/>
      </w:r>
      <w:r w:rsidRPr="003B556D">
        <w:rPr>
          <w:sz w:val="18"/>
        </w:rPr>
        <w:t xml:space="preserve"> As defined in article 1(1) of the</w:t>
      </w:r>
      <w:r w:rsidR="003A6889">
        <w:rPr>
          <w:sz w:val="18"/>
        </w:rPr>
        <w:t xml:space="preserve"> </w:t>
      </w:r>
      <w:hyperlink w:history="1" r:id="rId46">
        <w:r w:rsidR="003A6889">
          <w:rPr>
            <w:rStyle w:val="Hyperlink"/>
            <w:sz w:val="18"/>
          </w:rPr>
          <w:t>1954 Convention relating to the Status of Stateless Persons</w:t>
        </w:r>
      </w:hyperlink>
      <w:r w:rsidRPr="003B556D">
        <w:rPr>
          <w:sz w:val="18"/>
        </w:rPr>
        <w:t>, a</w:t>
      </w:r>
      <w:r w:rsidR="003A6889">
        <w:rPr>
          <w:sz w:val="18"/>
        </w:rPr>
        <w:t xml:space="preserve"> </w:t>
      </w:r>
      <w:r w:rsidRPr="003B556D">
        <w:rPr>
          <w:sz w:val="18"/>
        </w:rPr>
        <w:t>definition considered by the International Law Commission to form part of customary international</w:t>
      </w:r>
      <w:r w:rsidR="003A6889">
        <w:rPr>
          <w:sz w:val="18"/>
        </w:rPr>
        <w:t xml:space="preserve"> </w:t>
      </w:r>
      <w:r w:rsidRPr="003B556D">
        <w:rPr>
          <w:sz w:val="18"/>
        </w:rPr>
        <w:t xml:space="preserve">law. </w:t>
      </w:r>
      <w:r w:rsidR="003A6889">
        <w:rPr>
          <w:sz w:val="18"/>
        </w:rPr>
        <w:t xml:space="preserve"> </w:t>
      </w:r>
    </w:p>
  </w:footnote>
  <w:footnote w:id="69">
    <w:p w:rsidRPr="003B556D" w:rsidR="001D323A" w:rsidRDefault="00CE2830" w14:paraId="7E28FEC5" w14:textId="03384960">
      <w:pPr>
        <w:spacing w:line="240" w:lineRule="auto"/>
        <w:rPr>
          <w:sz w:val="18"/>
        </w:rPr>
      </w:pPr>
      <w:r w:rsidRPr="003B556D">
        <w:rPr>
          <w:rStyle w:val="FootnoteReference"/>
          <w:sz w:val="18"/>
        </w:rPr>
        <w:footnoteRef/>
      </w:r>
      <w:r w:rsidRPr="003B556D">
        <w:rPr>
          <w:sz w:val="18"/>
        </w:rPr>
        <w:t xml:space="preserve"> Guidance Note of the Secretary General</w:t>
      </w:r>
      <w:r w:rsidR="00192181">
        <w:rPr>
          <w:sz w:val="18"/>
        </w:rPr>
        <w:t>,</w:t>
      </w:r>
      <w:r w:rsidRPr="003B556D">
        <w:rPr>
          <w:sz w:val="18"/>
        </w:rPr>
        <w:t xml:space="preserve"> </w:t>
      </w:r>
      <w:hyperlink r:id="rId47">
        <w:r w:rsidR="00192181">
          <w:rPr>
            <w:color w:val="0000FF"/>
            <w:sz w:val="18"/>
            <w:u w:val="single"/>
          </w:rPr>
          <w:t>The United Nations and Statelessness (2011)</w:t>
        </w:r>
      </w:hyperlink>
      <w:r w:rsidR="00192181">
        <w:rPr>
          <w:sz w:val="18"/>
        </w:rPr>
        <w:t xml:space="preserve">, </w:t>
      </w:r>
      <w:r w:rsidRPr="00266FAB" w:rsidR="00266FAB">
        <w:rPr>
          <w:sz w:val="18"/>
          <w:szCs w:val="18"/>
        </w:rPr>
        <w:t>(</w:t>
      </w:r>
      <w:r w:rsidRPr="003B556D" w:rsidR="00266FAB">
        <w:rPr>
          <w:sz w:val="18"/>
        </w:rPr>
        <w:t xml:space="preserve">accessed </w:t>
      </w:r>
      <w:r w:rsidRPr="00266FAB" w:rsidR="00266FAB">
        <w:rPr>
          <w:sz w:val="18"/>
          <w:szCs w:val="18"/>
        </w:rPr>
        <w:t>27 June</w:t>
      </w:r>
      <w:r w:rsidRPr="003B556D" w:rsidR="00266FAB">
        <w:rPr>
          <w:sz w:val="18"/>
        </w:rPr>
        <w:t xml:space="preserve"> 2023</w:t>
      </w:r>
      <w:r w:rsidRPr="00266FAB" w:rsidR="00266FAB">
        <w:rPr>
          <w:sz w:val="18"/>
          <w:szCs w:val="18"/>
        </w:rPr>
        <w:t>)</w:t>
      </w:r>
      <w:r w:rsidRPr="00630569">
        <w:rPr>
          <w:sz w:val="18"/>
          <w:szCs w:val="18"/>
        </w:rPr>
        <w:t>.</w:t>
      </w:r>
    </w:p>
  </w:footnote>
  <w:footnote w:id="70">
    <w:p w:rsidRPr="003B556D" w:rsidR="001D323A" w:rsidRDefault="00CE2830" w14:paraId="7E28FEC6" w14:textId="114B6375">
      <w:pPr>
        <w:pBdr>
          <w:top w:val="nil"/>
          <w:left w:val="nil"/>
          <w:bottom w:val="nil"/>
          <w:right w:val="nil"/>
          <w:between w:val="nil"/>
        </w:pBdr>
        <w:spacing w:line="240" w:lineRule="auto"/>
        <w:rPr>
          <w:color w:val="000000"/>
          <w:sz w:val="18"/>
        </w:rPr>
      </w:pPr>
      <w:r w:rsidRPr="003B556D">
        <w:rPr>
          <w:rStyle w:val="FootnoteReference"/>
          <w:sz w:val="18"/>
        </w:rPr>
        <w:footnoteRef/>
      </w:r>
      <w:r w:rsidRPr="003B556D">
        <w:rPr>
          <w:color w:val="000000"/>
          <w:sz w:val="18"/>
        </w:rPr>
        <w:t xml:space="preserve"> </w:t>
      </w:r>
      <w:sdt>
        <w:sdtPr>
          <w:rPr>
            <w:sz w:val="18"/>
          </w:rPr>
          <w:tag w:val="goog_rdk_133"/>
          <w:id w:val="-1581060257"/>
        </w:sdtPr>
        <w:sdtEndPr/>
        <w:sdtContent>
          <w:hyperlink w:history="1" r:id="rId48">
            <w:r w:rsidRPr="00BE761E" w:rsidR="00192181">
              <w:rPr>
                <w:rStyle w:val="Hyperlink"/>
                <w:sz w:val="18"/>
                <w:szCs w:val="18"/>
              </w:rPr>
              <w:t>IASC GBV Guidelines (2015)</w:t>
            </w:r>
          </w:hyperlink>
          <w:r w:rsidRPr="003B556D">
            <w:rPr>
              <w:color w:val="000000"/>
              <w:sz w:val="18"/>
            </w:rPr>
            <w:t>, p.348</w:t>
          </w:r>
          <w:r w:rsidRPr="003B556D" w:rsidR="0017124E">
            <w:rPr>
              <w:color w:val="000000"/>
              <w:sz w:val="18"/>
            </w:rPr>
            <w:t>.</w:t>
          </w:r>
        </w:sdtContent>
      </w:sdt>
    </w:p>
  </w:footnote>
  <w:footnote w:id="71">
    <w:p w:rsidRPr="00B3663C" w:rsidR="001D323A" w:rsidRDefault="00CE2830" w14:paraId="7E28FEC7" w14:textId="56A650A5">
      <w:pPr>
        <w:spacing w:line="240" w:lineRule="auto"/>
        <w:rPr>
          <w:sz w:val="18"/>
        </w:rPr>
      </w:pPr>
      <w:r w:rsidRPr="003B556D">
        <w:rPr>
          <w:rStyle w:val="FootnoteReference"/>
          <w:sz w:val="18"/>
        </w:rPr>
        <w:footnoteRef/>
      </w:r>
      <w:r w:rsidRPr="003B556D">
        <w:rPr>
          <w:sz w:val="18"/>
        </w:rPr>
        <w:t xml:space="preserve"> </w:t>
      </w:r>
      <w:r w:rsidR="00EF2937">
        <w:rPr>
          <w:sz w:val="18"/>
        </w:rPr>
        <w:t>Ibid</w:t>
      </w:r>
      <w:r w:rsidRPr="003B556D">
        <w:rPr>
          <w:sz w:val="18"/>
        </w:rPr>
        <w:t>, p. 323, citing United Nations</w:t>
      </w:r>
      <w:r w:rsidRPr="003B556D" w:rsidR="00AE5FDF">
        <w:rPr>
          <w:sz w:val="18"/>
        </w:rPr>
        <w:t xml:space="preserve"> (</w:t>
      </w:r>
      <w:r w:rsidRPr="003B556D">
        <w:rPr>
          <w:sz w:val="18"/>
        </w:rPr>
        <w:t>2000</w:t>
      </w:r>
      <w:r w:rsidRPr="003B556D" w:rsidR="00AE5FDF">
        <w:rPr>
          <w:sz w:val="18"/>
        </w:rPr>
        <w:t xml:space="preserve">), </w:t>
      </w:r>
      <w:hyperlink w:history="1" r:id="rId49">
        <w:r w:rsidR="003B556D">
          <w:rPr>
            <w:rStyle w:val="Hyperlink"/>
            <w:sz w:val="18"/>
          </w:rPr>
          <w:t>Protocol to prevent, suppress and punish trafficking in persons, especially women and children</w:t>
        </w:r>
      </w:hyperlink>
      <w:r w:rsidR="00456527">
        <w:rPr>
          <w:color w:val="0000FF"/>
          <w:sz w:val="18"/>
          <w:u w:val="single"/>
        </w:rPr>
        <w:t xml:space="preserve"> </w:t>
      </w:r>
      <w:r w:rsidRPr="00B3663C" w:rsidR="0033718F">
        <w:rPr>
          <w:sz w:val="18"/>
          <w:szCs w:val="18"/>
        </w:rPr>
        <w:t>(accessed 27 June 2023)</w:t>
      </w:r>
      <w:r w:rsidRPr="00B3663C">
        <w:rPr>
          <w:sz w:val="18"/>
          <w:szCs w:val="18"/>
        </w:rPr>
        <w:t>.</w:t>
      </w:r>
    </w:p>
  </w:footnote>
  <w:footnote w:id="72">
    <w:p w:rsidRPr="0071665F" w:rsidR="001D323A" w:rsidRDefault="00CE2830" w14:paraId="7E28FEC8" w14:textId="50DDCBA3">
      <w:pPr>
        <w:pBdr>
          <w:top w:val="nil"/>
          <w:left w:val="nil"/>
          <w:bottom w:val="nil"/>
          <w:right w:val="nil"/>
          <w:between w:val="nil"/>
        </w:pBdr>
        <w:spacing w:line="240" w:lineRule="auto"/>
        <w:rPr>
          <w:color w:val="000000"/>
          <w:sz w:val="18"/>
        </w:rPr>
      </w:pPr>
      <w:r w:rsidRPr="0071665F">
        <w:rPr>
          <w:rStyle w:val="FootnoteReference"/>
          <w:sz w:val="18"/>
        </w:rPr>
        <w:footnoteRef/>
      </w:r>
      <w:r w:rsidR="00B3663C">
        <w:rPr>
          <w:sz w:val="18"/>
        </w:rPr>
        <w:t xml:space="preserve"> Ibid</w:t>
      </w:r>
      <w:sdt>
        <w:sdtPr>
          <w:rPr>
            <w:sz w:val="18"/>
          </w:rPr>
          <w:tag w:val="goog_rdk_134"/>
          <w:id w:val="1994143152"/>
        </w:sdtPr>
        <w:sdtEndPr/>
        <w:sdtContent>
          <w:r w:rsidRPr="0071665F">
            <w:rPr>
              <w:color w:val="000000"/>
              <w:sz w:val="18"/>
            </w:rPr>
            <w:t>, p.348</w:t>
          </w:r>
          <w:r w:rsidRPr="0071665F" w:rsidR="00B75C6A">
            <w:rPr>
              <w:color w:val="000000"/>
              <w:sz w:val="18"/>
            </w:rPr>
            <w:t>.</w:t>
          </w:r>
        </w:sdtContent>
      </w:sdt>
    </w:p>
  </w:footnote>
  <w:footnote w:id="73">
    <w:p w:rsidRPr="0071665F" w:rsidR="001D323A" w:rsidRDefault="00CE2830" w14:paraId="7E28FEC9" w14:textId="6F3CC6B2">
      <w:pPr>
        <w:spacing w:line="240" w:lineRule="auto"/>
        <w:rPr>
          <w:sz w:val="18"/>
        </w:rPr>
      </w:pPr>
      <w:r w:rsidRPr="0071665F">
        <w:rPr>
          <w:rStyle w:val="FootnoteReference"/>
          <w:sz w:val="18"/>
        </w:rPr>
        <w:footnoteRef/>
      </w:r>
      <w:r w:rsidRPr="0071665F">
        <w:rPr>
          <w:sz w:val="18"/>
        </w:rPr>
        <w:t xml:space="preserve"> </w:t>
      </w:r>
      <w:r w:rsidR="00EA171B">
        <w:rPr>
          <w:sz w:val="18"/>
        </w:rPr>
        <w:t>Ibid</w:t>
      </w:r>
      <w:r w:rsidRPr="0071665F">
        <w:rPr>
          <w:sz w:val="18"/>
        </w:rPr>
        <w:t>, p. 323, citing</w:t>
      </w:r>
      <w:r w:rsidR="00A87A2C">
        <w:rPr>
          <w:sz w:val="18"/>
        </w:rPr>
        <w:t xml:space="preserve"> </w:t>
      </w:r>
      <w:hyperlink w:history="1" r:id="rId50">
        <w:r w:rsidR="00A87A2C">
          <w:rPr>
            <w:rStyle w:val="Hyperlink"/>
            <w:sz w:val="18"/>
          </w:rPr>
          <w:t>United Nations General Assembly. December 1993. “Declaration on the Elimination of Violence against Women</w:t>
        </w:r>
      </w:hyperlink>
      <w:r w:rsidR="00A87A2C">
        <w:rPr>
          <w:sz w:val="18"/>
        </w:rPr>
        <w:t xml:space="preserve"> </w:t>
      </w:r>
      <w:r w:rsidRPr="0071665F">
        <w:rPr>
          <w:sz w:val="18"/>
        </w:rPr>
        <w:t>,</w:t>
      </w:r>
      <w:r w:rsidR="0033718F">
        <w:rPr>
          <w:sz w:val="18"/>
          <w:szCs w:val="18"/>
        </w:rPr>
        <w:t xml:space="preserve"> </w:t>
      </w:r>
      <w:r w:rsidRPr="0033718F" w:rsidR="0033718F">
        <w:rPr>
          <w:sz w:val="18"/>
          <w:szCs w:val="18"/>
        </w:rPr>
        <w:t>(accessed 27 June 2023)</w:t>
      </w:r>
      <w:r w:rsidRPr="00630569">
        <w:rPr>
          <w:sz w:val="18"/>
          <w:szCs w:val="18"/>
        </w:rPr>
        <w:t>.</w:t>
      </w:r>
    </w:p>
  </w:footnote>
  <w:footnote w:id="74">
    <w:p w:rsidRPr="0071665F" w:rsidR="001D323A" w:rsidRDefault="00CE2830" w14:paraId="7E28FECA" w14:textId="32B2F48A">
      <w:pPr>
        <w:spacing w:line="240" w:lineRule="auto"/>
        <w:rPr>
          <w:sz w:val="18"/>
        </w:rPr>
      </w:pPr>
      <w:r w:rsidRPr="0071665F">
        <w:rPr>
          <w:rStyle w:val="FootnoteReference"/>
          <w:sz w:val="18"/>
        </w:rPr>
        <w:footnoteRef/>
      </w:r>
      <w:r w:rsidRPr="0071665F">
        <w:rPr>
          <w:sz w:val="18"/>
        </w:rPr>
        <w:t xml:space="preserve"> </w:t>
      </w:r>
      <w:r w:rsidRPr="00B3663C" w:rsidR="00A87A2C">
        <w:rPr>
          <w:sz w:val="18"/>
        </w:rPr>
        <w:t>I</w:t>
      </w:r>
      <w:r w:rsidR="00B3663C">
        <w:rPr>
          <w:sz w:val="18"/>
        </w:rPr>
        <w:t>bid</w:t>
      </w:r>
      <w:r w:rsidRPr="0071665F">
        <w:rPr>
          <w:sz w:val="18"/>
        </w:rPr>
        <w:t>, p. 323, citing</w:t>
      </w:r>
      <w:r w:rsidR="0071665F">
        <w:rPr>
          <w:sz w:val="18"/>
        </w:rPr>
        <w:t xml:space="preserve"> </w:t>
      </w:r>
      <w:hyperlink w:history="1" r:id="rId51">
        <w:r w:rsidR="0071665F">
          <w:rPr>
            <w:rStyle w:val="Hyperlink"/>
            <w:sz w:val="18"/>
          </w:rPr>
          <w:t>United Nations Secretary-General. 2006. The secretary-general’s in-depth study on all forms of violence against women</w:t>
        </w:r>
      </w:hyperlink>
      <w:r w:rsidRPr="0071665F">
        <w:rPr>
          <w:sz w:val="18"/>
        </w:rPr>
        <w:t xml:space="preserve">, </w:t>
      </w:r>
      <w:r w:rsidRPr="00983014" w:rsidR="00983014">
        <w:rPr>
          <w:sz w:val="18"/>
          <w:szCs w:val="18"/>
        </w:rPr>
        <w:t>(accessed 27 June 2023)</w:t>
      </w:r>
      <w:r w:rsidRPr="00630569">
        <w:rPr>
          <w:sz w:val="18"/>
          <w:szCs w:val="18"/>
        </w:rPr>
        <w:t>.</w:t>
      </w:r>
    </w:p>
  </w:footnote>
  <w:footnote w:id="75">
    <w:p w:rsidRPr="00AD4EA8" w:rsidR="001D323A" w:rsidRDefault="00CE2830" w14:paraId="7E28FECB" w14:textId="75A77A82">
      <w:pPr>
        <w:spacing w:line="240" w:lineRule="auto"/>
        <w:rPr>
          <w:sz w:val="18"/>
        </w:rPr>
      </w:pPr>
      <w:r w:rsidRPr="00AD4EA8">
        <w:rPr>
          <w:rStyle w:val="FootnoteReference"/>
          <w:sz w:val="18"/>
        </w:rPr>
        <w:footnoteRef/>
      </w:r>
      <w:r w:rsidRPr="00AD4EA8">
        <w:rPr>
          <w:sz w:val="18"/>
        </w:rPr>
        <w:t xml:space="preserve"> A </w:t>
      </w:r>
      <w:hyperlink r:id="rId52">
        <w:r w:rsidRPr="00AD4EA8">
          <w:rPr>
            <w:color w:val="1155CC"/>
            <w:sz w:val="18"/>
            <w:u w:val="single"/>
          </w:rPr>
          <w:t>template for conducting a secondary data review</w:t>
        </w:r>
      </w:hyperlink>
      <w:r w:rsidRPr="00AD4EA8">
        <w:rPr>
          <w:sz w:val="18"/>
        </w:rPr>
        <w:t xml:space="preserve"> is available on the GBV AoR website</w:t>
      </w:r>
      <w:r w:rsidR="00983014">
        <w:rPr>
          <w:sz w:val="18"/>
          <w:szCs w:val="18"/>
        </w:rPr>
        <w:t xml:space="preserve"> </w:t>
      </w:r>
      <w:r w:rsidRPr="00983014" w:rsidR="00983014">
        <w:rPr>
          <w:sz w:val="18"/>
          <w:szCs w:val="18"/>
        </w:rPr>
        <w:t>(accessed 27 June 2023)</w:t>
      </w:r>
      <w:r w:rsidRPr="00630569">
        <w:rPr>
          <w:sz w:val="18"/>
          <w:szCs w:val="18"/>
        </w:rPr>
        <w:t>.</w:t>
      </w:r>
    </w:p>
  </w:footnote>
  <w:footnote w:id="76">
    <w:p w:rsidRPr="00AD4EA8" w:rsidR="001D323A" w:rsidRDefault="00CE2830" w14:paraId="7E28FECC" w14:textId="577BCAF9">
      <w:pPr>
        <w:pBdr>
          <w:top w:val="nil"/>
          <w:left w:val="nil"/>
          <w:bottom w:val="nil"/>
          <w:right w:val="nil"/>
          <w:between w:val="nil"/>
        </w:pBdr>
        <w:spacing w:line="240" w:lineRule="auto"/>
        <w:jc w:val="both"/>
        <w:rPr>
          <w:sz w:val="18"/>
        </w:rPr>
      </w:pPr>
      <w:r w:rsidRPr="00AD4EA8">
        <w:rPr>
          <w:rStyle w:val="FootnoteReference"/>
          <w:sz w:val="18"/>
        </w:rPr>
        <w:footnoteRef/>
      </w:r>
      <w:r w:rsidRPr="00AD4EA8">
        <w:rPr>
          <w:sz w:val="18"/>
        </w:rPr>
        <w:t xml:space="preserve"> This definition of gender-based violence is used widely by the GBV </w:t>
      </w:r>
      <w:r w:rsidRPr="00AD4EA8" w:rsidR="00035025">
        <w:rPr>
          <w:sz w:val="18"/>
        </w:rPr>
        <w:t xml:space="preserve">area of responsibility </w:t>
      </w:r>
      <w:r w:rsidRPr="00AD4EA8">
        <w:rPr>
          <w:sz w:val="18"/>
        </w:rPr>
        <w:t xml:space="preserve">and various </w:t>
      </w:r>
      <w:r w:rsidRPr="00AD4EA8" w:rsidR="00A52935">
        <w:rPr>
          <w:sz w:val="18"/>
        </w:rPr>
        <w:br/>
      </w:r>
      <w:r w:rsidRPr="00AD4EA8">
        <w:rPr>
          <w:sz w:val="18"/>
        </w:rPr>
        <w:t>UN agencies.</w:t>
      </w:r>
    </w:p>
  </w:footnote>
  <w:footnote w:id="77">
    <w:p w:rsidRPr="00ED02C2" w:rsidR="001D323A" w:rsidP="00ED02C2" w:rsidRDefault="00CE2830" w14:paraId="7E28FECD" w14:textId="36FFF5C6">
      <w:pPr>
        <w:rPr>
          <w:color w:val="000000"/>
          <w:sz w:val="18"/>
        </w:rPr>
      </w:pPr>
      <w:r w:rsidRPr="00AD4EA8">
        <w:rPr>
          <w:rStyle w:val="FootnoteReference"/>
          <w:sz w:val="18"/>
        </w:rPr>
        <w:footnoteRef/>
      </w:r>
      <w:r w:rsidRPr="00AD4EA8">
        <w:rPr>
          <w:sz w:val="18"/>
        </w:rPr>
        <w:t xml:space="preserve"> GBVIMS data is collected by GBV case management organizations as a means to improve planning and delivery of care to survivors. Hence, collected data represents reported incidences associated with data sharing protocols. IMS data, when available, should not be confused as reflecting prevalence. See </w:t>
      </w:r>
      <w:hyperlink w:history="1" r:id="rId53">
        <w:r w:rsidR="00A953D5">
          <w:rPr>
            <w:rStyle w:val="Hyperlink"/>
            <w:sz w:val="18"/>
          </w:rPr>
          <w:t>Inter-Agency Minimum Standards for GBV in Emergencies (2019)</w:t>
        </w:r>
      </w:hyperlink>
      <w:r w:rsidRPr="00AD4EA8">
        <w:rPr>
          <w:sz w:val="18"/>
        </w:rPr>
        <w:t>, Standard 14: Collection and Use of GBV Survivor Data.</w:t>
      </w:r>
    </w:p>
  </w:footnote>
  <w:footnote w:id="78">
    <w:p w:rsidRPr="00EE2C6F" w:rsidR="001D323A" w:rsidP="00EE2C6F" w:rsidRDefault="00CE2830" w14:paraId="7E28FECE" w14:textId="1AC89B06">
      <w:pPr>
        <w:rPr>
          <w:sz w:val="18"/>
          <w:szCs w:val="18"/>
        </w:rPr>
      </w:pPr>
      <w:r w:rsidRPr="00AD4EA8">
        <w:rPr>
          <w:rStyle w:val="FootnoteReference"/>
          <w:sz w:val="18"/>
        </w:rPr>
        <w:footnoteRef/>
      </w:r>
      <w:r w:rsidRPr="00AD4EA8">
        <w:rPr>
          <w:color w:val="000000"/>
          <w:sz w:val="18"/>
        </w:rPr>
        <w:t xml:space="preserve"> Rape is defined in the </w:t>
      </w:r>
      <w:hyperlink w:history="1" r:id="rId54">
        <w:r w:rsidRPr="00BE761E" w:rsidR="00EE2C6F">
          <w:rPr>
            <w:rStyle w:val="Hyperlink"/>
            <w:sz w:val="18"/>
            <w:szCs w:val="18"/>
          </w:rPr>
          <w:t>IASC GBV Guidelines (2015)</w:t>
        </w:r>
      </w:hyperlink>
      <w:r w:rsidRPr="00BE761E" w:rsidR="00EE2C6F">
        <w:rPr>
          <w:sz w:val="18"/>
          <w:szCs w:val="18"/>
        </w:rPr>
        <w:t xml:space="preserve"> </w:t>
      </w:r>
      <w:r w:rsidRPr="00AD4EA8">
        <w:rPr>
          <w:color w:val="000000"/>
          <w:sz w:val="18"/>
        </w:rPr>
        <w:t xml:space="preserve">(p. </w:t>
      </w:r>
      <w:r w:rsidRPr="00AD4EA8" w:rsidR="00FB6E2C">
        <w:rPr>
          <w:color w:val="000000"/>
          <w:sz w:val="18"/>
        </w:rPr>
        <w:t>336</w:t>
      </w:r>
      <w:r w:rsidRPr="00AD4EA8">
        <w:rPr>
          <w:color w:val="000000"/>
          <w:sz w:val="18"/>
        </w:rPr>
        <w:t>) as: “Physically forced or otherwise coerced penetration, even if slight, of the vagina, anus or mouth with a penis or other body part. It also includes penetration of the vagina or anus with an object. Rape includes marital rape and anal rape/sodomy. The attempt to do so is known as attempted rape. Rape of a person by two or more perpetrators is known as gang rape.”</w:t>
      </w:r>
    </w:p>
  </w:footnote>
  <w:footnote w:id="79">
    <w:p w:rsidRPr="00265F4D" w:rsidR="001D323A" w:rsidRDefault="00CE2830" w14:paraId="7E28FECF" w14:textId="58697A7B">
      <w:pPr>
        <w:pBdr>
          <w:top w:val="nil"/>
          <w:left w:val="nil"/>
          <w:bottom w:val="nil"/>
          <w:right w:val="nil"/>
          <w:between w:val="nil"/>
        </w:pBdr>
        <w:spacing w:line="240" w:lineRule="auto"/>
        <w:rPr>
          <w:color w:val="000000"/>
          <w:sz w:val="18"/>
        </w:rPr>
      </w:pPr>
      <w:r w:rsidRPr="00AD4EA8">
        <w:rPr>
          <w:rStyle w:val="FootnoteReference"/>
          <w:sz w:val="18"/>
        </w:rPr>
        <w:footnoteRef/>
      </w:r>
      <w:r w:rsidRPr="00AD4EA8">
        <w:rPr>
          <w:color w:val="000000"/>
          <w:sz w:val="18"/>
        </w:rPr>
        <w:t xml:space="preserve"> See, e.g. </w:t>
      </w:r>
      <w:hyperlink r:id="rId55">
        <w:r w:rsidRPr="00AD4EA8" w:rsidR="00C47BAA">
          <w:rPr>
            <w:color w:val="0000FF"/>
            <w:sz w:val="18"/>
            <w:u w:val="single"/>
          </w:rPr>
          <w:t>www.unocha.org/sites/unocha/files/OOM_Humanitarian%20Principles_Eng.pdf</w:t>
        </w:r>
      </w:hyperlink>
      <w:r w:rsidR="00C53A88">
        <w:rPr>
          <w:color w:val="0000FF"/>
          <w:sz w:val="18"/>
          <w:szCs w:val="18"/>
          <w:u w:val="single"/>
        </w:rPr>
        <w:t xml:space="preserve"> </w:t>
      </w:r>
      <w:r w:rsidRPr="005373B0" w:rsidR="00C53A88">
        <w:rPr>
          <w:sz w:val="18"/>
          <w:szCs w:val="18"/>
        </w:rPr>
        <w:t>(accessed 27 June 2023)</w:t>
      </w:r>
      <w:r w:rsidRPr="005373B0">
        <w:rPr>
          <w:color w:val="000000"/>
          <w:sz w:val="18"/>
          <w:szCs w:val="18"/>
        </w:rPr>
        <w:t>.</w:t>
      </w:r>
    </w:p>
  </w:footnote>
  <w:footnote w:id="80">
    <w:p w:rsidRPr="00265F4D" w:rsidR="001D323A" w:rsidP="005373B0" w:rsidRDefault="00CE2830" w14:paraId="7E28FED0" w14:textId="3F98D4BE">
      <w:pPr>
        <w:rPr>
          <w:color w:val="000000"/>
          <w:sz w:val="18"/>
        </w:rPr>
      </w:pPr>
      <w:r w:rsidRPr="00265F4D">
        <w:rPr>
          <w:rStyle w:val="FootnoteReference"/>
          <w:sz w:val="18"/>
        </w:rPr>
        <w:footnoteRef/>
      </w:r>
      <w:r w:rsidRPr="00265F4D">
        <w:rPr>
          <w:color w:val="000000"/>
          <w:sz w:val="18"/>
        </w:rPr>
        <w:t xml:space="preserve"> See, </w:t>
      </w:r>
      <w:r w:rsidR="005373B0">
        <w:rPr>
          <w:color w:val="000000"/>
          <w:sz w:val="18"/>
        </w:rPr>
        <w:t>e.g.</w:t>
      </w:r>
      <w:r w:rsidRPr="00265F4D" w:rsidR="007276A8">
        <w:rPr>
          <w:color w:val="000000"/>
          <w:sz w:val="18"/>
        </w:rPr>
        <w:t xml:space="preserve"> </w:t>
      </w:r>
      <w:hyperlink w:history="1" r:id="rId56">
        <w:r w:rsidR="005373B0">
          <w:rPr>
            <w:rStyle w:val="Hyperlink"/>
            <w:sz w:val="18"/>
          </w:rPr>
          <w:t>Inter-Agency Minimum Standards for GBV in Emergencies (2019)</w:t>
        </w:r>
      </w:hyperlink>
      <w:r w:rsidR="005373B0">
        <w:rPr>
          <w:color w:val="000000"/>
          <w:sz w:val="18"/>
        </w:rPr>
        <w:t>.</w:t>
      </w:r>
    </w:p>
  </w:footnote>
  <w:footnote w:id="81">
    <w:p w:rsidRPr="00265F4D" w:rsidR="001D323A" w:rsidRDefault="00CE2830" w14:paraId="7E28FED1" w14:textId="77777777">
      <w:pPr>
        <w:pBdr>
          <w:top w:val="nil"/>
          <w:left w:val="nil"/>
          <w:bottom w:val="nil"/>
          <w:right w:val="nil"/>
          <w:between w:val="nil"/>
        </w:pBdr>
        <w:spacing w:line="240" w:lineRule="auto"/>
        <w:rPr>
          <w:color w:val="000000"/>
          <w:sz w:val="18"/>
        </w:rPr>
      </w:pPr>
      <w:r w:rsidRPr="00265F4D">
        <w:rPr>
          <w:rStyle w:val="FootnoteReference"/>
          <w:sz w:val="18"/>
        </w:rPr>
        <w:footnoteRef/>
      </w:r>
      <w:r w:rsidRPr="00265F4D">
        <w:rPr>
          <w:color w:val="000000"/>
          <w:sz w:val="18"/>
        </w:rPr>
        <w:t xml:space="preserve"> The ‘P’ in AAP may also refer to ‘People’. </w:t>
      </w:r>
    </w:p>
  </w:footnote>
  <w:footnote w:id="82">
    <w:p w:rsidRPr="00265F4D" w:rsidR="001D323A" w:rsidRDefault="00CE2830" w14:paraId="7E28FED2" w14:textId="41E83DC8">
      <w:pPr>
        <w:pBdr>
          <w:top w:val="nil"/>
          <w:left w:val="nil"/>
          <w:bottom w:val="nil"/>
          <w:right w:val="nil"/>
          <w:between w:val="nil"/>
        </w:pBdr>
        <w:spacing w:line="240" w:lineRule="auto"/>
        <w:jc w:val="both"/>
        <w:rPr>
          <w:color w:val="000000"/>
          <w:sz w:val="18"/>
        </w:rPr>
      </w:pPr>
      <w:r w:rsidRPr="00265F4D">
        <w:rPr>
          <w:rStyle w:val="FootnoteReference"/>
          <w:sz w:val="18"/>
        </w:rPr>
        <w:footnoteRef/>
      </w:r>
      <w:r w:rsidRPr="00265F4D">
        <w:rPr>
          <w:color w:val="000000"/>
          <w:sz w:val="18"/>
        </w:rPr>
        <w:t xml:space="preserve"> AAP focuses on the rights, dignity and protection of an affected community in its entirety. AAP is about meaningful engagement, working with communities and actively seek</w:t>
      </w:r>
      <w:r w:rsidRPr="00265F4D" w:rsidR="003C462A">
        <w:rPr>
          <w:color w:val="000000"/>
          <w:sz w:val="18"/>
        </w:rPr>
        <w:t>ing</w:t>
      </w:r>
      <w:r w:rsidRPr="00265F4D">
        <w:rPr>
          <w:color w:val="000000"/>
          <w:sz w:val="18"/>
        </w:rPr>
        <w:t xml:space="preserve"> and put</w:t>
      </w:r>
      <w:r w:rsidRPr="00265F4D" w:rsidR="003C462A">
        <w:rPr>
          <w:color w:val="000000"/>
          <w:sz w:val="18"/>
        </w:rPr>
        <w:t>ting</w:t>
      </w:r>
      <w:r w:rsidRPr="00265F4D">
        <w:rPr>
          <w:color w:val="000000"/>
          <w:sz w:val="18"/>
        </w:rPr>
        <w:t xml:space="preserve"> forward the voices </w:t>
      </w:r>
      <w:r w:rsidRPr="00265F4D" w:rsidR="00245829">
        <w:rPr>
          <w:color w:val="000000"/>
          <w:sz w:val="18"/>
        </w:rPr>
        <w:t xml:space="preserve">of </w:t>
      </w:r>
      <w:r w:rsidRPr="00265F4D">
        <w:rPr>
          <w:color w:val="000000"/>
          <w:sz w:val="18"/>
        </w:rPr>
        <w:t xml:space="preserve">the most vulnerable. It requires humanitarian actors to identify and address the needs and vulnerabilities of members of affected communities and it equally requires them to </w:t>
      </w:r>
      <w:r w:rsidRPr="00265F4D" w:rsidR="00DD29D1">
        <w:rPr>
          <w:color w:val="000000"/>
          <w:sz w:val="18"/>
        </w:rPr>
        <w:t>recognize</w:t>
      </w:r>
      <w:r w:rsidRPr="00265F4D">
        <w:rPr>
          <w:color w:val="000000"/>
          <w:sz w:val="18"/>
        </w:rPr>
        <w:t xml:space="preserve"> and harness the capacities, knowledge and aspirations of those communities. Community members must be engaged and empowered throughout all stages of the humanitarian programme cycle</w:t>
      </w:r>
      <w:r w:rsidRPr="00265F4D" w:rsidR="00245829">
        <w:rPr>
          <w:color w:val="000000"/>
          <w:sz w:val="18"/>
        </w:rPr>
        <w:t>,</w:t>
      </w:r>
      <w:r w:rsidRPr="00265F4D">
        <w:rPr>
          <w:color w:val="000000"/>
          <w:sz w:val="18"/>
        </w:rPr>
        <w:t xml:space="preserve"> not only to be a part of decision</w:t>
      </w:r>
      <w:r w:rsidRPr="00630569" w:rsidR="00195B15">
        <w:rPr>
          <w:color w:val="000000"/>
          <w:sz w:val="18"/>
          <w:szCs w:val="18"/>
        </w:rPr>
        <w:t>-</w:t>
      </w:r>
      <w:r w:rsidRPr="00265F4D">
        <w:rPr>
          <w:color w:val="000000"/>
          <w:sz w:val="18"/>
        </w:rPr>
        <w:t xml:space="preserve">making but to be equal partners helping to drive the process. Humanitarian actors </w:t>
      </w:r>
      <w:r w:rsidRPr="00630569">
        <w:rPr>
          <w:color w:val="000000"/>
          <w:sz w:val="18"/>
          <w:szCs w:val="18"/>
        </w:rPr>
        <w:t>aim</w:t>
      </w:r>
      <w:r w:rsidRPr="00265F4D">
        <w:rPr>
          <w:color w:val="000000"/>
          <w:sz w:val="18"/>
        </w:rPr>
        <w:t xml:space="preserve"> to achieve this by taking account, giving account and being held to account.</w:t>
      </w:r>
    </w:p>
  </w:footnote>
  <w:footnote w:id="83">
    <w:p w:rsidRPr="00265F4D" w:rsidR="001D323A" w:rsidRDefault="00CE2830" w14:paraId="7E28FED3" w14:textId="05DDFC8E">
      <w:pPr>
        <w:pBdr>
          <w:top w:val="nil"/>
          <w:left w:val="nil"/>
          <w:bottom w:val="nil"/>
          <w:right w:val="nil"/>
          <w:between w:val="nil"/>
        </w:pBdr>
        <w:spacing w:line="240" w:lineRule="auto"/>
        <w:jc w:val="both"/>
        <w:rPr>
          <w:sz w:val="18"/>
        </w:rPr>
      </w:pPr>
      <w:r w:rsidRPr="00265F4D">
        <w:rPr>
          <w:rStyle w:val="FootnoteReference"/>
          <w:sz w:val="18"/>
        </w:rPr>
        <w:footnoteRef/>
      </w:r>
      <w:r w:rsidRPr="00265F4D">
        <w:rPr>
          <w:sz w:val="18"/>
        </w:rPr>
        <w:t xml:space="preserve"> There are some limitations to confidentiality, including when there are concerns about the immediate physical safety of survivors or risk to others, or in the case of mandatory reporting requirements. See </w:t>
      </w:r>
      <w:r w:rsidRPr="00265F4D" w:rsidR="00D144C7">
        <w:rPr>
          <w:sz w:val="18"/>
        </w:rPr>
        <w:t xml:space="preserve">section </w:t>
      </w:r>
      <w:r w:rsidRPr="00265F4D">
        <w:rPr>
          <w:sz w:val="18"/>
        </w:rPr>
        <w:t xml:space="preserve">3.3.3 on </w:t>
      </w:r>
      <w:r w:rsidRPr="00265F4D" w:rsidR="00D144C7">
        <w:rPr>
          <w:sz w:val="18"/>
        </w:rPr>
        <w:t xml:space="preserve">mandatory reporting </w:t>
      </w:r>
      <w:r w:rsidRPr="00265F4D">
        <w:rPr>
          <w:sz w:val="18"/>
        </w:rPr>
        <w:t>for more information.</w:t>
      </w:r>
    </w:p>
    <w:bookmarkStart w:name="_heading=h.z337ya" w:colFirst="0" w:colLast="0" w:id="21"/>
    <w:bookmarkEnd w:id="21"/>
  </w:footnote>
  <w:footnote w:id="84">
    <w:p w:rsidRPr="00842534" w:rsidR="001D323A" w:rsidRDefault="00CE2830" w14:paraId="7E28FED4" w14:textId="58CC0ABD">
      <w:pPr>
        <w:pBdr>
          <w:top w:val="nil"/>
          <w:left w:val="nil"/>
          <w:bottom w:val="nil"/>
          <w:right w:val="nil"/>
          <w:between w:val="nil"/>
        </w:pBdr>
        <w:spacing w:line="240" w:lineRule="auto"/>
        <w:jc w:val="both"/>
        <w:rPr>
          <w:color w:val="000000"/>
          <w:sz w:val="18"/>
        </w:rPr>
      </w:pPr>
      <w:r w:rsidRPr="00842534">
        <w:rPr>
          <w:rStyle w:val="FootnoteReference"/>
          <w:sz w:val="18"/>
        </w:rPr>
        <w:footnoteRef/>
      </w:r>
      <w:hyperlink w:history="1" r:id="rId57">
        <w:r w:rsidR="005373B0">
          <w:rPr>
            <w:rStyle w:val="Hyperlink"/>
            <w:sz w:val="18"/>
          </w:rPr>
          <w:t>UNHCR Age, Gender and Diversity Policy (2018)</w:t>
        </w:r>
      </w:hyperlink>
      <w:r w:rsidRPr="00842534">
        <w:rPr>
          <w:color w:val="000000"/>
          <w:sz w:val="18"/>
        </w:rPr>
        <w:t xml:space="preserve">, 2018, </w:t>
      </w:r>
      <w:r w:rsidRPr="00842534" w:rsidR="00A03F6E">
        <w:rPr>
          <w:color w:val="000000"/>
          <w:sz w:val="18"/>
        </w:rPr>
        <w:t>pp.</w:t>
      </w:r>
      <w:r w:rsidRPr="00842534">
        <w:rPr>
          <w:color w:val="000000"/>
          <w:sz w:val="18"/>
        </w:rPr>
        <w:t xml:space="preserve"> 5-6.</w:t>
      </w:r>
    </w:p>
  </w:footnote>
  <w:footnote w:id="85">
    <w:p w:rsidRPr="005373B0" w:rsidR="00000E54" w:rsidP="00000E54" w:rsidRDefault="00000E54" w14:paraId="7BCA547F" w14:textId="0FAAB2E1">
      <w:pPr>
        <w:pBdr>
          <w:top w:val="nil"/>
          <w:left w:val="nil"/>
          <w:bottom w:val="nil"/>
          <w:right w:val="nil"/>
          <w:between w:val="nil"/>
        </w:pBdr>
        <w:spacing w:line="240" w:lineRule="auto"/>
        <w:rPr>
          <w:color w:val="000000"/>
          <w:sz w:val="18"/>
          <w:szCs w:val="18"/>
        </w:rPr>
      </w:pPr>
      <w:r w:rsidRPr="005373B0">
        <w:rPr>
          <w:rStyle w:val="FootnoteReference"/>
          <w:sz w:val="18"/>
          <w:szCs w:val="18"/>
        </w:rPr>
        <w:footnoteRef/>
      </w:r>
      <w:r w:rsidRPr="005373B0">
        <w:rPr>
          <w:color w:val="000000"/>
          <w:sz w:val="18"/>
          <w:szCs w:val="18"/>
        </w:rPr>
        <w:t xml:space="preserve"> </w:t>
      </w:r>
      <w:hyperlink w:history="1" r:id="rId58">
        <w:r w:rsidRPr="005373B0" w:rsidR="00BA4018">
          <w:rPr>
            <w:rStyle w:val="Hyperlink"/>
            <w:sz w:val="18"/>
            <w:szCs w:val="18"/>
          </w:rPr>
          <w:t>Convention on right of the Child</w:t>
        </w:r>
      </w:hyperlink>
      <w:r w:rsidRPr="005373B0" w:rsidR="00BA4018">
        <w:rPr>
          <w:color w:val="000000"/>
          <w:sz w:val="18"/>
          <w:szCs w:val="18"/>
        </w:rPr>
        <w:t xml:space="preserve">, Art.3. </w:t>
      </w:r>
    </w:p>
  </w:footnote>
  <w:footnote w:id="86">
    <w:p w:rsidRPr="009D5E45" w:rsidR="009D5E45" w:rsidRDefault="009D5E45" w14:paraId="2344B7F7" w14:textId="16BB53A6">
      <w:pPr>
        <w:pStyle w:val="FootnoteText"/>
      </w:pPr>
      <w:r>
        <w:rPr>
          <w:rStyle w:val="FootnoteReference"/>
        </w:rPr>
        <w:footnoteRef/>
      </w:r>
      <w:r>
        <w:t xml:space="preserve"> </w:t>
      </w:r>
      <w:r w:rsidRPr="00842534">
        <w:rPr>
          <w:sz w:val="18"/>
        </w:rPr>
        <w:t xml:space="preserve">All </w:t>
      </w:r>
      <w:proofErr w:type="spellStart"/>
      <w:r w:rsidRPr="00842534">
        <w:rPr>
          <w:sz w:val="18"/>
        </w:rPr>
        <w:t>programme</w:t>
      </w:r>
      <w:proofErr w:type="spellEnd"/>
      <w:r w:rsidRPr="00842534">
        <w:rPr>
          <w:sz w:val="18"/>
        </w:rPr>
        <w:t xml:space="preserve"> sections in the GBV SOPs are based on </w:t>
      </w:r>
      <w:hyperlink w:history="1" r:id="rId59">
        <w:r>
          <w:rPr>
            <w:rStyle w:val="Hyperlink"/>
            <w:sz w:val="18"/>
          </w:rPr>
          <w:t>Inter-Agency Minimum Standards for GBV in Emergencies (2019)</w:t>
        </w:r>
      </w:hyperlink>
      <w:r>
        <w:rPr>
          <w:color w:val="000000"/>
          <w:sz w:val="18"/>
        </w:rPr>
        <w:t xml:space="preserve"> </w:t>
      </w:r>
      <w:r w:rsidRPr="00842534">
        <w:rPr>
          <w:sz w:val="18"/>
        </w:rPr>
        <w:t xml:space="preserve">unless otherwise noted. Additional information on each service and how it should be delivered is available in the GBV </w:t>
      </w:r>
      <w:r w:rsidRPr="00842534">
        <w:rPr>
          <w:spacing w:val="-2"/>
          <w:sz w:val="18"/>
        </w:rPr>
        <w:t>minimum standards and other resources referenced (e.g.</w:t>
      </w:r>
      <w:r>
        <w:rPr>
          <w:spacing w:val="-2"/>
          <w:sz w:val="18"/>
        </w:rPr>
        <w:t xml:space="preserve"> </w:t>
      </w:r>
      <w:sdt>
        <w:sdtPr>
          <w:rPr>
            <w:sz w:val="18"/>
          </w:rPr>
          <w:tag w:val="goog_rdk_102"/>
          <w:id w:val="-510754562"/>
        </w:sdtPr>
        <w:sdtEndPr/>
        <w:sdtContent>
          <w:sdt>
            <w:sdtPr>
              <w:rPr>
                <w:sz w:val="18"/>
              </w:rPr>
              <w:tag w:val="goog_rdk_102"/>
              <w:id w:val="2040241301"/>
            </w:sdtPr>
            <w:sdtEndPr/>
            <w:sdtContent>
              <w:sdt>
                <w:sdtPr>
                  <w:rPr>
                    <w:sz w:val="18"/>
                  </w:rPr>
                  <w:tag w:val="goog_rdk_102"/>
                  <w:id w:val="-1669318330"/>
                </w:sdtPr>
                <w:sdtEndPr/>
                <w:sdtContent>
                  <w:hyperlink w:history="1" r:id="rId60">
                    <w:r>
                      <w:rPr>
                        <w:rStyle w:val="Hyperlink"/>
                        <w:sz w:val="18"/>
                      </w:rPr>
                      <w:t>Inter-Agency GBV Case Management Guidelines</w:t>
                    </w:r>
                  </w:hyperlink>
                </w:sdtContent>
              </w:sdt>
            </w:sdtContent>
          </w:sdt>
        </w:sdtContent>
      </w:sdt>
      <w:r w:rsidRPr="003703FF">
        <w:rPr>
          <w:spacing w:val="-2"/>
          <w:sz w:val="18"/>
        </w:rPr>
        <w:t>).</w:t>
      </w:r>
    </w:p>
  </w:footnote>
  <w:footnote w:id="87">
    <w:p w:rsidRPr="0062065B" w:rsidR="006C0B06" w:rsidP="00BC53DB" w:rsidRDefault="006C0B06" w14:paraId="7D3CB739" w14:textId="25B37054">
      <w:pPr>
        <w:rPr>
          <w:sz w:val="18"/>
        </w:rPr>
      </w:pPr>
      <w:r w:rsidRPr="0062065B">
        <w:rPr>
          <w:rStyle w:val="FootnoteReference"/>
          <w:sz w:val="18"/>
        </w:rPr>
        <w:footnoteRef/>
      </w:r>
      <w:r w:rsidRPr="0062065B">
        <w:rPr>
          <w:sz w:val="18"/>
        </w:rPr>
        <w:t xml:space="preserve"> </w:t>
      </w:r>
      <w:sdt>
        <w:sdtPr>
          <w:rPr>
            <w:sz w:val="18"/>
          </w:rPr>
          <w:tag w:val="goog_rdk_102"/>
          <w:id w:val="-475134803"/>
        </w:sdtPr>
        <w:sdtEndPr/>
        <w:sdtContent>
          <w:sdt>
            <w:sdtPr>
              <w:rPr>
                <w:sz w:val="18"/>
              </w:rPr>
              <w:tag w:val="goog_rdk_102"/>
              <w:id w:val="558906429"/>
            </w:sdtPr>
            <w:sdtEndPr>
              <w:rPr>
                <w:szCs w:val="20"/>
              </w:rPr>
            </w:sdtEndPr>
            <w:sdtContent>
              <w:sdt>
                <w:sdtPr>
                  <w:rPr>
                    <w:sz w:val="18"/>
                  </w:rPr>
                  <w:tag w:val="goog_rdk_102"/>
                  <w:id w:val="-364294468"/>
                </w:sdtPr>
                <w:sdtEndPr/>
                <w:sdtContent>
                  <w:hyperlink w:history="1" r:id="rId61">
                    <w:r w:rsidR="00BC53DB">
                      <w:rPr>
                        <w:rStyle w:val="Hyperlink"/>
                        <w:sz w:val="18"/>
                      </w:rPr>
                      <w:t>Inter-Agency GBV Case Management Guidelines</w:t>
                    </w:r>
                  </w:hyperlink>
                </w:sdtContent>
              </w:sdt>
            </w:sdtContent>
          </w:sdt>
        </w:sdtContent>
      </w:sdt>
      <w:r w:rsidR="00BC53DB">
        <w:rPr>
          <w:sz w:val="18"/>
        </w:rPr>
        <w:t>,</w:t>
      </w:r>
      <w:r w:rsidRPr="00B03BA8" w:rsidR="00B03BA8">
        <w:rPr>
          <w:sz w:val="18"/>
        </w:rPr>
        <w:t xml:space="preserve"> </w:t>
      </w:r>
      <w:r w:rsidRPr="0062065B" w:rsidR="00CA5D09">
        <w:rPr>
          <w:sz w:val="18"/>
        </w:rPr>
        <w:t>p.24.</w:t>
      </w:r>
    </w:p>
  </w:footnote>
  <w:footnote w:id="88">
    <w:p w:rsidRPr="0062065B" w:rsidR="001D323A" w:rsidRDefault="00CE2830" w14:paraId="7E28FED7" w14:textId="163BACC3">
      <w:pPr>
        <w:pBdr>
          <w:top w:val="nil"/>
          <w:left w:val="nil"/>
          <w:bottom w:val="nil"/>
          <w:right w:val="nil"/>
          <w:between w:val="nil"/>
        </w:pBdr>
        <w:spacing w:line="240" w:lineRule="auto"/>
        <w:rPr>
          <w:color w:val="000000"/>
          <w:sz w:val="18"/>
        </w:rPr>
      </w:pPr>
      <w:r w:rsidRPr="0062065B">
        <w:rPr>
          <w:rStyle w:val="FootnoteReference"/>
          <w:sz w:val="18"/>
        </w:rPr>
        <w:footnoteRef/>
      </w:r>
      <w:r w:rsidRPr="0062065B">
        <w:rPr>
          <w:color w:val="000000"/>
          <w:sz w:val="18"/>
        </w:rPr>
        <w:t xml:space="preserve"> GBV </w:t>
      </w:r>
      <w:proofErr w:type="spellStart"/>
      <w:r w:rsidRPr="0062065B">
        <w:rPr>
          <w:color w:val="000000"/>
          <w:sz w:val="18"/>
        </w:rPr>
        <w:t>A</w:t>
      </w:r>
      <w:r w:rsidRPr="0062065B" w:rsidR="00EB206F">
        <w:rPr>
          <w:color w:val="000000"/>
          <w:sz w:val="18"/>
        </w:rPr>
        <w:t>o</w:t>
      </w:r>
      <w:r w:rsidRPr="0062065B">
        <w:rPr>
          <w:color w:val="000000"/>
          <w:sz w:val="18"/>
        </w:rPr>
        <w:t>R</w:t>
      </w:r>
      <w:proofErr w:type="spellEnd"/>
      <w:r w:rsidRPr="0062065B">
        <w:rPr>
          <w:color w:val="000000"/>
          <w:sz w:val="18"/>
        </w:rPr>
        <w:t>,</w:t>
      </w:r>
      <w:r w:rsidR="0062065B">
        <w:rPr>
          <w:color w:val="000000"/>
          <w:sz w:val="18"/>
        </w:rPr>
        <w:t xml:space="preserve"> </w:t>
      </w:r>
      <w:hyperlink w:history="1" r:id="rId62">
        <w:r w:rsidR="0062065B">
          <w:rPr>
            <w:rStyle w:val="Hyperlink"/>
            <w:sz w:val="18"/>
          </w:rPr>
          <w:t>Guidance to gender-based violence coordinators addressing the needs of male survivors of sexual violence in GBV coordination</w:t>
        </w:r>
      </w:hyperlink>
      <w:r w:rsidRPr="0062065B" w:rsidR="0062065B">
        <w:rPr>
          <w:color w:val="000000"/>
          <w:sz w:val="18"/>
        </w:rPr>
        <w:t>, p.10</w:t>
      </w:r>
      <w:r w:rsidR="0062065B">
        <w:rPr>
          <w:color w:val="000000"/>
          <w:sz w:val="18"/>
        </w:rPr>
        <w:t>.</w:t>
      </w:r>
    </w:p>
    <w:p w:rsidRPr="0062065B" w:rsidR="001D323A" w:rsidRDefault="001D323A" w14:paraId="7E28FED8" w14:textId="77777777">
      <w:pPr>
        <w:widowControl w:val="0"/>
        <w:pBdr>
          <w:top w:val="nil"/>
          <w:left w:val="nil"/>
          <w:bottom w:val="nil"/>
          <w:right w:val="nil"/>
          <w:between w:val="nil"/>
        </w:pBdr>
        <w:rPr>
          <w:color w:val="000000"/>
          <w:sz w:val="18"/>
        </w:rPr>
      </w:pPr>
    </w:p>
  </w:footnote>
  <w:footnote w:id="89">
    <w:p w:rsidRPr="0062065B" w:rsidR="00CE4BC6" w:rsidP="00CE4BC6" w:rsidRDefault="00CE4BC6" w14:paraId="7E28FED9" w14:textId="0B870A55">
      <w:pPr>
        <w:spacing w:line="240" w:lineRule="auto"/>
        <w:jc w:val="both"/>
        <w:rPr>
          <w:sz w:val="18"/>
        </w:rPr>
      </w:pPr>
      <w:r w:rsidRPr="00F7131F">
        <w:rPr>
          <w:rStyle w:val="FootnoteReference"/>
          <w:sz w:val="18"/>
        </w:rPr>
        <w:footnoteRef/>
      </w:r>
      <w:r w:rsidRPr="00F7131F" w:rsidR="00CE2830">
        <w:rPr>
          <w:sz w:val="18"/>
        </w:rPr>
        <w:t xml:space="preserve"> </w:t>
      </w:r>
      <w:hyperlink r:id="rId63">
        <w:r w:rsidR="00BC53DB">
          <w:rPr>
            <w:color w:val="0000FF"/>
            <w:sz w:val="18"/>
            <w:u w:val="single"/>
          </w:rPr>
          <w:t>IASC GBV pocket guide (2015)</w:t>
        </w:r>
      </w:hyperlink>
      <w:r w:rsidR="00BC53DB">
        <w:rPr>
          <w:color w:val="0000FF"/>
          <w:sz w:val="18"/>
          <w:u w:val="single"/>
        </w:rPr>
        <w:t xml:space="preserve"> </w:t>
      </w:r>
      <w:r w:rsidRPr="00BC53DB" w:rsidR="0053787C">
        <w:rPr>
          <w:sz w:val="18"/>
          <w:szCs w:val="18"/>
        </w:rPr>
        <w:t>(accessed 27 June 2023)</w:t>
      </w:r>
      <w:r w:rsidRPr="00BC53DB" w:rsidR="00CE2830">
        <w:rPr>
          <w:sz w:val="18"/>
          <w:szCs w:val="18"/>
        </w:rPr>
        <w:t>.</w:t>
      </w:r>
      <w:r w:rsidRPr="00456527" w:rsidR="00CE2830">
        <w:rPr>
          <w:sz w:val="18"/>
          <w:szCs w:val="18"/>
        </w:rPr>
        <w:t xml:space="preserve"> </w:t>
      </w:r>
    </w:p>
  </w:footnote>
  <w:footnote w:id="90">
    <w:p w:rsidRPr="0062065B" w:rsidR="00CE4BC6" w:rsidP="00CE4BC6" w:rsidRDefault="00CE4BC6" w14:paraId="7E28FEDA" w14:textId="77777777">
      <w:pPr>
        <w:spacing w:line="240" w:lineRule="auto"/>
        <w:jc w:val="both"/>
        <w:rPr>
          <w:sz w:val="18"/>
        </w:rPr>
      </w:pPr>
      <w:r w:rsidRPr="0062065B">
        <w:rPr>
          <w:rStyle w:val="FootnoteReference"/>
          <w:sz w:val="18"/>
        </w:rPr>
        <w:footnoteRef/>
      </w:r>
      <w:r w:rsidRPr="0062065B">
        <w:rPr>
          <w:sz w:val="18"/>
        </w:rPr>
        <w:t xml:space="preserve"> Informed consent is the voluntary agreement of an individual who has the legal capacity to give consent (age 18+). It is a term that is widely used in health and social services and is intended to protect the rights of the survivor and ensure that they are fully aware of the limitations, risks (and benefits) of receiving services.</w:t>
      </w:r>
    </w:p>
  </w:footnote>
  <w:footnote w:id="91">
    <w:p w:rsidRPr="007F7C0F" w:rsidR="007F7C0F" w:rsidRDefault="007F7C0F" w14:paraId="16D66332" w14:textId="05C9A32F">
      <w:pPr>
        <w:pStyle w:val="FootnoteText"/>
      </w:pPr>
      <w:r>
        <w:rPr>
          <w:rStyle w:val="FootnoteReference"/>
        </w:rPr>
        <w:footnoteRef/>
      </w:r>
      <w:r>
        <w:t xml:space="preserve"> </w:t>
      </w:r>
      <w:r w:rsidRPr="00F7131F">
        <w:rPr>
          <w:sz w:val="18"/>
        </w:rPr>
        <w:t>See</w:t>
      </w:r>
      <w:r>
        <w:rPr>
          <w:sz w:val="18"/>
        </w:rPr>
        <w:t xml:space="preserve"> </w:t>
      </w:r>
      <w:sdt>
        <w:sdtPr>
          <w:rPr>
            <w:sz w:val="18"/>
          </w:rPr>
          <w:tag w:val="goog_rdk_102"/>
          <w:id w:val="-758604873"/>
        </w:sdtPr>
        <w:sdtEndPr/>
        <w:sdtContent>
          <w:sdt>
            <w:sdtPr>
              <w:rPr>
                <w:sz w:val="18"/>
              </w:rPr>
              <w:tag w:val="goog_rdk_102"/>
              <w:id w:val="-837698858"/>
            </w:sdtPr>
            <w:sdtEndPr/>
            <w:sdtContent>
              <w:sdt>
                <w:sdtPr>
                  <w:rPr>
                    <w:sz w:val="18"/>
                  </w:rPr>
                  <w:tag w:val="goog_rdk_102"/>
                  <w:id w:val="-17232421"/>
                </w:sdtPr>
                <w:sdtEndPr/>
                <w:sdtContent>
                  <w:hyperlink w:history="1" r:id="rId64">
                    <w:r>
                      <w:rPr>
                        <w:rStyle w:val="Hyperlink"/>
                        <w:sz w:val="18"/>
                      </w:rPr>
                      <w:t>Inter-Agency GBV Case Management Guidelines (2017)</w:t>
                    </w:r>
                  </w:hyperlink>
                </w:sdtContent>
              </w:sdt>
              <w:r>
                <w:rPr>
                  <w:sz w:val="18"/>
                </w:rPr>
                <w:t xml:space="preserve"> </w:t>
              </w:r>
            </w:sdtContent>
          </w:sdt>
        </w:sdtContent>
      </w:sdt>
      <w:r w:rsidRPr="00F7131F">
        <w:rPr>
          <w:sz w:val="18"/>
        </w:rPr>
        <w:t>, section 2.2, Engaging the survivor in services</w:t>
      </w:r>
      <w:r>
        <w:rPr>
          <w:sz w:val="18"/>
        </w:rPr>
        <w:t xml:space="preserve"> </w:t>
      </w:r>
      <w:r w:rsidRPr="00A878AD">
        <w:rPr>
          <w:sz w:val="18"/>
          <w:szCs w:val="18"/>
        </w:rPr>
        <w:t>(accessed 27 June 2023)</w:t>
      </w:r>
      <w:r w:rsidRPr="00630569">
        <w:rPr>
          <w:sz w:val="18"/>
          <w:szCs w:val="18"/>
        </w:rPr>
        <w:t>.</w:t>
      </w:r>
    </w:p>
  </w:footnote>
  <w:footnote w:id="92">
    <w:p w:rsidRPr="00F7131F" w:rsidR="00BB06E5" w:rsidP="003027A5" w:rsidRDefault="00BB06E5" w14:paraId="5DF010A7" w14:textId="7CC05556">
      <w:pPr>
        <w:rPr>
          <w:sz w:val="18"/>
        </w:rPr>
      </w:pPr>
      <w:r w:rsidRPr="00F7131F">
        <w:rPr>
          <w:rStyle w:val="FootnoteReference"/>
          <w:sz w:val="18"/>
        </w:rPr>
        <w:footnoteRef/>
      </w:r>
      <w:r w:rsidRPr="00F7131F">
        <w:rPr>
          <w:color w:val="000000"/>
          <w:sz w:val="18"/>
        </w:rPr>
        <w:t xml:space="preserve"> This form requires survivors to give their authorization for any of their information to be shared with other agencies or organizations. It is intended to ensure that the rights of the survivors to control their incident data are maintained and protected. This form is also available in the</w:t>
      </w:r>
      <w:r w:rsidRPr="003027A5" w:rsidR="003027A5">
        <w:rPr>
          <w:sz w:val="18"/>
        </w:rPr>
        <w:t xml:space="preserve"> </w:t>
      </w:r>
      <w:sdt>
        <w:sdtPr>
          <w:rPr>
            <w:sz w:val="18"/>
          </w:rPr>
          <w:tag w:val="goog_rdk_102"/>
          <w:id w:val="615798996"/>
        </w:sdtPr>
        <w:sdtEndPr/>
        <w:sdtContent>
          <w:hyperlink w:history="1" r:id="rId65">
            <w:r w:rsidR="003027A5">
              <w:rPr>
                <w:rStyle w:val="Hyperlink"/>
                <w:sz w:val="18"/>
              </w:rPr>
              <w:t>Inter-Agency GBV Case Management Guidelines (2017)</w:t>
            </w:r>
          </w:hyperlink>
        </w:sdtContent>
      </w:sdt>
      <w:r w:rsidRPr="00F7131F">
        <w:rPr>
          <w:color w:val="000000"/>
          <w:sz w:val="18"/>
        </w:rPr>
        <w:t>, pp. 227-228.</w:t>
      </w:r>
    </w:p>
  </w:footnote>
  <w:footnote w:id="93">
    <w:p w:rsidRPr="003027A5" w:rsidR="00BB06E5" w:rsidP="003027A5" w:rsidRDefault="00BB06E5" w14:paraId="5DBBBC1F" w14:textId="786D6BE2">
      <w:pPr>
        <w:rPr>
          <w:sz w:val="18"/>
        </w:rPr>
      </w:pPr>
      <w:r w:rsidRPr="00643840">
        <w:rPr>
          <w:rStyle w:val="FootnoteReference"/>
          <w:sz w:val="18"/>
        </w:rPr>
        <w:footnoteRef/>
      </w:r>
      <w:r w:rsidRPr="00643840">
        <w:rPr>
          <w:color w:val="000000"/>
          <w:sz w:val="18"/>
        </w:rPr>
        <w:t xml:space="preserve"> </w:t>
      </w:r>
      <w:sdt>
        <w:sdtPr>
          <w:rPr>
            <w:sz w:val="18"/>
          </w:rPr>
          <w:tag w:val="goog_rdk_102"/>
          <w:id w:val="488841122"/>
        </w:sdtPr>
        <w:sdtEndPr/>
        <w:sdtContent>
          <w:hyperlink w:history="1" r:id="rId66">
            <w:r w:rsidR="003027A5">
              <w:rPr>
                <w:rStyle w:val="Hyperlink"/>
                <w:sz w:val="18"/>
              </w:rPr>
              <w:t>Inter-Agency GBV Case Management Guidelines (2017)</w:t>
            </w:r>
          </w:hyperlink>
        </w:sdtContent>
      </w:sdt>
      <w:r w:rsidRPr="00643840">
        <w:rPr>
          <w:color w:val="000000"/>
          <w:sz w:val="18"/>
        </w:rPr>
        <w:t>, p. 179.</w:t>
      </w:r>
    </w:p>
  </w:footnote>
  <w:footnote w:id="94">
    <w:p w:rsidRPr="00643840" w:rsidR="00CE4BC6" w:rsidP="00CE4BC6" w:rsidRDefault="00CE4BC6" w14:paraId="7E28FEDE" w14:textId="0C0C36BE">
      <w:pPr>
        <w:spacing w:line="240" w:lineRule="auto"/>
        <w:jc w:val="both"/>
        <w:rPr>
          <w:sz w:val="18"/>
        </w:rPr>
      </w:pPr>
      <w:r w:rsidRPr="00643840">
        <w:rPr>
          <w:rStyle w:val="FootnoteReference"/>
          <w:sz w:val="18"/>
        </w:rPr>
        <w:footnoteRef/>
      </w:r>
      <w:r w:rsidRPr="00643840" w:rsidR="00CE2830">
        <w:rPr>
          <w:sz w:val="18"/>
        </w:rPr>
        <w:t xml:space="preserve"> See </w:t>
      </w:r>
      <w:r w:rsidRPr="00643840" w:rsidR="00940371">
        <w:rPr>
          <w:sz w:val="18"/>
        </w:rPr>
        <w:t xml:space="preserve">section </w:t>
      </w:r>
      <w:r w:rsidRPr="00643840" w:rsidR="00CE2830">
        <w:rPr>
          <w:sz w:val="18"/>
        </w:rPr>
        <w:t xml:space="preserve">3 of the GPC </w:t>
      </w:r>
      <w:r w:rsidRPr="00643840" w:rsidR="0084563D">
        <w:rPr>
          <w:sz w:val="18"/>
        </w:rPr>
        <w:t xml:space="preserve">anti-trafficking task team’s </w:t>
      </w:r>
      <w:hyperlink r:id="rId67">
        <w:r w:rsidR="00925FEC">
          <w:rPr>
            <w:color w:val="0000FF"/>
            <w:sz w:val="18"/>
            <w:u w:val="single"/>
          </w:rPr>
          <w:t>An introductory guide to anti-trafficking action in internal displacement contexts (2020)</w:t>
        </w:r>
      </w:hyperlink>
      <w:r w:rsidR="00A878AD">
        <w:rPr>
          <w:sz w:val="18"/>
          <w:szCs w:val="18"/>
        </w:rPr>
        <w:t xml:space="preserve"> </w:t>
      </w:r>
      <w:r w:rsidRPr="00A878AD" w:rsidR="00A878AD">
        <w:rPr>
          <w:sz w:val="18"/>
          <w:szCs w:val="18"/>
        </w:rPr>
        <w:t>(accessed 27 June 2023)</w:t>
      </w:r>
      <w:r w:rsidRPr="00630569" w:rsidR="00CE2830">
        <w:rPr>
          <w:sz w:val="18"/>
          <w:szCs w:val="18"/>
        </w:rPr>
        <w:t>.</w:t>
      </w:r>
      <w:r w:rsidRPr="00643840" w:rsidR="00CE2830">
        <w:rPr>
          <w:sz w:val="18"/>
        </w:rPr>
        <w:t xml:space="preserve"> Note also that assistance to survivors of trafficking should not be conditional on the initiation of criminal proceedings and </w:t>
      </w:r>
      <w:r w:rsidRPr="00643840" w:rsidR="008D2BC8">
        <w:rPr>
          <w:sz w:val="18"/>
        </w:rPr>
        <w:t xml:space="preserve">that </w:t>
      </w:r>
      <w:r w:rsidRPr="00643840" w:rsidR="00CE2830">
        <w:rPr>
          <w:sz w:val="18"/>
        </w:rPr>
        <w:t>state</w:t>
      </w:r>
      <w:r w:rsidRPr="00643840" w:rsidR="0003393C">
        <w:rPr>
          <w:sz w:val="18"/>
        </w:rPr>
        <w:t xml:space="preserve"> </w:t>
      </w:r>
      <w:r w:rsidRPr="00643840" w:rsidR="00CE2830">
        <w:rPr>
          <w:sz w:val="18"/>
        </w:rPr>
        <w:t xml:space="preserve">signatories </w:t>
      </w:r>
      <w:r w:rsidRPr="00643840" w:rsidR="0003393C">
        <w:rPr>
          <w:sz w:val="18"/>
        </w:rPr>
        <w:t xml:space="preserve">to </w:t>
      </w:r>
      <w:r w:rsidRPr="00643840" w:rsidR="00CE2830">
        <w:rPr>
          <w:sz w:val="18"/>
        </w:rPr>
        <w:t>the Palermo Protocol should respect the non-punishment principle.</w:t>
      </w:r>
    </w:p>
  </w:footnote>
  <w:footnote w:id="95">
    <w:p w:rsidRPr="0076100E" w:rsidR="002968F0" w:rsidP="002968F0" w:rsidRDefault="002968F0" w14:paraId="727B324D" w14:textId="77777777">
      <w:pPr>
        <w:spacing w:line="240" w:lineRule="auto"/>
        <w:rPr>
          <w:sz w:val="18"/>
          <w:highlight w:val="yellow"/>
        </w:rPr>
      </w:pPr>
      <w:r w:rsidRPr="0076100E">
        <w:rPr>
          <w:rStyle w:val="FootnoteReference"/>
          <w:sz w:val="18"/>
        </w:rPr>
        <w:footnoteRef/>
      </w:r>
      <w:r w:rsidRPr="0076100E">
        <w:rPr>
          <w:sz w:val="18"/>
        </w:rPr>
        <w:t xml:space="preserve"> See Barrier to care analysis and planning tool, and Service gap analysis and planning tool, annex 5</w:t>
      </w:r>
      <w:r w:rsidRPr="0076100E">
        <w:rPr>
          <w:sz w:val="18"/>
          <w:szCs w:val="18"/>
        </w:rPr>
        <w:t>.</w:t>
      </w:r>
    </w:p>
  </w:footnote>
  <w:footnote w:id="96">
    <w:p w:rsidRPr="00214591" w:rsidR="00CE4BC6" w:rsidP="00CE4BC6" w:rsidRDefault="00CE4BC6" w14:paraId="7E28FEE0" w14:textId="1ECECFB9">
      <w:pPr>
        <w:spacing w:line="240" w:lineRule="auto"/>
        <w:jc w:val="both"/>
        <w:rPr>
          <w:sz w:val="18"/>
        </w:rPr>
      </w:pPr>
      <w:r w:rsidRPr="00214591">
        <w:rPr>
          <w:rStyle w:val="FootnoteReference"/>
          <w:sz w:val="18"/>
        </w:rPr>
        <w:footnoteRef/>
      </w:r>
      <w:r w:rsidRPr="00214591">
        <w:rPr>
          <w:sz w:val="18"/>
        </w:rPr>
        <w:t xml:space="preserve"> If there are </w:t>
      </w:r>
      <w:r w:rsidR="00D15C40">
        <w:rPr>
          <w:sz w:val="20"/>
          <w:szCs w:val="20"/>
        </w:rPr>
        <w:t>inter-agency</w:t>
      </w:r>
      <w:r w:rsidRPr="00214591">
        <w:rPr>
          <w:sz w:val="18"/>
        </w:rPr>
        <w:t xml:space="preserve"> digital case management systems in place that allow for digital referral, indicate here a method for those users and indicate the method to be used by those not using it.</w:t>
      </w:r>
    </w:p>
  </w:footnote>
  <w:footnote w:id="97">
    <w:p w:rsidRPr="009D526B" w:rsidR="00CE4BC6" w:rsidP="00E928D1" w:rsidRDefault="00CE4BC6" w14:paraId="7E28FEE1" w14:textId="699D3B9F">
      <w:pPr>
        <w:rPr>
          <w:color w:val="000000"/>
          <w:sz w:val="18"/>
        </w:rPr>
      </w:pPr>
      <w:r w:rsidRPr="00E928D1">
        <w:rPr>
          <w:rStyle w:val="FootnoteReference"/>
          <w:sz w:val="18"/>
        </w:rPr>
        <w:footnoteRef/>
      </w:r>
      <w:r w:rsidRPr="00E928D1">
        <w:rPr>
          <w:sz w:val="18"/>
        </w:rPr>
        <w:t xml:space="preserve"> See </w:t>
      </w:r>
      <w:hyperlink w:history="1" r:id="rId68">
        <w:r w:rsidR="00925FEC">
          <w:rPr>
            <w:rStyle w:val="Hyperlink"/>
            <w:sz w:val="18"/>
          </w:rPr>
          <w:t>Inter-Agency Minimum Standards for GBV in Emergencies (2019)</w:t>
        </w:r>
      </w:hyperlink>
      <w:r w:rsidR="00E928D1">
        <w:rPr>
          <w:color w:val="000000"/>
          <w:sz w:val="18"/>
        </w:rPr>
        <w:t xml:space="preserve">, </w:t>
      </w:r>
      <w:r w:rsidR="00925FEC">
        <w:rPr>
          <w:sz w:val="18"/>
        </w:rPr>
        <w:t>s</w:t>
      </w:r>
      <w:r w:rsidRPr="00E928D1" w:rsidR="00630F62">
        <w:rPr>
          <w:sz w:val="18"/>
        </w:rPr>
        <w:t xml:space="preserve">tandard </w:t>
      </w:r>
      <w:r w:rsidRPr="00E928D1">
        <w:rPr>
          <w:sz w:val="18"/>
        </w:rPr>
        <w:t>7</w:t>
      </w:r>
      <w:r w:rsidR="004E6743">
        <w:rPr>
          <w:sz w:val="18"/>
          <w:szCs w:val="18"/>
        </w:rPr>
        <w:t>:</w:t>
      </w:r>
      <w:r w:rsidRPr="00630569">
        <w:rPr>
          <w:sz w:val="18"/>
          <w:szCs w:val="18"/>
        </w:rPr>
        <w:t xml:space="preserve"> </w:t>
      </w:r>
      <w:r w:rsidRPr="004E6743" w:rsidR="004E6743">
        <w:rPr>
          <w:sz w:val="18"/>
          <w:szCs w:val="18"/>
        </w:rPr>
        <w:t>Referral</w:t>
      </w:r>
      <w:r w:rsidRPr="00E928D1" w:rsidR="004E6743">
        <w:rPr>
          <w:sz w:val="18"/>
        </w:rPr>
        <w:t xml:space="preserve"> </w:t>
      </w:r>
      <w:r w:rsidRPr="00E928D1" w:rsidR="00630F62">
        <w:rPr>
          <w:sz w:val="18"/>
        </w:rPr>
        <w:t>systems</w:t>
      </w:r>
      <w:r w:rsidRPr="00E928D1" w:rsidR="00F22EA0">
        <w:rPr>
          <w:sz w:val="18"/>
        </w:rPr>
        <w:t>.</w:t>
      </w:r>
    </w:p>
  </w:footnote>
  <w:footnote w:id="98">
    <w:p w:rsidRPr="009D526B" w:rsidR="00CE4BC6" w:rsidP="009D526B" w:rsidRDefault="00CE4BC6" w14:paraId="7E28FEE2" w14:textId="3B022E67">
      <w:pPr>
        <w:rPr>
          <w:color w:val="000000"/>
          <w:sz w:val="18"/>
        </w:rPr>
      </w:pPr>
      <w:r w:rsidRPr="009D526B">
        <w:rPr>
          <w:rStyle w:val="FootnoteReference"/>
          <w:sz w:val="18"/>
        </w:rPr>
        <w:footnoteRef/>
      </w:r>
      <w:r w:rsidRPr="009D526B">
        <w:rPr>
          <w:sz w:val="18"/>
        </w:rPr>
        <w:t xml:space="preserve"> This includes first-line support/psychological first aid, the provision of emergency contraception, </w:t>
      </w:r>
      <w:r w:rsidRPr="009D526B" w:rsidR="00F8753E">
        <w:rPr>
          <w:sz w:val="18"/>
        </w:rPr>
        <w:br/>
      </w:r>
      <w:r w:rsidRPr="009D526B">
        <w:rPr>
          <w:sz w:val="18"/>
        </w:rPr>
        <w:t>HIV post-exposure prophylaxis, treatment of sexually transmitted infections, Hepatitis B immunization, identification and care of survivors of intimate partner violence (including assessing the risk of continued and more serious violence, treatment of injuries and other physical care needs</w:t>
      </w:r>
      <w:r w:rsidRPr="00630569">
        <w:rPr>
          <w:sz w:val="18"/>
          <w:szCs w:val="18"/>
        </w:rPr>
        <w:t>)</w:t>
      </w:r>
      <w:r w:rsidRPr="009D526B">
        <w:rPr>
          <w:sz w:val="18"/>
        </w:rPr>
        <w:t xml:space="preserve"> and assessment and management of mental health conditions such as depression, suicidal thoughts or attempts and post-traumatic stress disorder. Health</w:t>
      </w:r>
      <w:r w:rsidRPr="00630569" w:rsidR="00890B16">
        <w:rPr>
          <w:sz w:val="18"/>
          <w:szCs w:val="18"/>
        </w:rPr>
        <w:t>-</w:t>
      </w:r>
      <w:r w:rsidRPr="009D526B">
        <w:rPr>
          <w:sz w:val="18"/>
        </w:rPr>
        <w:t xml:space="preserve">care providers and messaging should include menstrual hygiene management. See </w:t>
      </w:r>
      <w:hyperlink w:history="1" r:id="rId69">
        <w:r w:rsidR="00925FEC">
          <w:rPr>
            <w:rStyle w:val="Hyperlink"/>
            <w:sz w:val="18"/>
          </w:rPr>
          <w:t>Inter-Agency Minimum Standards for GBV in Emergencies (2019)</w:t>
        </w:r>
      </w:hyperlink>
      <w:r w:rsidRPr="009D526B">
        <w:rPr>
          <w:sz w:val="18"/>
        </w:rPr>
        <w:t>, p. 29.</w:t>
      </w:r>
    </w:p>
  </w:footnote>
  <w:footnote w:id="99">
    <w:p w:rsidRPr="009D526B" w:rsidR="00CE4BC6" w:rsidP="009D526B" w:rsidRDefault="00CE4BC6" w14:paraId="7E28FEE3" w14:textId="4F84BDC6">
      <w:pPr>
        <w:rPr>
          <w:color w:val="000000"/>
          <w:sz w:val="18"/>
        </w:rPr>
      </w:pPr>
      <w:r w:rsidRPr="009D526B">
        <w:rPr>
          <w:rStyle w:val="FootnoteReference"/>
          <w:sz w:val="18"/>
        </w:rPr>
        <w:footnoteRef/>
      </w:r>
      <w:r w:rsidRPr="009D526B">
        <w:rPr>
          <w:color w:val="000000"/>
          <w:sz w:val="18"/>
        </w:rPr>
        <w:t xml:space="preserve"> </w:t>
      </w:r>
      <w:r w:rsidRPr="009D526B">
        <w:rPr>
          <w:sz w:val="18"/>
        </w:rPr>
        <w:t>For more information, s</w:t>
      </w:r>
      <w:r w:rsidRPr="009D526B">
        <w:rPr>
          <w:color w:val="000000"/>
          <w:sz w:val="18"/>
        </w:rPr>
        <w:t xml:space="preserve">ee </w:t>
      </w:r>
      <w:hyperlink w:history="1" r:id="rId70">
        <w:r w:rsidR="00925FEC">
          <w:rPr>
            <w:rStyle w:val="Hyperlink"/>
            <w:sz w:val="18"/>
          </w:rPr>
          <w:t>Inter-Agency Minimum Standards for GBV in Emergencies (2019)</w:t>
        </w:r>
      </w:hyperlink>
      <w:r w:rsidRPr="009D526B">
        <w:rPr>
          <w:color w:val="000000"/>
          <w:sz w:val="18"/>
        </w:rPr>
        <w:t>, p. 36.</w:t>
      </w:r>
    </w:p>
  </w:footnote>
  <w:footnote w:id="100">
    <w:p w:rsidRPr="00624B43" w:rsidR="00CE4BC6" w:rsidP="00CE4BC6" w:rsidRDefault="00CE4BC6" w14:paraId="7E28FEE4" w14:textId="10329BCC">
      <w:pPr>
        <w:spacing w:line="240" w:lineRule="auto"/>
        <w:jc w:val="both"/>
        <w:rPr>
          <w:sz w:val="18"/>
        </w:rPr>
      </w:pPr>
      <w:r w:rsidRPr="009D526B">
        <w:rPr>
          <w:rStyle w:val="FootnoteReference"/>
          <w:sz w:val="18"/>
        </w:rPr>
        <w:footnoteRef/>
      </w:r>
      <w:r w:rsidR="00624B43">
        <w:rPr>
          <w:sz w:val="18"/>
        </w:rPr>
        <w:t xml:space="preserve"> </w:t>
      </w:r>
      <w:hyperlink r:id="rId71">
        <w:r w:rsidR="00E450E9">
          <w:rPr>
            <w:color w:val="0000FF"/>
            <w:sz w:val="18"/>
            <w:u w:val="single"/>
          </w:rPr>
          <w:t>Inter-Agency GBV case management guidelines (2017)</w:t>
        </w:r>
      </w:hyperlink>
      <w:r w:rsidRPr="00630569" w:rsidR="00CE2830">
        <w:rPr>
          <w:sz w:val="18"/>
          <w:szCs w:val="18"/>
        </w:rPr>
        <w:t xml:space="preserve">. </w:t>
      </w:r>
    </w:p>
  </w:footnote>
  <w:footnote w:id="101">
    <w:p w:rsidRPr="00624B43" w:rsidR="00CE4BC6" w:rsidP="00CE4BC6" w:rsidRDefault="00CE4BC6" w14:paraId="7E28FEE5" w14:textId="4E4953B4">
      <w:pPr>
        <w:spacing w:line="240" w:lineRule="auto"/>
        <w:rPr>
          <w:sz w:val="18"/>
        </w:rPr>
      </w:pPr>
      <w:r w:rsidRPr="00624B43">
        <w:rPr>
          <w:rStyle w:val="FootnoteReference"/>
          <w:sz w:val="18"/>
        </w:rPr>
        <w:footnoteRef/>
      </w:r>
      <w:r w:rsidRPr="00624B43">
        <w:rPr>
          <w:sz w:val="18"/>
        </w:rPr>
        <w:t xml:space="preserve"> </w:t>
      </w:r>
      <w:r w:rsidR="00624B43">
        <w:rPr>
          <w:sz w:val="18"/>
        </w:rPr>
        <w:t>Ibid</w:t>
      </w:r>
      <w:r w:rsidRPr="00624B43">
        <w:rPr>
          <w:sz w:val="18"/>
        </w:rPr>
        <w:t xml:space="preserve">; see also </w:t>
      </w:r>
      <w:hyperlink w:history="1" r:id="rId72">
        <w:r w:rsidR="00E450E9">
          <w:rPr>
            <w:rStyle w:val="Hyperlink"/>
            <w:sz w:val="18"/>
          </w:rPr>
          <w:t>Inter-Agency Minimum Standards for GBV in Emergencies (2019)</w:t>
        </w:r>
      </w:hyperlink>
      <w:r w:rsidRPr="00624B43">
        <w:rPr>
          <w:sz w:val="18"/>
        </w:rPr>
        <w:t xml:space="preserve">. </w:t>
      </w:r>
    </w:p>
  </w:footnote>
  <w:footnote w:id="102">
    <w:p w:rsidRPr="00D967F6" w:rsidR="00D967F6" w:rsidRDefault="00D967F6" w14:paraId="1CCC44F3" w14:textId="4A3621E7">
      <w:pPr>
        <w:pStyle w:val="FootnoteText"/>
        <w:rPr>
          <w:lang w:val="en-GB"/>
        </w:rPr>
      </w:pPr>
      <w:r>
        <w:rPr>
          <w:rStyle w:val="FootnoteReference"/>
        </w:rPr>
        <w:footnoteRef/>
      </w:r>
      <w:r>
        <w:t xml:space="preserve"> </w:t>
      </w:r>
      <w:r w:rsidRPr="00624B43">
        <w:rPr>
          <w:sz w:val="18"/>
        </w:rPr>
        <w:t xml:space="preserve">For additional technical information on remote case management, see, for example GBVIMS. </w:t>
      </w:r>
      <w:hyperlink r:id="rId73">
        <w:r w:rsidRPr="00624B43">
          <w:rPr>
            <w:color w:val="0000FF"/>
            <w:sz w:val="18"/>
            <w:u w:val="single"/>
          </w:rPr>
          <w:t>COVID-19 guidance on remote GBV services focusing on phone-based case management and hotlines</w:t>
        </w:r>
      </w:hyperlink>
      <w:r>
        <w:rPr>
          <w:color w:val="0000FF"/>
          <w:sz w:val="18"/>
          <w:szCs w:val="18"/>
          <w:u w:val="single"/>
        </w:rPr>
        <w:t xml:space="preserve"> </w:t>
      </w:r>
      <w:r w:rsidRPr="00E450E9">
        <w:rPr>
          <w:sz w:val="18"/>
          <w:szCs w:val="18"/>
        </w:rPr>
        <w:t>(accessed 27 June 2023).</w:t>
      </w:r>
    </w:p>
  </w:footnote>
  <w:footnote w:id="103">
    <w:p w:rsidRPr="00202309" w:rsidR="00CE4BC6" w:rsidP="00CE4BC6" w:rsidRDefault="00CE4BC6" w14:paraId="7E28FEE8" w14:textId="57ED9C65">
      <w:pPr>
        <w:spacing w:line="240" w:lineRule="auto"/>
        <w:rPr>
          <w:sz w:val="18"/>
        </w:rPr>
      </w:pPr>
      <w:r w:rsidRPr="00202309">
        <w:rPr>
          <w:rStyle w:val="FootnoteReference"/>
          <w:sz w:val="18"/>
        </w:rPr>
        <w:footnoteRef/>
      </w:r>
      <w:r w:rsidRPr="00202309">
        <w:rPr>
          <w:sz w:val="18"/>
        </w:rPr>
        <w:t xml:space="preserve"> GBV </w:t>
      </w:r>
      <w:proofErr w:type="spellStart"/>
      <w:r w:rsidRPr="00202309">
        <w:rPr>
          <w:sz w:val="18"/>
        </w:rPr>
        <w:t>AoR.</w:t>
      </w:r>
      <w:proofErr w:type="spellEnd"/>
      <w:r w:rsidRPr="00202309">
        <w:rPr>
          <w:sz w:val="18"/>
        </w:rPr>
        <w:t xml:space="preserve"> </w:t>
      </w:r>
      <w:r w:rsidRPr="00202309">
        <w:rPr>
          <w:color w:val="0000FF"/>
          <w:sz w:val="18"/>
          <w:u w:val="single"/>
        </w:rPr>
        <w:t xml:space="preserve">COVID-19 </w:t>
      </w:r>
      <w:r w:rsidRPr="00202309" w:rsidR="006C06C8">
        <w:rPr>
          <w:color w:val="0000FF"/>
          <w:sz w:val="18"/>
          <w:u w:val="single"/>
        </w:rPr>
        <w:t xml:space="preserve">guidance on remote </w:t>
      </w:r>
      <w:r w:rsidRPr="00202309" w:rsidR="0055777E">
        <w:rPr>
          <w:color w:val="0000FF"/>
          <w:sz w:val="18"/>
          <w:u w:val="single"/>
        </w:rPr>
        <w:t xml:space="preserve">GBV </w:t>
      </w:r>
      <w:r w:rsidRPr="00202309" w:rsidR="006C06C8">
        <w:rPr>
          <w:color w:val="0000FF"/>
          <w:sz w:val="18"/>
          <w:u w:val="single"/>
        </w:rPr>
        <w:t xml:space="preserve">services focusing on phone-based case management </w:t>
      </w:r>
      <w:r w:rsidRPr="00202309">
        <w:rPr>
          <w:color w:val="0000FF"/>
          <w:sz w:val="18"/>
          <w:u w:val="single"/>
        </w:rPr>
        <w:t xml:space="preserve">and </w:t>
      </w:r>
      <w:r w:rsidRPr="00202309" w:rsidR="006C06C8">
        <w:rPr>
          <w:color w:val="0000FF"/>
          <w:sz w:val="18"/>
          <w:u w:val="single"/>
        </w:rPr>
        <w:t>h</w:t>
      </w:r>
      <w:r w:rsidRPr="00202309">
        <w:rPr>
          <w:color w:val="0000FF"/>
          <w:sz w:val="18"/>
          <w:u w:val="single"/>
        </w:rPr>
        <w:t>otlines</w:t>
      </w:r>
      <w:r w:rsidRPr="00202309">
        <w:rPr>
          <w:sz w:val="18"/>
        </w:rPr>
        <w:t xml:space="preserve"> (2021</w:t>
      </w:r>
      <w:r w:rsidRPr="00630569">
        <w:rPr>
          <w:sz w:val="18"/>
          <w:szCs w:val="18"/>
        </w:rPr>
        <w:t>)</w:t>
      </w:r>
      <w:r w:rsidR="00F13E7D">
        <w:rPr>
          <w:sz w:val="18"/>
          <w:szCs w:val="18"/>
        </w:rPr>
        <w:t xml:space="preserve"> </w:t>
      </w:r>
      <w:r w:rsidRPr="00F13E7D" w:rsidR="00F13E7D">
        <w:rPr>
          <w:sz w:val="18"/>
          <w:szCs w:val="18"/>
        </w:rPr>
        <w:t>(accessed 27 June 2023)</w:t>
      </w:r>
      <w:r w:rsidRPr="00630569">
        <w:rPr>
          <w:sz w:val="18"/>
          <w:szCs w:val="18"/>
        </w:rPr>
        <w:t xml:space="preserve">. </w:t>
      </w:r>
    </w:p>
  </w:footnote>
  <w:footnote w:id="104">
    <w:p w:rsidRPr="00555936" w:rsidR="00CE4BC6" w:rsidP="00CE4BC6" w:rsidRDefault="00CE4BC6" w14:paraId="7E28FEE9" w14:textId="6A449928">
      <w:pPr>
        <w:spacing w:line="240" w:lineRule="auto"/>
        <w:rPr>
          <w:sz w:val="18"/>
        </w:rPr>
      </w:pPr>
      <w:r w:rsidRPr="00202309">
        <w:rPr>
          <w:rStyle w:val="FootnoteReference"/>
          <w:sz w:val="18"/>
        </w:rPr>
        <w:footnoteRef/>
      </w:r>
      <w:r w:rsidRPr="00202309" w:rsidR="00CE2830">
        <w:rPr>
          <w:sz w:val="18"/>
        </w:rPr>
        <w:t xml:space="preserve"> For a draft rapid assessment tool see GBV AOR</w:t>
      </w:r>
      <w:r w:rsidRPr="00630569" w:rsidR="002412F9">
        <w:rPr>
          <w:sz w:val="18"/>
          <w:szCs w:val="18"/>
        </w:rPr>
        <w:t>,</w:t>
      </w:r>
      <w:r w:rsidRPr="00202309" w:rsidR="002412F9">
        <w:rPr>
          <w:sz w:val="18"/>
        </w:rPr>
        <w:t xml:space="preserve"> </w:t>
      </w:r>
      <w:hyperlink r:id="rId74">
        <w:r w:rsidRPr="00202309" w:rsidR="00061E6D">
          <w:rPr>
            <w:color w:val="0000FF"/>
            <w:sz w:val="18"/>
            <w:u w:val="single"/>
          </w:rPr>
          <w:t>rapid assessment remote service mapping tool</w:t>
        </w:r>
        <w:r w:rsidRPr="00202309" w:rsidR="00061E6D">
          <w:rPr>
            <w:color w:val="1155CC"/>
            <w:sz w:val="18"/>
            <w:u w:val="single"/>
          </w:rPr>
          <w:t xml:space="preserve"> </w:t>
        </w:r>
      </w:hyperlink>
      <w:r w:rsidRPr="00202309" w:rsidR="00CE2830">
        <w:rPr>
          <w:sz w:val="18"/>
        </w:rPr>
        <w:t xml:space="preserve">(2020) and related </w:t>
      </w:r>
      <w:hyperlink r:id="rId75">
        <w:r w:rsidRPr="00202309" w:rsidR="00CE2830">
          <w:rPr>
            <w:color w:val="0000FF"/>
            <w:sz w:val="18"/>
            <w:u w:val="single"/>
          </w:rPr>
          <w:t>webinar</w:t>
        </w:r>
      </w:hyperlink>
      <w:r w:rsidR="00F13E7D">
        <w:rPr>
          <w:color w:val="0000FF"/>
          <w:sz w:val="18"/>
          <w:szCs w:val="18"/>
          <w:u w:val="single"/>
        </w:rPr>
        <w:t xml:space="preserve"> </w:t>
      </w:r>
      <w:r w:rsidRPr="00555936" w:rsidR="00F13E7D">
        <w:rPr>
          <w:sz w:val="18"/>
          <w:szCs w:val="18"/>
          <w:u w:val="single"/>
        </w:rPr>
        <w:t>(accessed 27 June 2023)</w:t>
      </w:r>
      <w:r w:rsidRPr="00202309" w:rsidR="00CE2830">
        <w:rPr>
          <w:sz w:val="18"/>
          <w:szCs w:val="18"/>
        </w:rPr>
        <w:t>.</w:t>
      </w:r>
    </w:p>
  </w:footnote>
  <w:footnote w:id="105">
    <w:p w:rsidRPr="007D6B04" w:rsidR="00CE4BC6" w:rsidP="007D6B04" w:rsidRDefault="00CE4BC6" w14:paraId="7E28FEEA" w14:textId="4BE1CF72">
      <w:r w:rsidRPr="00555936">
        <w:rPr>
          <w:rStyle w:val="FootnoteReference"/>
          <w:sz w:val="18"/>
        </w:rPr>
        <w:footnoteRef/>
      </w:r>
      <w:r w:rsidRPr="00555936">
        <w:rPr>
          <w:sz w:val="18"/>
        </w:rPr>
        <w:t xml:space="preserve"> </w:t>
      </w:r>
      <w:sdt>
        <w:sdtPr>
          <w:rPr>
            <w:sz w:val="18"/>
          </w:rPr>
          <w:tag w:val="goog_rdk_102"/>
          <w:id w:val="-353952317"/>
        </w:sdtPr>
        <w:sdtEndPr/>
        <w:sdtContent>
          <w:hyperlink w:history="1" r:id="rId76">
            <w:r w:rsidR="0031608B">
              <w:rPr>
                <w:rStyle w:val="Hyperlink"/>
                <w:sz w:val="18"/>
              </w:rPr>
              <w:t>Inter-Agency GBV Case Management Guidelines (2017)</w:t>
            </w:r>
          </w:hyperlink>
        </w:sdtContent>
      </w:sdt>
      <w:r w:rsidRPr="00555936">
        <w:rPr>
          <w:sz w:val="18"/>
        </w:rPr>
        <w:t>, p. 243.</w:t>
      </w:r>
    </w:p>
  </w:footnote>
  <w:footnote w:id="106">
    <w:p w:rsidRPr="00555936" w:rsidR="00CE4BC6" w:rsidP="00CE4BC6" w:rsidRDefault="00CE4BC6" w14:paraId="7E28FEEB" w14:textId="67143A09">
      <w:pPr>
        <w:spacing w:line="240" w:lineRule="auto"/>
        <w:jc w:val="both"/>
        <w:rPr>
          <w:sz w:val="18"/>
        </w:rPr>
      </w:pPr>
      <w:r w:rsidRPr="00555936">
        <w:rPr>
          <w:rStyle w:val="FootnoteReference"/>
          <w:sz w:val="18"/>
        </w:rPr>
        <w:footnoteRef/>
      </w:r>
      <w:r w:rsidR="007D6B04">
        <w:rPr>
          <w:sz w:val="18"/>
        </w:rPr>
        <w:t xml:space="preserve"> </w:t>
      </w:r>
      <w:r w:rsidR="00555936">
        <w:rPr>
          <w:sz w:val="18"/>
        </w:rPr>
        <w:t>Ibid</w:t>
      </w:r>
      <w:r w:rsidRPr="00555936">
        <w:rPr>
          <w:sz w:val="18"/>
        </w:rPr>
        <w:t>, p. 84.</w:t>
      </w:r>
    </w:p>
  </w:footnote>
  <w:footnote w:id="107">
    <w:p w:rsidRPr="007D6B04" w:rsidR="00CE4BC6" w:rsidP="00CE4BC6" w:rsidRDefault="00CE4BC6" w14:paraId="7E28FEEC" w14:textId="07F01E8E">
      <w:pPr>
        <w:spacing w:line="240" w:lineRule="auto"/>
        <w:jc w:val="both"/>
        <w:rPr>
          <w:sz w:val="18"/>
        </w:rPr>
      </w:pPr>
      <w:r w:rsidRPr="00555936">
        <w:rPr>
          <w:rStyle w:val="FootnoteReference"/>
          <w:sz w:val="18"/>
        </w:rPr>
        <w:footnoteRef/>
      </w:r>
      <w:r w:rsidRPr="00555936">
        <w:rPr>
          <w:sz w:val="18"/>
        </w:rPr>
        <w:t xml:space="preserve"> </w:t>
      </w:r>
      <w:r w:rsidRPr="00630569" w:rsidR="006C3A53">
        <w:rPr>
          <w:sz w:val="18"/>
          <w:szCs w:val="18"/>
        </w:rPr>
        <w:t>Include here</w:t>
      </w:r>
      <w:r w:rsidRPr="00555936" w:rsidR="006C3A53">
        <w:rPr>
          <w:sz w:val="18"/>
        </w:rPr>
        <w:t xml:space="preserve"> </w:t>
      </w:r>
      <w:r w:rsidR="00FB37D3">
        <w:rPr>
          <w:sz w:val="18"/>
        </w:rPr>
        <w:t>B</w:t>
      </w:r>
      <w:r w:rsidRPr="00555936" w:rsidR="001174C2">
        <w:rPr>
          <w:sz w:val="18"/>
        </w:rPr>
        <w:t xml:space="preserve">est </w:t>
      </w:r>
      <w:r w:rsidR="00FB37D3">
        <w:rPr>
          <w:sz w:val="18"/>
        </w:rPr>
        <w:t>I</w:t>
      </w:r>
      <w:r w:rsidRPr="00555936" w:rsidR="001174C2">
        <w:rPr>
          <w:sz w:val="18"/>
        </w:rPr>
        <w:t>nterest</w:t>
      </w:r>
      <w:r w:rsidR="00555936">
        <w:rPr>
          <w:sz w:val="18"/>
        </w:rPr>
        <w:t>s</w:t>
      </w:r>
      <w:r w:rsidRPr="00555936" w:rsidR="001174C2">
        <w:rPr>
          <w:sz w:val="18"/>
        </w:rPr>
        <w:t xml:space="preserve"> </w:t>
      </w:r>
      <w:r w:rsidR="00555936">
        <w:rPr>
          <w:sz w:val="18"/>
        </w:rPr>
        <w:t>procedure</w:t>
      </w:r>
      <w:r w:rsidR="007D6B04">
        <w:rPr>
          <w:sz w:val="18"/>
        </w:rPr>
        <w:t xml:space="preserve">, </w:t>
      </w:r>
      <w:r w:rsidRPr="00630569" w:rsidR="006C3A53">
        <w:rPr>
          <w:sz w:val="18"/>
          <w:szCs w:val="18"/>
        </w:rPr>
        <w:t xml:space="preserve">if these </w:t>
      </w:r>
      <w:r w:rsidRPr="007D6B04">
        <w:rPr>
          <w:sz w:val="18"/>
        </w:rPr>
        <w:t>are relevant to the context.</w:t>
      </w:r>
    </w:p>
  </w:footnote>
  <w:footnote w:id="108">
    <w:p w:rsidRPr="007D6B04" w:rsidR="00CE4BC6" w:rsidP="00CE4BC6" w:rsidRDefault="00CE4BC6" w14:paraId="7E28FEED" w14:textId="77777777">
      <w:pPr>
        <w:spacing w:line="240" w:lineRule="auto"/>
        <w:rPr>
          <w:sz w:val="18"/>
        </w:rPr>
      </w:pPr>
      <w:r w:rsidRPr="007D6B04">
        <w:rPr>
          <w:rStyle w:val="FootnoteReference"/>
          <w:sz w:val="18"/>
        </w:rPr>
        <w:footnoteRef/>
      </w:r>
      <w:r w:rsidRPr="007D6B04">
        <w:rPr>
          <w:sz w:val="18"/>
        </w:rPr>
        <w:t xml:space="preserve"> The terms women-friendly space and adolescent girls’ safe spaces also refer to WGSS. </w:t>
      </w:r>
    </w:p>
  </w:footnote>
  <w:footnote w:id="109">
    <w:p w:rsidRPr="007D6B04" w:rsidR="00CE4BC6" w:rsidP="00CE4BC6" w:rsidRDefault="00CE4BC6" w14:paraId="7E28FEEE" w14:textId="3CBDA606">
      <w:pPr>
        <w:spacing w:line="240" w:lineRule="auto"/>
        <w:rPr>
          <w:sz w:val="18"/>
        </w:rPr>
      </w:pPr>
      <w:r w:rsidRPr="007D6B04">
        <w:rPr>
          <w:rStyle w:val="FootnoteReference"/>
          <w:sz w:val="18"/>
        </w:rPr>
        <w:footnoteRef/>
      </w:r>
      <w:r w:rsidRPr="007D6B04">
        <w:rPr>
          <w:sz w:val="18"/>
        </w:rPr>
        <w:t xml:space="preserve"> A “safe space” is a women-and-girls-only space; this is important because public spaces in most cultures are inhabited largely by men. Safe spaces provide a critical space where women and girls can be free from harm and harassment and </w:t>
      </w:r>
      <w:r w:rsidRPr="007D6B04" w:rsidR="000228CE">
        <w:rPr>
          <w:sz w:val="18"/>
        </w:rPr>
        <w:t xml:space="preserve">can </w:t>
      </w:r>
      <w:r w:rsidRPr="007D6B04">
        <w:rPr>
          <w:sz w:val="18"/>
        </w:rPr>
        <w:t>access opportunities to exercise their rights and promote their own safety and decision-making.</w:t>
      </w:r>
    </w:p>
    <w:bookmarkStart w:name="_heading=h.4i7ojhp" w:colFirst="0" w:colLast="0" w:id="105"/>
    <w:bookmarkEnd w:id="105"/>
  </w:footnote>
  <w:footnote w:id="110">
    <w:p w:rsidRPr="00675A54" w:rsidR="00CE4BC6" w:rsidP="00CE4BC6" w:rsidRDefault="00CE4BC6" w14:paraId="7E28FEEF" w14:textId="5444FAA8">
      <w:pPr>
        <w:spacing w:line="240" w:lineRule="auto"/>
        <w:rPr>
          <w:sz w:val="18"/>
        </w:rPr>
      </w:pPr>
      <w:r w:rsidRPr="007D6B04">
        <w:rPr>
          <w:rStyle w:val="FootnoteReference"/>
          <w:sz w:val="18"/>
        </w:rPr>
        <w:footnoteRef/>
      </w:r>
      <w:r w:rsidRPr="007D6B04" w:rsidR="00CE2830">
        <w:rPr>
          <w:sz w:val="18"/>
        </w:rPr>
        <w:t xml:space="preserve"> IRC and International Medical Corps (2019). </w:t>
      </w:r>
      <w:hyperlink r:id="rId77">
        <w:r w:rsidRPr="007D6B04" w:rsidR="00CE2830">
          <w:rPr>
            <w:color w:val="0000FF"/>
            <w:sz w:val="18"/>
            <w:u w:val="single"/>
          </w:rPr>
          <w:t xml:space="preserve">Advancing </w:t>
        </w:r>
        <w:r w:rsidRPr="007D6B04" w:rsidR="000228CE">
          <w:rPr>
            <w:color w:val="0000FF"/>
            <w:sz w:val="18"/>
            <w:u w:val="single"/>
          </w:rPr>
          <w:t>women’s and girls’ empowerment in humanitarian settings: a global toolkit for women’s and girls’ safe spaces</w:t>
        </w:r>
      </w:hyperlink>
      <w:r w:rsidR="00B1648D">
        <w:rPr>
          <w:color w:val="0000FF"/>
          <w:sz w:val="18"/>
          <w:szCs w:val="18"/>
          <w:u w:val="single"/>
        </w:rPr>
        <w:t xml:space="preserve"> </w:t>
      </w:r>
      <w:r w:rsidRPr="00923E5A" w:rsidR="00B1648D">
        <w:rPr>
          <w:sz w:val="18"/>
          <w:szCs w:val="18"/>
        </w:rPr>
        <w:t>(accessed 27 June 2023</w:t>
      </w:r>
      <w:r w:rsidRPr="007D6B04" w:rsidR="00B1648D">
        <w:rPr>
          <w:sz w:val="18"/>
          <w:szCs w:val="18"/>
          <w:u w:val="single"/>
        </w:rPr>
        <w:t>)</w:t>
      </w:r>
      <w:r w:rsidRPr="007D6B04" w:rsidR="00CE2830">
        <w:rPr>
          <w:sz w:val="18"/>
          <w:szCs w:val="18"/>
        </w:rPr>
        <w:t>.</w:t>
      </w:r>
    </w:p>
  </w:footnote>
  <w:footnote w:id="111">
    <w:p w:rsidRPr="00675A54" w:rsidR="00CE4BC6" w:rsidP="00CE4BC6" w:rsidRDefault="00CE4BC6" w14:paraId="7E28FEF0" w14:textId="77777777">
      <w:pPr>
        <w:spacing w:line="240" w:lineRule="auto"/>
        <w:rPr>
          <w:sz w:val="18"/>
        </w:rPr>
      </w:pPr>
      <w:r w:rsidRPr="00675A54">
        <w:rPr>
          <w:rStyle w:val="FootnoteReference"/>
          <w:sz w:val="18"/>
        </w:rPr>
        <w:footnoteRef/>
      </w:r>
      <w:r w:rsidRPr="00675A54">
        <w:rPr>
          <w:sz w:val="18"/>
        </w:rPr>
        <w:t xml:space="preserve"> Ibid.</w:t>
      </w:r>
    </w:p>
  </w:footnote>
  <w:footnote w:id="112">
    <w:p w:rsidRPr="002116FB" w:rsidR="002116FB" w:rsidRDefault="002116FB" w14:paraId="26E469C1" w14:textId="72D32BAD">
      <w:pPr>
        <w:pStyle w:val="FootnoteText"/>
      </w:pPr>
      <w:r>
        <w:rPr>
          <w:rStyle w:val="FootnoteReference"/>
        </w:rPr>
        <w:footnoteRef/>
      </w:r>
      <w:r>
        <w:t xml:space="preserve"> </w:t>
      </w:r>
      <w:r w:rsidRPr="00675A54">
        <w:rPr>
          <w:color w:val="000000"/>
          <w:sz w:val="18"/>
        </w:rPr>
        <w:t xml:space="preserve">See, for example </w:t>
      </w:r>
      <w:hyperlink r:id="rId78">
        <w:r w:rsidRPr="00675A54">
          <w:rPr>
            <w:color w:val="0000FF"/>
            <w:sz w:val="18"/>
            <w:u w:val="single"/>
          </w:rPr>
          <w:t>Handbook on gender-responsive police services for women and girls subject to violence</w:t>
        </w:r>
      </w:hyperlink>
      <w:r w:rsidRPr="00675A54">
        <w:rPr>
          <w:color w:val="000000"/>
          <w:sz w:val="18"/>
          <w:highlight w:val="white"/>
        </w:rPr>
        <w:t xml:space="preserve"> and</w:t>
      </w:r>
      <w:r w:rsidRPr="00675A54">
        <w:rPr>
          <w:color w:val="000000"/>
          <w:sz w:val="18"/>
        </w:rPr>
        <w:t xml:space="preserve"> </w:t>
      </w:r>
      <w:hyperlink r:id="rId79">
        <w:r w:rsidRPr="00675A54">
          <w:rPr>
            <w:color w:val="0000FF"/>
            <w:sz w:val="18"/>
            <w:u w:val="single"/>
          </w:rPr>
          <w:t>From evidence to action: Tackling gender-based violence against migrant women and girls</w:t>
        </w:r>
      </w:hyperlink>
      <w:r>
        <w:rPr>
          <w:color w:val="0000FF"/>
          <w:sz w:val="18"/>
          <w:szCs w:val="18"/>
          <w:u w:val="single"/>
        </w:rPr>
        <w:t xml:space="preserve"> </w:t>
      </w:r>
      <w:r w:rsidRPr="00923E5A">
        <w:rPr>
          <w:sz w:val="18"/>
          <w:szCs w:val="18"/>
        </w:rPr>
        <w:t>(accessed 27 June 2023)</w:t>
      </w:r>
      <w:r w:rsidRPr="00923E5A">
        <w:rPr>
          <w:sz w:val="18"/>
          <w:szCs w:val="18"/>
          <w:highlight w:val="white"/>
        </w:rPr>
        <w:t>.</w:t>
      </w:r>
    </w:p>
  </w:footnote>
  <w:footnote w:id="113">
    <w:p w:rsidRPr="00675A54" w:rsidR="00CE4BC6" w:rsidP="00CE4BC6" w:rsidRDefault="00CE4BC6" w14:paraId="7E28FEF2" w14:textId="4F6AAADE">
      <w:pPr>
        <w:spacing w:line="240" w:lineRule="auto"/>
        <w:rPr>
          <w:sz w:val="18"/>
        </w:rPr>
      </w:pPr>
      <w:r w:rsidRPr="00675A54">
        <w:rPr>
          <w:rStyle w:val="FootnoteReference"/>
          <w:sz w:val="18"/>
        </w:rPr>
        <w:footnoteRef/>
      </w:r>
      <w:r w:rsidRPr="00675A54">
        <w:rPr>
          <w:sz w:val="18"/>
        </w:rPr>
        <w:t xml:space="preserve"> See </w:t>
      </w:r>
      <w:sdt>
        <w:sdtPr>
          <w:rPr>
            <w:sz w:val="18"/>
          </w:rPr>
          <w:tag w:val="goog_rdk_102"/>
          <w:id w:val="397330729"/>
        </w:sdtPr>
        <w:sdtEndPr/>
        <w:sdtContent>
          <w:hyperlink w:history="1" r:id="rId80">
            <w:r w:rsidR="002C2191">
              <w:rPr>
                <w:rStyle w:val="Hyperlink"/>
                <w:sz w:val="18"/>
              </w:rPr>
              <w:t>IASC GBV Case Management Guidelines</w:t>
            </w:r>
          </w:hyperlink>
        </w:sdtContent>
      </w:sdt>
      <w:r w:rsidRPr="00675A54">
        <w:rPr>
          <w:sz w:val="18"/>
        </w:rPr>
        <w:t xml:space="preserve">, </w:t>
      </w:r>
      <w:r w:rsidRPr="00675A54" w:rsidR="000228CE">
        <w:rPr>
          <w:sz w:val="18"/>
        </w:rPr>
        <w:t xml:space="preserve">section </w:t>
      </w:r>
      <w:r w:rsidRPr="00675A54">
        <w:rPr>
          <w:sz w:val="18"/>
        </w:rPr>
        <w:t>1.2.3</w:t>
      </w:r>
      <w:r w:rsidRPr="00675A54" w:rsidR="00502D0A">
        <w:rPr>
          <w:sz w:val="18"/>
        </w:rPr>
        <w:t xml:space="preserve"> </w:t>
      </w:r>
      <w:r w:rsidRPr="00675A54" w:rsidR="00187237">
        <w:rPr>
          <w:sz w:val="18"/>
        </w:rPr>
        <w:t>on</w:t>
      </w:r>
      <w:r w:rsidRPr="00675A54" w:rsidR="000228CE">
        <w:rPr>
          <w:sz w:val="18"/>
        </w:rPr>
        <w:t xml:space="preserve"> Planning for safety</w:t>
      </w:r>
      <w:r w:rsidRPr="00675A54">
        <w:rPr>
          <w:sz w:val="18"/>
        </w:rPr>
        <w:t xml:space="preserve">, </w:t>
      </w:r>
      <w:r w:rsidRPr="00675A54" w:rsidR="00A03F6E">
        <w:rPr>
          <w:sz w:val="18"/>
        </w:rPr>
        <w:t>pp.</w:t>
      </w:r>
      <w:r w:rsidRPr="00675A54">
        <w:rPr>
          <w:sz w:val="18"/>
        </w:rPr>
        <w:t xml:space="preserve"> 101-102.</w:t>
      </w:r>
    </w:p>
  </w:footnote>
  <w:footnote w:id="114">
    <w:p w:rsidRPr="00743BD8" w:rsidR="00CE4BC6" w:rsidP="00743BD8" w:rsidRDefault="00CE4BC6" w14:paraId="7E28FEF3" w14:textId="0AB08377">
      <w:pPr>
        <w:rPr>
          <w:color w:val="000000"/>
          <w:sz w:val="18"/>
        </w:rPr>
      </w:pPr>
      <w:r w:rsidRPr="00743BD8">
        <w:rPr>
          <w:rStyle w:val="FootnoteReference"/>
          <w:sz w:val="18"/>
        </w:rPr>
        <w:footnoteRef/>
      </w:r>
      <w:r w:rsidRPr="00743BD8">
        <w:rPr>
          <w:sz w:val="18"/>
        </w:rPr>
        <w:t xml:space="preserve"> </w:t>
      </w:r>
      <w:hyperlink w:history="1" r:id="rId81">
        <w:r w:rsidR="00923E5A">
          <w:rPr>
            <w:rStyle w:val="Hyperlink"/>
            <w:sz w:val="18"/>
          </w:rPr>
          <w:t>Inter-Agency Minimum Standards for GBV in Emergencies (2019)</w:t>
        </w:r>
      </w:hyperlink>
      <w:r w:rsidRPr="00743BD8">
        <w:rPr>
          <w:sz w:val="18"/>
        </w:rPr>
        <w:t>, p. 64.</w:t>
      </w:r>
    </w:p>
  </w:footnote>
  <w:footnote w:id="115">
    <w:p w:rsidRPr="00743BD8" w:rsidR="00CE4BC6" w:rsidP="00CE4BC6" w:rsidRDefault="00CE4BC6" w14:paraId="7E28FEF4" w14:textId="4E1E9013">
      <w:pPr>
        <w:pBdr>
          <w:top w:val="nil"/>
          <w:left w:val="nil"/>
          <w:bottom w:val="nil"/>
          <w:right w:val="nil"/>
          <w:between w:val="nil"/>
        </w:pBdr>
        <w:spacing w:line="240" w:lineRule="auto"/>
        <w:rPr>
          <w:color w:val="000000"/>
          <w:sz w:val="18"/>
        </w:rPr>
      </w:pPr>
      <w:r w:rsidRPr="00743BD8">
        <w:rPr>
          <w:rStyle w:val="FootnoteReference"/>
          <w:sz w:val="18"/>
        </w:rPr>
        <w:footnoteRef/>
      </w:r>
      <w:sdt>
        <w:sdtPr>
          <w:rPr>
            <w:sz w:val="18"/>
          </w:rPr>
          <w:tag w:val="goog_rdk_136"/>
          <w:id w:val="-379408758"/>
        </w:sdtPr>
        <w:sdtEndPr/>
        <w:sdtContent>
          <w:r w:rsidRPr="00743BD8" w:rsidR="00CE2830">
            <w:rPr>
              <w:color w:val="000000"/>
              <w:sz w:val="18"/>
            </w:rPr>
            <w:t xml:space="preserve"> </w:t>
          </w:r>
          <w:r w:rsidRPr="00743BD8" w:rsidR="0082161F">
            <w:rPr>
              <w:color w:val="000000"/>
              <w:sz w:val="18"/>
            </w:rPr>
            <w:t xml:space="preserve">For </w:t>
          </w:r>
          <w:r w:rsidRPr="00743BD8" w:rsidR="00CE2830">
            <w:rPr>
              <w:color w:val="000000"/>
              <w:sz w:val="18"/>
            </w:rPr>
            <w:t>examples of alternative safe shelter</w:t>
          </w:r>
          <w:r w:rsidRPr="00743BD8" w:rsidR="0082161F">
            <w:rPr>
              <w:color w:val="000000"/>
              <w:sz w:val="18"/>
            </w:rPr>
            <w:t>,</w:t>
          </w:r>
          <w:r w:rsidRPr="00743BD8" w:rsidR="0082161F">
            <w:rPr>
              <w:sz w:val="18"/>
            </w:rPr>
            <w:t xml:space="preserve"> </w:t>
          </w:r>
          <w:r w:rsidRPr="00743BD8" w:rsidR="0082161F">
            <w:rPr>
              <w:color w:val="000000"/>
              <w:sz w:val="18"/>
            </w:rPr>
            <w:t xml:space="preserve">see </w:t>
          </w:r>
          <w:r w:rsidRPr="00743BD8" w:rsidR="00CE2830">
            <w:rPr>
              <w:color w:val="000000"/>
              <w:sz w:val="18"/>
            </w:rPr>
            <w:t>‘’</w:t>
          </w:r>
          <w:hyperlink w:history="1" r:id="rId82">
            <w:r w:rsidRPr="00743BD8" w:rsidR="000228CE">
              <w:rPr>
                <w:color w:val="0000FF"/>
                <w:sz w:val="18"/>
                <w:u w:val="single"/>
              </w:rPr>
              <w:t>Safe haven: sheltering displaced persons from sexual and gender-based violence</w:t>
            </w:r>
          </w:hyperlink>
          <w:r w:rsidRPr="00743BD8" w:rsidR="000228CE">
            <w:rPr>
              <w:color w:val="000000"/>
              <w:sz w:val="18"/>
            </w:rPr>
            <w:t>’</w:t>
          </w:r>
          <w:r w:rsidRPr="00743BD8" w:rsidR="00CE2830">
            <w:rPr>
              <w:color w:val="000000"/>
              <w:sz w:val="18"/>
            </w:rPr>
            <w:t>’</w:t>
          </w:r>
          <w:r w:rsidR="00B1648D">
            <w:rPr>
              <w:color w:val="000000"/>
              <w:sz w:val="18"/>
              <w:szCs w:val="18"/>
            </w:rPr>
            <w:t xml:space="preserve"> </w:t>
          </w:r>
          <w:r w:rsidRPr="00B1648D" w:rsidR="00B1648D">
            <w:rPr>
              <w:color w:val="000000"/>
              <w:sz w:val="18"/>
              <w:szCs w:val="18"/>
            </w:rPr>
            <w:t>(accessed 27 June 2023)</w:t>
          </w:r>
          <w:r w:rsidRPr="00630569" w:rsidR="00710392">
            <w:rPr>
              <w:color w:val="000000"/>
              <w:sz w:val="18"/>
              <w:szCs w:val="18"/>
            </w:rPr>
            <w:t>.</w:t>
          </w:r>
          <w:r w:rsidRPr="00630569" w:rsidR="00CE2830">
            <w:rPr>
              <w:color w:val="000000"/>
              <w:sz w:val="18"/>
              <w:szCs w:val="18"/>
            </w:rPr>
            <w:t xml:space="preserve">  </w:t>
          </w:r>
        </w:sdtContent>
      </w:sdt>
    </w:p>
  </w:footnote>
  <w:footnote w:id="116">
    <w:p w:rsidRPr="009B436E" w:rsidR="009B436E" w:rsidRDefault="009B436E" w14:paraId="6D5E8CA5" w14:textId="2CEB7B8C">
      <w:pPr>
        <w:pStyle w:val="FootnoteText"/>
      </w:pPr>
      <w:r>
        <w:rPr>
          <w:rStyle w:val="FootnoteReference"/>
        </w:rPr>
        <w:footnoteRef/>
      </w:r>
      <w:r>
        <w:t xml:space="preserve"> </w:t>
      </w:r>
      <w:r w:rsidRPr="00743BD8">
        <w:rPr>
          <w:sz w:val="18"/>
        </w:rPr>
        <w:t xml:space="preserve">UN Women, 2018, </w:t>
      </w:r>
      <w:hyperlink r:id="rId83">
        <w:r w:rsidRPr="00743BD8">
          <w:rPr>
            <w:color w:val="0000FF"/>
            <w:sz w:val="18"/>
            <w:u w:val="single"/>
          </w:rPr>
          <w:t>A practitioner’s toolkit on women’s access to justice programming</w:t>
        </w:r>
      </w:hyperlink>
      <w:r>
        <w:rPr>
          <w:color w:val="0000FF"/>
          <w:sz w:val="18"/>
          <w:szCs w:val="18"/>
          <w:u w:val="single"/>
        </w:rPr>
        <w:t xml:space="preserve"> </w:t>
      </w:r>
      <w:r w:rsidRPr="00923E5A">
        <w:rPr>
          <w:sz w:val="18"/>
          <w:szCs w:val="18"/>
        </w:rPr>
        <w:t>(accessed 27 June 2023).</w:t>
      </w:r>
    </w:p>
  </w:footnote>
  <w:footnote w:id="117">
    <w:p w:rsidRPr="00BE6F46" w:rsidR="003B0E6F" w:rsidP="00BE6F46" w:rsidRDefault="003B0E6F" w14:paraId="5032A603" w14:textId="1F1DD799">
      <w:pPr>
        <w:pBdr>
          <w:top w:val="nil"/>
          <w:left w:val="nil"/>
          <w:bottom w:val="nil"/>
          <w:right w:val="nil"/>
          <w:between w:val="nil"/>
        </w:pBdr>
        <w:spacing w:line="240" w:lineRule="auto"/>
      </w:pPr>
      <w:r w:rsidRPr="00BE6F46">
        <w:rPr>
          <w:rStyle w:val="FootnoteReference"/>
          <w:sz w:val="18"/>
        </w:rPr>
        <w:footnoteRef/>
      </w:r>
      <w:r w:rsidR="007D5590">
        <w:rPr>
          <w:color w:val="000000"/>
          <w:sz w:val="18"/>
        </w:rPr>
        <w:t xml:space="preserve"> Global Protection Cluster,</w:t>
      </w:r>
      <w:r w:rsidRPr="00BE6F46" w:rsidR="000228CE">
        <w:rPr>
          <w:color w:val="000000"/>
          <w:sz w:val="18"/>
        </w:rPr>
        <w:t xml:space="preserve"> </w:t>
      </w:r>
      <w:hyperlink w:history="1" r:id="rId84">
        <w:r w:rsidR="00DB1C84">
          <w:rPr>
            <w:rStyle w:val="Hyperlink"/>
            <w:sz w:val="18"/>
          </w:rPr>
          <w:t>Dignity Kits Guidance Note</w:t>
        </w:r>
      </w:hyperlink>
      <w:r w:rsidR="00DB1C84">
        <w:rPr>
          <w:color w:val="000000"/>
          <w:sz w:val="18"/>
        </w:rPr>
        <w:t xml:space="preserve"> </w:t>
      </w:r>
      <w:r w:rsidR="00B1648D">
        <w:rPr>
          <w:color w:val="000000"/>
          <w:sz w:val="18"/>
          <w:szCs w:val="18"/>
        </w:rPr>
        <w:t xml:space="preserve"> </w:t>
      </w:r>
      <w:r w:rsidRPr="00B1648D" w:rsidR="00B1648D">
        <w:rPr>
          <w:color w:val="000000"/>
          <w:sz w:val="18"/>
          <w:szCs w:val="18"/>
        </w:rPr>
        <w:t>(accessed 27 June 2023)</w:t>
      </w:r>
      <w:r w:rsidRPr="00630569" w:rsidR="00CD2FB1">
        <w:rPr>
          <w:color w:val="000000"/>
          <w:sz w:val="18"/>
          <w:szCs w:val="18"/>
        </w:rPr>
        <w:t>.</w:t>
      </w:r>
    </w:p>
  </w:footnote>
  <w:footnote w:id="118">
    <w:p w:rsidRPr="00BE6F46" w:rsidR="003B0E6F" w:rsidP="003B0E6F" w:rsidRDefault="003B0E6F" w14:paraId="4217AF62" w14:textId="45F1B65B">
      <w:pPr>
        <w:pBdr>
          <w:top w:val="nil"/>
          <w:left w:val="nil"/>
          <w:bottom w:val="nil"/>
          <w:right w:val="nil"/>
          <w:between w:val="nil"/>
        </w:pBdr>
        <w:spacing w:line="240" w:lineRule="auto"/>
        <w:rPr>
          <w:color w:val="000000"/>
          <w:sz w:val="18"/>
        </w:rPr>
      </w:pPr>
      <w:r w:rsidRPr="00BE6F46">
        <w:rPr>
          <w:rStyle w:val="FootnoteReference"/>
          <w:sz w:val="18"/>
        </w:rPr>
        <w:footnoteRef/>
      </w:r>
      <w:r w:rsidRPr="00BE6F46">
        <w:rPr>
          <w:color w:val="000000"/>
          <w:sz w:val="18"/>
        </w:rPr>
        <w:t xml:space="preserve"> Post-distribution monitoring </w:t>
      </w:r>
      <w:r w:rsidRPr="00630569" w:rsidR="005C3435">
        <w:rPr>
          <w:color w:val="000000"/>
          <w:sz w:val="18"/>
          <w:szCs w:val="18"/>
        </w:rPr>
        <w:t>is</w:t>
      </w:r>
      <w:r w:rsidRPr="00BE6F46" w:rsidR="005C3435">
        <w:rPr>
          <w:color w:val="000000"/>
          <w:sz w:val="18"/>
        </w:rPr>
        <w:t xml:space="preserve"> </w:t>
      </w:r>
      <w:r w:rsidRPr="00BE6F46">
        <w:rPr>
          <w:color w:val="000000"/>
          <w:sz w:val="18"/>
        </w:rPr>
        <w:t xml:space="preserve">done through focus group discussions (FGDs) with women and girls 1-3 months after distribution to assess whether the kits achieved the intended </w:t>
      </w:r>
      <w:r w:rsidRPr="00630569" w:rsidR="00041A00">
        <w:rPr>
          <w:color w:val="000000"/>
          <w:sz w:val="18"/>
          <w:szCs w:val="18"/>
        </w:rPr>
        <w:t>result</w:t>
      </w:r>
      <w:r w:rsidRPr="00BE6F46">
        <w:rPr>
          <w:color w:val="000000"/>
          <w:sz w:val="18"/>
        </w:rPr>
        <w:t xml:space="preserve">. It is important to ensure women and girls who </w:t>
      </w:r>
      <w:r w:rsidRPr="00630569">
        <w:rPr>
          <w:color w:val="000000"/>
          <w:sz w:val="18"/>
          <w:szCs w:val="18"/>
        </w:rPr>
        <w:t>receive</w:t>
      </w:r>
      <w:r w:rsidRPr="00BE6F46">
        <w:rPr>
          <w:color w:val="000000"/>
          <w:sz w:val="18"/>
        </w:rPr>
        <w:t xml:space="preserve"> kits are involved in post-distribution FGDs. </w:t>
      </w:r>
    </w:p>
    <w:bookmarkStart w:name="_heading=h.2xcytpi" w:colFirst="0" w:colLast="0" w:id="117"/>
    <w:bookmarkEnd w:id="117"/>
  </w:footnote>
  <w:footnote w:id="119">
    <w:p w:rsidRPr="009F1486" w:rsidR="009F1486" w:rsidRDefault="009F1486" w14:paraId="55CABFED" w14:textId="7864966E">
      <w:pPr>
        <w:pStyle w:val="FootnoteText"/>
        <w:rPr>
          <w:lang w:val="en-GB"/>
        </w:rPr>
      </w:pPr>
      <w:r>
        <w:rPr>
          <w:rStyle w:val="FootnoteReference"/>
        </w:rPr>
        <w:footnoteRef/>
      </w:r>
      <w:r>
        <w:t xml:space="preserve"> </w:t>
      </w:r>
      <w:r w:rsidRPr="00BE6F46">
        <w:rPr>
          <w:color w:val="000000"/>
          <w:sz w:val="18"/>
        </w:rPr>
        <w:t xml:space="preserve">UNHCR, </w:t>
      </w:r>
      <w:hyperlink r:id="rId85">
        <w:r w:rsidRPr="00BE6F46">
          <w:rPr>
            <w:color w:val="0000FF"/>
            <w:sz w:val="18"/>
            <w:u w:val="single"/>
          </w:rPr>
          <w:t>Cash assistance and gender</w:t>
        </w:r>
      </w:hyperlink>
      <w:r w:rsidRPr="00BE6F46">
        <w:rPr>
          <w:color w:val="000000"/>
          <w:sz w:val="18"/>
        </w:rPr>
        <w:t xml:space="preserve">; UNHCR, </w:t>
      </w:r>
      <w:hyperlink r:id="rId86">
        <w:r w:rsidRPr="00BE6F46">
          <w:rPr>
            <w:color w:val="0000FF"/>
            <w:sz w:val="18"/>
            <w:u w:val="single"/>
          </w:rPr>
          <w:t>Guide for protection in cash-based interventions</w:t>
        </w:r>
      </w:hyperlink>
      <w:r w:rsidRPr="00BE6F46">
        <w:rPr>
          <w:color w:val="000000"/>
          <w:sz w:val="18"/>
        </w:rPr>
        <w:t xml:space="preserve">; </w:t>
      </w:r>
      <w:hyperlink r:id="rId87">
        <w:r w:rsidRPr="00BE6F46">
          <w:rPr>
            <w:color w:val="0000FF"/>
            <w:sz w:val="18"/>
            <w:u w:val="single"/>
          </w:rPr>
          <w:t>Cash and voucher assistance for GBV cases: standard operating procedures</w:t>
        </w:r>
      </w:hyperlink>
      <w:r w:rsidRPr="00BE6F46">
        <w:rPr>
          <w:color w:val="000000"/>
          <w:sz w:val="18"/>
        </w:rPr>
        <w:t xml:space="preserve">, Turkey Cross-border/Northwest Syria; </w:t>
      </w:r>
      <w:hyperlink w:anchor=":~:text=The%20purpose%20of%20this%20cash,risk%20mitigation%20into%20CVA%20interventions%3B&amp;text=integrate%20CVA%20into%20GBV%20prevention%20and%20response%20when%20appropriate" r:id="rId88">
        <w:r w:rsidRPr="00BE6F46">
          <w:rPr>
            <w:color w:val="0000FF"/>
            <w:sz w:val="18"/>
            <w:u w:val="single"/>
          </w:rPr>
          <w:t xml:space="preserve">IASC GBV </w:t>
        </w:r>
        <w:r>
          <w:rPr>
            <w:color w:val="0000FF"/>
            <w:sz w:val="18"/>
            <w:szCs w:val="18"/>
            <w:u w:val="single"/>
          </w:rPr>
          <w:t>Guidelines</w:t>
        </w:r>
        <w:r w:rsidRPr="00BE6F46">
          <w:rPr>
            <w:color w:val="0000FF"/>
            <w:sz w:val="18"/>
            <w:u w:val="single"/>
          </w:rPr>
          <w:t>: Cash &amp; voucher assistance and GBV compendium: Practical guidance for humanitarian practitioners</w:t>
        </w:r>
      </w:hyperlink>
      <w:r w:rsidRPr="00BE6F46">
        <w:rPr>
          <w:color w:val="000000"/>
          <w:sz w:val="18"/>
        </w:rPr>
        <w:t xml:space="preserve">; Women’s Refugee Commission, </w:t>
      </w:r>
      <w:hyperlink r:id="rId89">
        <w:r w:rsidRPr="00BE6F46">
          <w:rPr>
            <w:color w:val="0000FF"/>
            <w:sz w:val="18"/>
            <w:u w:val="single"/>
          </w:rPr>
          <w:t>Resources for mainstreaming gender-based violence (GBV) considerations in cash and voucher assistance (CVA) and utilizing CVA in GBV prevention and response</w:t>
        </w:r>
      </w:hyperlink>
      <w:r>
        <w:rPr>
          <w:color w:val="0000FF"/>
          <w:sz w:val="18"/>
          <w:szCs w:val="18"/>
          <w:u w:val="single"/>
        </w:rPr>
        <w:t xml:space="preserve"> </w:t>
      </w:r>
      <w:r w:rsidRPr="00324A7D">
        <w:rPr>
          <w:sz w:val="18"/>
          <w:szCs w:val="18"/>
        </w:rPr>
        <w:t>(accessed 27 June 2023).</w:t>
      </w:r>
    </w:p>
  </w:footnote>
  <w:footnote w:id="120">
    <w:p w:rsidRPr="00A25CE7" w:rsidR="00796448" w:rsidP="00796448" w:rsidRDefault="00796448" w14:paraId="2FFFCD17" w14:textId="77777777">
      <w:pPr>
        <w:rPr>
          <w:sz w:val="18"/>
          <w:szCs w:val="18"/>
        </w:rPr>
      </w:pPr>
      <w:r w:rsidRPr="00BE6F46">
        <w:rPr>
          <w:rStyle w:val="FootnoteReference"/>
          <w:sz w:val="18"/>
        </w:rPr>
        <w:footnoteRef/>
      </w:r>
      <w:r>
        <w:rPr>
          <w:sz w:val="18"/>
        </w:rPr>
        <w:t xml:space="preserve"> </w:t>
      </w:r>
      <w:hyperlink w:history="1" r:id="rId90">
        <w:r w:rsidRPr="00BE761E">
          <w:rPr>
            <w:rStyle w:val="Hyperlink"/>
            <w:sz w:val="18"/>
            <w:szCs w:val="18"/>
          </w:rPr>
          <w:t>IASC GBV Guidelines (2015)</w:t>
        </w:r>
      </w:hyperlink>
      <w:r w:rsidRPr="00AD321F">
        <w:rPr>
          <w:sz w:val="18"/>
        </w:rPr>
        <w:t>.</w:t>
      </w:r>
    </w:p>
  </w:footnote>
  <w:footnote w:id="121">
    <w:p w:rsidRPr="00177F69" w:rsidR="00177F69" w:rsidRDefault="00177F69" w14:paraId="2090C817" w14:textId="0DCAC5ED">
      <w:pPr>
        <w:pStyle w:val="FootnoteText"/>
      </w:pPr>
      <w:r>
        <w:rPr>
          <w:rStyle w:val="FootnoteReference"/>
        </w:rPr>
        <w:footnoteRef/>
      </w:r>
      <w:r>
        <w:t xml:space="preserve"> </w:t>
      </w:r>
      <w:r w:rsidRPr="005B74F4">
        <w:rPr>
          <w:color w:val="000000"/>
          <w:sz w:val="18"/>
        </w:rPr>
        <w:t>For additional information on community</w:t>
      </w:r>
      <w:r w:rsidRPr="005B74F4">
        <w:rPr>
          <w:sz w:val="18"/>
        </w:rPr>
        <w:t xml:space="preserve"> outreach</w:t>
      </w:r>
      <w:r w:rsidRPr="005B74F4">
        <w:rPr>
          <w:color w:val="000000"/>
          <w:sz w:val="18"/>
        </w:rPr>
        <w:t xml:space="preserve">, see </w:t>
      </w:r>
      <w:hyperlink w:history="1" r:id="rId91">
        <w:r>
          <w:rPr>
            <w:rStyle w:val="Hyperlink"/>
            <w:sz w:val="18"/>
          </w:rPr>
          <w:t>Inter-Agency Minimum Standards for GBV in Emergencies (2019)</w:t>
        </w:r>
      </w:hyperlink>
      <w:r w:rsidRPr="005B74F4">
        <w:rPr>
          <w:color w:val="000000"/>
          <w:sz w:val="18"/>
        </w:rPr>
        <w:t>, p. 57</w:t>
      </w:r>
      <w:r>
        <w:rPr>
          <w:color w:val="000000"/>
          <w:sz w:val="18"/>
        </w:rPr>
        <w:t>.</w:t>
      </w:r>
    </w:p>
  </w:footnote>
  <w:footnote w:id="122">
    <w:p w:rsidRPr="004D772B" w:rsidR="003B0E6F" w:rsidP="004D772B" w:rsidRDefault="003B0E6F" w14:paraId="4B3538D0" w14:textId="011C1579">
      <w:pPr>
        <w:rPr>
          <w:sz w:val="18"/>
        </w:rPr>
      </w:pPr>
      <w:r w:rsidRPr="005B74F4">
        <w:rPr>
          <w:rStyle w:val="FootnoteReference"/>
          <w:sz w:val="18"/>
        </w:rPr>
        <w:footnoteRef/>
      </w:r>
      <w:r w:rsidRPr="004D772B">
        <w:rPr>
          <w:sz w:val="18"/>
        </w:rPr>
        <w:t xml:space="preserve"> </w:t>
      </w:r>
      <w:r w:rsidR="004D772B">
        <w:rPr>
          <w:sz w:val="18"/>
        </w:rPr>
        <w:t>S</w:t>
      </w:r>
      <w:r w:rsidRPr="004D772B">
        <w:rPr>
          <w:sz w:val="18"/>
        </w:rPr>
        <w:t xml:space="preserve">ee </w:t>
      </w:r>
      <w:sdt>
        <w:sdtPr>
          <w:rPr>
            <w:sz w:val="18"/>
          </w:rPr>
          <w:tag w:val="goog_rdk_102"/>
          <w:id w:val="1143938114"/>
        </w:sdtPr>
        <w:sdtEndPr/>
        <w:sdtContent>
          <w:hyperlink w:history="1" r:id="rId92">
            <w:r w:rsidR="006C7F5A">
              <w:rPr>
                <w:rStyle w:val="Hyperlink"/>
                <w:sz w:val="18"/>
              </w:rPr>
              <w:t>Inter-Agency GBV Case Management Guidelines (2017)</w:t>
            </w:r>
          </w:hyperlink>
        </w:sdtContent>
      </w:sdt>
      <w:r w:rsidR="004D772B">
        <w:rPr>
          <w:sz w:val="18"/>
        </w:rPr>
        <w:t xml:space="preserve"> </w:t>
      </w:r>
      <w:r w:rsidRPr="004D772B">
        <w:rPr>
          <w:sz w:val="18"/>
        </w:rPr>
        <w:t xml:space="preserve">for additional guidance, including the range of case management forms. For forms, see also </w:t>
      </w:r>
      <w:r w:rsidRPr="004D772B" w:rsidR="00775E15">
        <w:rPr>
          <w:sz w:val="18"/>
        </w:rPr>
        <w:t xml:space="preserve">Annex </w:t>
      </w:r>
      <w:r w:rsidRPr="004D772B" w:rsidR="00256172">
        <w:rPr>
          <w:sz w:val="18"/>
        </w:rPr>
        <w:t>9</w:t>
      </w:r>
      <w:r w:rsidRPr="004D772B">
        <w:rPr>
          <w:sz w:val="18"/>
        </w:rPr>
        <w:t xml:space="preserve">. </w:t>
      </w:r>
    </w:p>
    <w:bookmarkStart w:name="_heading=h.1ci93xb" w:colFirst="0" w:colLast="0" w:id="134"/>
    <w:bookmarkEnd w:id="134"/>
  </w:footnote>
  <w:footnote w:id="123">
    <w:p w:rsidRPr="00B84B36" w:rsidR="00B84B36" w:rsidRDefault="00B84B36" w14:paraId="5E01DEE8" w14:textId="7FB97EC1">
      <w:pPr>
        <w:pStyle w:val="FootnoteText"/>
      </w:pPr>
      <w:r>
        <w:rPr>
          <w:rStyle w:val="FootnoteReference"/>
        </w:rPr>
        <w:footnoteRef/>
      </w:r>
      <w:r>
        <w:t xml:space="preserve"> </w:t>
      </w:r>
      <w:r w:rsidRPr="003358F3">
        <w:rPr>
          <w:color w:val="000000"/>
          <w:sz w:val="18"/>
        </w:rPr>
        <w:t xml:space="preserve">See </w:t>
      </w:r>
      <w:sdt>
        <w:sdtPr>
          <w:rPr>
            <w:sz w:val="18"/>
          </w:rPr>
          <w:tag w:val="goog_rdk_102"/>
          <w:id w:val="-1839452992"/>
        </w:sdtPr>
        <w:sdtContent>
          <w:hyperlink w:history="1" r:id="rId93">
            <w:r>
              <w:rPr>
                <w:rStyle w:val="Hyperlink"/>
                <w:sz w:val="18"/>
              </w:rPr>
              <w:t>Inter-Agency GBV Case Management Guidelines (2017)</w:t>
            </w:r>
          </w:hyperlink>
        </w:sdtContent>
      </w:sdt>
      <w:r w:rsidRPr="003358F3">
        <w:rPr>
          <w:color w:val="000000"/>
          <w:sz w:val="18"/>
        </w:rPr>
        <w:t xml:space="preserve"> and </w:t>
      </w:r>
      <w:hyperlink r:id="rId94">
        <w:r w:rsidRPr="003358F3">
          <w:rPr>
            <w:color w:val="0000FF"/>
            <w:sz w:val="18"/>
            <w:u w:val="single"/>
          </w:rPr>
          <w:t>gbvims.com</w:t>
        </w:r>
      </w:hyperlink>
      <w:r w:rsidRPr="003358F3">
        <w:rPr>
          <w:color w:val="000000"/>
          <w:sz w:val="18"/>
        </w:rPr>
        <w:t xml:space="preserve"> for all case management forms</w:t>
      </w:r>
      <w:r>
        <w:rPr>
          <w:color w:val="000000"/>
          <w:sz w:val="18"/>
          <w:szCs w:val="18"/>
        </w:rPr>
        <w:t xml:space="preserve"> </w:t>
      </w:r>
      <w:r w:rsidRPr="009D1A85">
        <w:rPr>
          <w:color w:val="000000"/>
          <w:sz w:val="18"/>
          <w:szCs w:val="18"/>
        </w:rPr>
        <w:t>(accessed 27 June 2023)</w:t>
      </w:r>
      <w:r w:rsidRPr="00630569">
        <w:rPr>
          <w:color w:val="000000"/>
          <w:sz w:val="18"/>
          <w:szCs w:val="18"/>
        </w:rPr>
        <w:t>.</w:t>
      </w:r>
      <w:r w:rsidRPr="003358F3">
        <w:rPr>
          <w:color w:val="000000"/>
          <w:sz w:val="18"/>
        </w:rPr>
        <w:t xml:space="preserve"> The standardized forms that are available are hyperlinked in the main text. See Annex 9 for all forms.</w:t>
      </w:r>
    </w:p>
  </w:footnote>
  <w:footnote w:id="124">
    <w:p w:rsidRPr="003358F3" w:rsidR="003B0E6F" w:rsidP="003B0E6F" w:rsidRDefault="003B0E6F" w14:paraId="2312BD6B" w14:textId="20C43617">
      <w:pPr>
        <w:pBdr>
          <w:top w:val="nil"/>
          <w:left w:val="nil"/>
          <w:bottom w:val="nil"/>
          <w:right w:val="nil"/>
          <w:between w:val="nil"/>
        </w:pBdr>
        <w:spacing w:line="240" w:lineRule="auto"/>
        <w:jc w:val="both"/>
        <w:rPr>
          <w:color w:val="000000"/>
          <w:sz w:val="18"/>
        </w:rPr>
      </w:pPr>
      <w:r w:rsidRPr="003358F3">
        <w:rPr>
          <w:rStyle w:val="FootnoteReference"/>
          <w:sz w:val="18"/>
        </w:rPr>
        <w:footnoteRef/>
      </w:r>
      <w:r w:rsidRPr="003358F3">
        <w:rPr>
          <w:color w:val="000000"/>
          <w:sz w:val="18"/>
        </w:rPr>
        <w:t xml:space="preserve"> </w:t>
      </w:r>
      <w:sdt>
        <w:sdtPr>
          <w:rPr>
            <w:sz w:val="18"/>
          </w:rPr>
          <w:tag w:val="goog_rdk_102"/>
          <w:id w:val="-1805460774"/>
        </w:sdtPr>
        <w:sdtEndPr/>
        <w:sdtContent>
          <w:hyperlink w:history="1" r:id="rId95">
            <w:r w:rsidR="000028B3">
              <w:rPr>
                <w:rStyle w:val="Hyperlink"/>
                <w:sz w:val="18"/>
              </w:rPr>
              <w:t>Inter-Agency GBV Case Management Guidelines (2017)</w:t>
            </w:r>
          </w:hyperlink>
        </w:sdtContent>
      </w:sdt>
      <w:r w:rsidRPr="003358F3">
        <w:rPr>
          <w:color w:val="000000"/>
          <w:sz w:val="18"/>
        </w:rPr>
        <w:t>, p. 180.</w:t>
      </w:r>
    </w:p>
  </w:footnote>
  <w:footnote w:id="125">
    <w:p w:rsidRPr="003358F3" w:rsidR="003B0E6F" w:rsidP="003B0E6F" w:rsidRDefault="003B0E6F" w14:paraId="20F97708" w14:textId="77777777">
      <w:pPr>
        <w:pBdr>
          <w:top w:val="nil"/>
          <w:left w:val="nil"/>
          <w:bottom w:val="nil"/>
          <w:right w:val="nil"/>
          <w:between w:val="nil"/>
        </w:pBdr>
        <w:spacing w:line="240" w:lineRule="auto"/>
        <w:jc w:val="both"/>
        <w:rPr>
          <w:color w:val="000000"/>
          <w:sz w:val="18"/>
        </w:rPr>
      </w:pPr>
      <w:r w:rsidRPr="003358F3">
        <w:rPr>
          <w:rStyle w:val="FootnoteReference"/>
          <w:sz w:val="18"/>
        </w:rPr>
        <w:footnoteRef/>
      </w:r>
      <w:r w:rsidRPr="003358F3">
        <w:rPr>
          <w:color w:val="000000"/>
          <w:sz w:val="18"/>
        </w:rPr>
        <w:t xml:space="preserve"> Ibid. p. 181.</w:t>
      </w:r>
    </w:p>
  </w:footnote>
  <w:footnote w:id="126">
    <w:p w:rsidRPr="003358F3" w:rsidR="003B0E6F" w:rsidP="003B0E6F" w:rsidRDefault="003B0E6F" w14:paraId="1D583A7C" w14:textId="77777777">
      <w:pPr>
        <w:pBdr>
          <w:top w:val="nil"/>
          <w:left w:val="nil"/>
          <w:bottom w:val="nil"/>
          <w:right w:val="nil"/>
          <w:between w:val="nil"/>
        </w:pBdr>
        <w:spacing w:line="240" w:lineRule="auto"/>
        <w:jc w:val="both"/>
        <w:rPr>
          <w:color w:val="000000"/>
          <w:sz w:val="18"/>
        </w:rPr>
      </w:pPr>
      <w:r w:rsidRPr="003358F3">
        <w:rPr>
          <w:rStyle w:val="FootnoteReference"/>
          <w:sz w:val="18"/>
        </w:rPr>
        <w:footnoteRef/>
      </w:r>
      <w:r w:rsidRPr="003358F3">
        <w:rPr>
          <w:color w:val="000000"/>
          <w:sz w:val="18"/>
        </w:rPr>
        <w:t xml:space="preserve"> Ibid. p. 183. </w:t>
      </w:r>
    </w:p>
  </w:footnote>
  <w:footnote w:id="127">
    <w:p w:rsidRPr="003358F3" w:rsidR="003B0E6F" w:rsidP="003B0E6F" w:rsidRDefault="003B0E6F" w14:paraId="5CC872F3" w14:textId="77777777">
      <w:pPr>
        <w:pBdr>
          <w:top w:val="nil"/>
          <w:left w:val="nil"/>
          <w:bottom w:val="nil"/>
          <w:right w:val="nil"/>
          <w:between w:val="nil"/>
        </w:pBdr>
        <w:spacing w:line="240" w:lineRule="auto"/>
        <w:jc w:val="both"/>
        <w:rPr>
          <w:color w:val="000000"/>
          <w:sz w:val="18"/>
        </w:rPr>
      </w:pPr>
      <w:r w:rsidRPr="003358F3">
        <w:rPr>
          <w:rStyle w:val="FootnoteReference"/>
          <w:sz w:val="18"/>
        </w:rPr>
        <w:footnoteRef/>
      </w:r>
      <w:r w:rsidRPr="003358F3">
        <w:rPr>
          <w:color w:val="000000"/>
          <w:sz w:val="18"/>
        </w:rPr>
        <w:t xml:space="preserve"> Ibid. p. 34.</w:t>
      </w:r>
    </w:p>
    <w:bookmarkStart w:name="_heading=h.3whwml4" w:colFirst="0" w:colLast="0" w:id="138"/>
    <w:bookmarkEnd w:id="138"/>
  </w:footnote>
  <w:footnote w:id="128">
    <w:p w:rsidRPr="003358F3" w:rsidR="003B0E6F" w:rsidP="003B0E6F" w:rsidRDefault="003B0E6F" w14:paraId="10EEAE32" w14:textId="6E935305">
      <w:pPr>
        <w:pBdr>
          <w:top w:val="nil"/>
          <w:left w:val="nil"/>
          <w:bottom w:val="nil"/>
          <w:right w:val="nil"/>
          <w:between w:val="nil"/>
        </w:pBdr>
        <w:spacing w:line="240" w:lineRule="auto"/>
        <w:jc w:val="both"/>
        <w:rPr>
          <w:sz w:val="18"/>
        </w:rPr>
      </w:pPr>
      <w:r w:rsidRPr="003358F3">
        <w:rPr>
          <w:rStyle w:val="FootnoteReference"/>
          <w:sz w:val="18"/>
        </w:rPr>
        <w:footnoteRef/>
      </w:r>
      <w:r w:rsidRPr="003358F3">
        <w:rPr>
          <w:sz w:val="18"/>
        </w:rPr>
        <w:t xml:space="preserve"> Additional resources on good practices for GBV data management are available on the GBVIMS website: </w:t>
      </w:r>
      <w:hyperlink r:id="rId96">
        <w:r w:rsidRPr="00061A25">
          <w:rPr>
            <w:color w:val="0000FF"/>
            <w:sz w:val="18"/>
            <w:u w:val="single"/>
          </w:rPr>
          <w:t>http://gbvims.com</w:t>
        </w:r>
      </w:hyperlink>
      <w:r w:rsidR="009D1A85">
        <w:rPr>
          <w:sz w:val="18"/>
          <w:szCs w:val="18"/>
          <w:u w:val="single"/>
        </w:rPr>
        <w:t xml:space="preserve"> </w:t>
      </w:r>
      <w:r w:rsidRPr="00061A25" w:rsidR="009D1A85">
        <w:rPr>
          <w:sz w:val="18"/>
          <w:szCs w:val="18"/>
        </w:rPr>
        <w:t>(accessed 27 June 2023)</w:t>
      </w:r>
      <w:r w:rsidRPr="00061A25">
        <w:rPr>
          <w:sz w:val="18"/>
          <w:szCs w:val="18"/>
        </w:rPr>
        <w:t>.</w:t>
      </w:r>
    </w:p>
  </w:footnote>
  <w:footnote w:id="129">
    <w:p w:rsidRPr="00A35C5A" w:rsidR="003B0E6F" w:rsidP="003B0E6F" w:rsidRDefault="003B0E6F" w14:paraId="2F9D6671" w14:textId="0DADF5DB">
      <w:pPr>
        <w:pBdr>
          <w:top w:val="nil"/>
          <w:left w:val="nil"/>
          <w:bottom w:val="nil"/>
          <w:right w:val="nil"/>
          <w:between w:val="nil"/>
        </w:pBdr>
        <w:spacing w:line="240" w:lineRule="auto"/>
        <w:rPr>
          <w:color w:val="000000"/>
          <w:sz w:val="18"/>
        </w:rPr>
      </w:pPr>
      <w:r w:rsidRPr="003358F3">
        <w:rPr>
          <w:rStyle w:val="FootnoteReference"/>
          <w:sz w:val="18"/>
        </w:rPr>
        <w:footnoteRef/>
      </w:r>
      <w:r w:rsidR="003B245E">
        <w:rPr>
          <w:color w:val="000000"/>
          <w:sz w:val="18"/>
        </w:rPr>
        <w:t xml:space="preserve"> </w:t>
      </w:r>
      <w:r w:rsidR="00A94A42">
        <w:rPr>
          <w:color w:val="000000"/>
          <w:sz w:val="18"/>
        </w:rPr>
        <w:t>UNHCR,</w:t>
      </w:r>
      <w:r w:rsidRPr="00A94A42" w:rsidR="00A94A42">
        <w:rPr>
          <w:color w:val="000000"/>
          <w:sz w:val="18"/>
          <w:szCs w:val="18"/>
        </w:rPr>
        <w:t xml:space="preserve"> </w:t>
      </w:r>
      <w:hyperlink w:tgtFrame="_blank" w:tooltip="https://www.unhcr.org/gbv-toolkit/guidance-and-tools/" w:history="1" r:id="rId97">
        <w:r w:rsidRPr="00A94A42" w:rsidR="00A94A42">
          <w:rPr>
            <w:rStyle w:val="Hyperlink"/>
            <w:sz w:val="18"/>
            <w:szCs w:val="18"/>
          </w:rPr>
          <w:t>Technical Note on Sharing Personal Protection Data (2022)</w:t>
        </w:r>
      </w:hyperlink>
    </w:p>
  </w:footnote>
  <w:footnote w:id="130">
    <w:p w:rsidRPr="009355C1" w:rsidR="003B0E6F" w:rsidP="003B0E6F" w:rsidRDefault="003B0E6F" w14:paraId="446FD252" w14:textId="50477416">
      <w:pPr>
        <w:pBdr>
          <w:top w:val="nil"/>
          <w:left w:val="nil"/>
          <w:bottom w:val="nil"/>
          <w:right w:val="nil"/>
          <w:between w:val="nil"/>
        </w:pBdr>
        <w:spacing w:line="240" w:lineRule="auto"/>
        <w:jc w:val="both"/>
        <w:rPr>
          <w:sz w:val="18"/>
          <w:highlight w:val="yellow"/>
        </w:rPr>
      </w:pPr>
      <w:r w:rsidRPr="009355C1">
        <w:rPr>
          <w:rStyle w:val="FootnoteReference"/>
          <w:sz w:val="18"/>
        </w:rPr>
        <w:footnoteRef/>
      </w:r>
      <w:r w:rsidRPr="009355C1">
        <w:rPr>
          <w:sz w:val="18"/>
        </w:rPr>
        <w:t xml:space="preserve"> United Nations Secretary-General, 2003. </w:t>
      </w:r>
      <w:hyperlink w:history="1" r:id="rId98">
        <w:r w:rsidR="009355C1">
          <w:rPr>
            <w:rStyle w:val="Hyperlink"/>
            <w:sz w:val="18"/>
          </w:rPr>
          <w:t xml:space="preserve">Secretary-General’s Bulletin: special measures for protection from sexual exploitation and sexual abuse, ST/ SGB/2003/13. </w:t>
        </w:r>
      </w:hyperlink>
      <w:r w:rsidR="00061A25">
        <w:rPr>
          <w:sz w:val="18"/>
        </w:rPr>
        <w:t>(accessed 27 June 2023).</w:t>
      </w:r>
    </w:p>
  </w:footnote>
  <w:footnote w:id="131">
    <w:p w:rsidRPr="00C77572" w:rsidR="003B0E6F" w:rsidP="003B0E6F" w:rsidRDefault="003B0E6F" w14:paraId="10E46264" w14:textId="6A5EA641">
      <w:pPr>
        <w:spacing w:line="240" w:lineRule="auto"/>
        <w:rPr>
          <w:sz w:val="18"/>
        </w:rPr>
      </w:pPr>
      <w:r w:rsidRPr="009355C1">
        <w:rPr>
          <w:rStyle w:val="FootnoteReference"/>
          <w:sz w:val="18"/>
        </w:rPr>
        <w:footnoteRef/>
      </w:r>
      <w:r w:rsidRPr="009355C1">
        <w:rPr>
          <w:sz w:val="18"/>
        </w:rPr>
        <w:t xml:space="preserve"> See also UNFPA</w:t>
      </w:r>
      <w:r w:rsidR="00061A25">
        <w:rPr>
          <w:sz w:val="18"/>
        </w:rPr>
        <w:t>,</w:t>
      </w:r>
      <w:r w:rsidRPr="009355C1">
        <w:rPr>
          <w:sz w:val="18"/>
        </w:rPr>
        <w:t xml:space="preserve"> </w:t>
      </w:r>
      <w:hyperlink r:id="rId99">
        <w:r w:rsidR="00061A25">
          <w:rPr>
            <w:color w:val="0000FF"/>
            <w:sz w:val="18"/>
            <w:u w:val="single"/>
          </w:rPr>
          <w:t>Tip sheet: defining linkages to better assist survivors of sexual exploitation and abuse (2022)</w:t>
        </w:r>
      </w:hyperlink>
      <w:r w:rsidR="00C17D46">
        <w:rPr>
          <w:color w:val="0000FF"/>
          <w:sz w:val="18"/>
          <w:szCs w:val="18"/>
          <w:u w:val="single"/>
        </w:rPr>
        <w:t xml:space="preserve"> </w:t>
      </w:r>
      <w:r w:rsidRPr="00061A25" w:rsidR="00C17D46">
        <w:rPr>
          <w:sz w:val="18"/>
          <w:szCs w:val="18"/>
        </w:rPr>
        <w:t>(accessed 27 June 2023)</w:t>
      </w:r>
      <w:r w:rsidRPr="00061A25" w:rsidR="005C270B">
        <w:rPr>
          <w:sz w:val="18"/>
          <w:szCs w:val="18"/>
        </w:rPr>
        <w:t>.</w:t>
      </w:r>
    </w:p>
  </w:footnote>
  <w:footnote w:id="132">
    <w:p w:rsidRPr="00375BDE" w:rsidR="00885226" w:rsidP="004446D7" w:rsidRDefault="00885226" w14:paraId="349A269F" w14:textId="22D35E72">
      <w:pPr>
        <w:rPr>
          <w:color w:val="000000"/>
          <w:sz w:val="18"/>
        </w:rPr>
      </w:pPr>
      <w:r w:rsidRPr="00375BDE">
        <w:rPr>
          <w:rStyle w:val="FootnoteReference"/>
          <w:sz w:val="18"/>
        </w:rPr>
        <w:footnoteRef/>
      </w:r>
      <w:r w:rsidRPr="00375BDE">
        <w:rPr>
          <w:color w:val="000000"/>
          <w:sz w:val="18"/>
        </w:rPr>
        <w:t xml:space="preserve"> </w:t>
      </w:r>
      <w:hyperlink w:history="1" r:id="rId100">
        <w:r w:rsidR="00C94DAF">
          <w:rPr>
            <w:rStyle w:val="Hyperlink"/>
            <w:sz w:val="18"/>
          </w:rPr>
          <w:t>Inter-Agency Minimum Standards for GBV in Emergencies (2017)</w:t>
        </w:r>
      </w:hyperlink>
      <w:r w:rsidRPr="00375BDE">
        <w:rPr>
          <w:color w:val="000000"/>
          <w:sz w:val="18"/>
        </w:rPr>
        <w:t xml:space="preserve">, </w:t>
      </w:r>
      <w:r w:rsidRPr="00375BDE" w:rsidR="00A03F6E">
        <w:rPr>
          <w:color w:val="000000"/>
          <w:sz w:val="18"/>
        </w:rPr>
        <w:t>pp.</w:t>
      </w:r>
      <w:r w:rsidRPr="00375BDE">
        <w:rPr>
          <w:color w:val="000000"/>
          <w:sz w:val="18"/>
        </w:rPr>
        <w:t xml:space="preserve"> </w:t>
      </w:r>
      <w:r w:rsidRPr="00375BDE" w:rsidR="00082134">
        <w:rPr>
          <w:color w:val="000000"/>
          <w:sz w:val="18"/>
        </w:rPr>
        <w:t>72</w:t>
      </w:r>
      <w:r w:rsidRPr="00375BDE">
        <w:rPr>
          <w:color w:val="000000"/>
          <w:sz w:val="18"/>
        </w:rPr>
        <w:t>-</w:t>
      </w:r>
      <w:r w:rsidRPr="00375BDE" w:rsidR="00082134">
        <w:rPr>
          <w:color w:val="000000"/>
          <w:sz w:val="18"/>
        </w:rPr>
        <w:t>73</w:t>
      </w:r>
      <w:r w:rsidRPr="00375BDE">
        <w:rPr>
          <w:color w:val="000000"/>
          <w:sz w:val="18"/>
        </w:rPr>
        <w:t>.</w:t>
      </w:r>
    </w:p>
  </w:footnote>
  <w:footnote w:id="133">
    <w:p w:rsidRPr="00375BDE" w:rsidR="00885226" w:rsidP="00885226" w:rsidRDefault="00885226" w14:paraId="18C87430" w14:textId="46F5206C">
      <w:pPr>
        <w:pBdr>
          <w:top w:val="nil"/>
          <w:left w:val="nil"/>
          <w:bottom w:val="nil"/>
          <w:right w:val="nil"/>
          <w:between w:val="nil"/>
        </w:pBdr>
        <w:spacing w:line="240" w:lineRule="auto"/>
        <w:jc w:val="both"/>
        <w:rPr>
          <w:color w:val="000000"/>
          <w:sz w:val="18"/>
        </w:rPr>
      </w:pPr>
      <w:r w:rsidRPr="00375BDE">
        <w:rPr>
          <w:rStyle w:val="FootnoteReference"/>
          <w:sz w:val="18"/>
        </w:rPr>
        <w:footnoteRef/>
      </w:r>
      <w:r w:rsidRPr="00375BDE">
        <w:rPr>
          <w:color w:val="000000"/>
          <w:sz w:val="18"/>
        </w:rPr>
        <w:t xml:space="preserve"> GBV staff are not expected to have specialized knowledge of each humanitarian sector. Efforts to integrate GBV risk reduction strategies into different sectoral responses </w:t>
      </w:r>
      <w:r w:rsidRPr="00630569" w:rsidR="008E6F55">
        <w:rPr>
          <w:color w:val="000000"/>
          <w:sz w:val="18"/>
          <w:szCs w:val="18"/>
        </w:rPr>
        <w:t>are</w:t>
      </w:r>
      <w:r w:rsidRPr="00375BDE" w:rsidR="008E6F55">
        <w:rPr>
          <w:color w:val="000000"/>
          <w:sz w:val="18"/>
        </w:rPr>
        <w:t xml:space="preserve"> </w:t>
      </w:r>
      <w:r w:rsidRPr="00375BDE">
        <w:rPr>
          <w:color w:val="000000"/>
          <w:sz w:val="18"/>
        </w:rPr>
        <w:t xml:space="preserve">led by sector actors to ensure that any recommendations from GBV </w:t>
      </w:r>
      <w:r w:rsidRPr="00375BDE" w:rsidR="00DD29D1">
        <w:rPr>
          <w:color w:val="000000"/>
          <w:sz w:val="18"/>
        </w:rPr>
        <w:t>specialized</w:t>
      </w:r>
      <w:r w:rsidRPr="00375BDE">
        <w:rPr>
          <w:color w:val="000000"/>
          <w:sz w:val="18"/>
        </w:rPr>
        <w:t xml:space="preserve"> actors are relevant and feasible within the </w:t>
      </w:r>
      <w:r w:rsidR="00C94DAF">
        <w:rPr>
          <w:color w:val="000000"/>
          <w:sz w:val="18"/>
        </w:rPr>
        <w:t>s</w:t>
      </w:r>
      <w:r w:rsidRPr="00375BDE">
        <w:rPr>
          <w:color w:val="000000"/>
          <w:sz w:val="18"/>
        </w:rPr>
        <w:t>ectoral response.</w:t>
      </w:r>
    </w:p>
  </w:footnote>
  <w:footnote w:id="134">
    <w:p w:rsidRPr="00721F42" w:rsidR="00885226" w:rsidP="00885226" w:rsidRDefault="00885226" w14:paraId="5D1E016B" w14:textId="3A8B3941">
      <w:pPr>
        <w:pBdr>
          <w:top w:val="nil"/>
          <w:left w:val="nil"/>
          <w:bottom w:val="nil"/>
          <w:right w:val="nil"/>
          <w:between w:val="nil"/>
        </w:pBdr>
        <w:spacing w:line="240" w:lineRule="auto"/>
        <w:rPr>
          <w:color w:val="000000"/>
          <w:sz w:val="18"/>
        </w:rPr>
      </w:pPr>
      <w:r w:rsidRPr="00721F42">
        <w:rPr>
          <w:rStyle w:val="FootnoteReference"/>
          <w:sz w:val="18"/>
        </w:rPr>
        <w:footnoteRef/>
      </w:r>
      <w:r w:rsidRPr="00721F42">
        <w:rPr>
          <w:color w:val="000000"/>
          <w:sz w:val="18"/>
        </w:rPr>
        <w:t xml:space="preserve"> UNHCR</w:t>
      </w:r>
      <w:r w:rsidR="00264D69">
        <w:rPr>
          <w:color w:val="000000"/>
          <w:sz w:val="18"/>
        </w:rPr>
        <w:t>,</w:t>
      </w:r>
      <w:r w:rsidRPr="00721F42">
        <w:rPr>
          <w:color w:val="000000"/>
          <w:sz w:val="18"/>
        </w:rPr>
        <w:t xml:space="preserve"> Safety </w:t>
      </w:r>
      <w:r w:rsidRPr="00721F42" w:rsidR="007E5424">
        <w:rPr>
          <w:color w:val="000000"/>
          <w:sz w:val="18"/>
        </w:rPr>
        <w:t>audit toolkit</w:t>
      </w:r>
      <w:r w:rsidRPr="00721F42">
        <w:rPr>
          <w:color w:val="000000"/>
          <w:sz w:val="18"/>
        </w:rPr>
        <w:t>.</w:t>
      </w:r>
      <w:r w:rsidR="00443221">
        <w:rPr>
          <w:color w:val="000000"/>
          <w:sz w:val="18"/>
        </w:rPr>
        <w:t xml:space="preserve"> </w:t>
      </w:r>
      <w:hyperlink w:history="1" r:id="rId101">
        <w:r w:rsidR="00443221">
          <w:rPr>
            <w:rStyle w:val="Hyperlink"/>
            <w:sz w:val="18"/>
          </w:rPr>
          <w:t>Safety Audit Toolkit (2021)</w:t>
        </w:r>
      </w:hyperlink>
      <w:r w:rsidR="00443221">
        <w:rPr>
          <w:color w:val="000000"/>
          <w:sz w:val="18"/>
        </w:rPr>
        <w:t xml:space="preserve">. </w:t>
      </w:r>
    </w:p>
  </w:footnote>
  <w:footnote w:id="135">
    <w:p w:rsidRPr="008E688A" w:rsidR="003B0E6F" w:rsidP="003B0E6F" w:rsidRDefault="003B0E6F" w14:paraId="0D4F64CB" w14:textId="175AFD29">
      <w:pPr>
        <w:spacing w:line="240" w:lineRule="auto"/>
        <w:rPr>
          <w:sz w:val="18"/>
        </w:rPr>
      </w:pPr>
      <w:r w:rsidRPr="002976A3">
        <w:rPr>
          <w:rStyle w:val="FootnoteReference"/>
          <w:sz w:val="18"/>
        </w:rPr>
        <w:footnoteRef/>
      </w:r>
      <w:r w:rsidRPr="008E688A" w:rsidR="00326883">
        <w:rPr>
          <w:sz w:val="18"/>
        </w:rPr>
        <w:t xml:space="preserve"> </w:t>
      </w:r>
      <w:r w:rsidRPr="008E688A">
        <w:rPr>
          <w:sz w:val="18"/>
        </w:rPr>
        <w:t xml:space="preserve">For a full list of considerations see </w:t>
      </w:r>
      <w:r w:rsidR="008E688A">
        <w:rPr>
          <w:sz w:val="18"/>
        </w:rPr>
        <w:t>a</w:t>
      </w:r>
      <w:r w:rsidRPr="008E688A">
        <w:rPr>
          <w:sz w:val="18"/>
        </w:rPr>
        <w:t xml:space="preserve">nnex 20 CVA </w:t>
      </w:r>
      <w:r w:rsidRPr="008E688A" w:rsidR="00326883">
        <w:rPr>
          <w:sz w:val="18"/>
        </w:rPr>
        <w:t>programming for menstrual product in</w:t>
      </w:r>
      <w:r w:rsidR="008E688A">
        <w:rPr>
          <w:sz w:val="18"/>
        </w:rPr>
        <w:t xml:space="preserve"> </w:t>
      </w:r>
      <w:hyperlink w:history="1" r:id="rId102">
        <w:r w:rsidR="008E688A">
          <w:rPr>
            <w:rStyle w:val="Hyperlink"/>
            <w:sz w:val="18"/>
          </w:rPr>
          <w:t>Market-based programming in WASH</w:t>
        </w:r>
      </w:hyperlink>
      <w:r w:rsidR="008E688A">
        <w:rPr>
          <w:sz w:val="18"/>
        </w:rPr>
        <w:t xml:space="preserve"> </w:t>
      </w:r>
    </w:p>
    <w:p w:rsidRPr="008E688A" w:rsidR="003B0E6F" w:rsidP="003B0E6F" w:rsidRDefault="003B0E6F" w14:paraId="39DA7B17" w14:textId="77777777">
      <w:pPr>
        <w:spacing w:line="240" w:lineRule="auto"/>
        <w:rPr>
          <w:sz w:val="18"/>
        </w:rPr>
      </w:pPr>
    </w:p>
  </w:footnote>
  <w:footnote w:id="136">
    <w:p w:rsidRPr="00515ED8" w:rsidR="00515ED8" w:rsidRDefault="00515ED8" w14:paraId="095B4373" w14:textId="32345A6B">
      <w:pPr>
        <w:pStyle w:val="FootnoteText"/>
      </w:pPr>
      <w:r>
        <w:rPr>
          <w:rStyle w:val="FootnoteReference"/>
        </w:rPr>
        <w:footnoteRef/>
      </w:r>
      <w:r>
        <w:t xml:space="preserve"> </w:t>
      </w:r>
      <w:r w:rsidRPr="008E688A">
        <w:rPr>
          <w:color w:val="000000"/>
          <w:sz w:val="18"/>
        </w:rPr>
        <w:t xml:space="preserve">IASC GBV </w:t>
      </w:r>
      <w:r>
        <w:rPr>
          <w:color w:val="000000"/>
          <w:sz w:val="18"/>
          <w:szCs w:val="18"/>
        </w:rPr>
        <w:t>Guidelines</w:t>
      </w:r>
      <w:r w:rsidRPr="008E688A">
        <w:rPr>
          <w:color w:val="000000"/>
          <w:sz w:val="18"/>
        </w:rPr>
        <w:t xml:space="preserve">, </w:t>
      </w:r>
      <w:hyperlink w:anchor=":~:text=The%20purpose%20of%20this%20cash,risk%20mitigation%20into%20CVA%20interventions%3B&amp;text=integrate%20CVA%20into%20GBV%20prevention%20and%20response%20when%20appropriate." r:id="rId103">
        <w:r>
          <w:rPr>
            <w:color w:val="0000FF"/>
            <w:sz w:val="18"/>
            <w:u w:val="single"/>
          </w:rPr>
          <w:t>Cash &amp; voucher assistance and GBV compendium: Practical guidance for humanitarian practitioners (2019)</w:t>
        </w:r>
      </w:hyperlink>
      <w:r w:rsidRPr="008E688A">
        <w:rPr>
          <w:color w:val="000000"/>
          <w:sz w:val="18"/>
        </w:rPr>
        <w:t xml:space="preserve"> </w:t>
      </w:r>
      <w:r>
        <w:rPr>
          <w:color w:val="000000"/>
          <w:sz w:val="18"/>
          <w:szCs w:val="18"/>
        </w:rPr>
        <w:t>(accessed 27 June 2023)</w:t>
      </w:r>
      <w:r w:rsidRPr="00630569">
        <w:rPr>
          <w:color w:val="000000"/>
          <w:sz w:val="18"/>
          <w:szCs w:val="18"/>
        </w:rPr>
        <w:t>.</w:t>
      </w:r>
    </w:p>
  </w:footnote>
  <w:footnote w:id="137">
    <w:p w:rsidRPr="00BF78E8" w:rsidR="00D43785" w:rsidP="00D43785" w:rsidRDefault="00D43785" w14:paraId="065505A3" w14:textId="531B96BB">
      <w:pPr>
        <w:pBdr>
          <w:top w:val="nil"/>
          <w:left w:val="nil"/>
          <w:bottom w:val="nil"/>
          <w:right w:val="nil"/>
          <w:between w:val="nil"/>
        </w:pBdr>
        <w:spacing w:line="240" w:lineRule="auto"/>
        <w:rPr>
          <w:color w:val="000000"/>
          <w:sz w:val="20"/>
          <w:szCs w:val="20"/>
        </w:rPr>
      </w:pPr>
      <w:r w:rsidRPr="008E688A">
        <w:rPr>
          <w:rStyle w:val="FootnoteReference"/>
          <w:sz w:val="18"/>
        </w:rPr>
        <w:footnoteRef/>
      </w:r>
      <w:r w:rsidRPr="008E688A">
        <w:rPr>
          <w:color w:val="000000"/>
          <w:sz w:val="18"/>
        </w:rPr>
        <w:t xml:space="preserve"> There are countries where CVA &amp; GBV SOPs </w:t>
      </w:r>
      <w:r w:rsidRPr="00630569" w:rsidR="00D04403">
        <w:rPr>
          <w:color w:val="000000"/>
          <w:sz w:val="18"/>
          <w:szCs w:val="18"/>
        </w:rPr>
        <w:t>are used</w:t>
      </w:r>
      <w:r w:rsidRPr="008E688A" w:rsidR="00D04403">
        <w:rPr>
          <w:color w:val="000000"/>
          <w:sz w:val="18"/>
        </w:rPr>
        <w:t xml:space="preserve"> </w:t>
      </w:r>
      <w:r w:rsidRPr="008E688A">
        <w:rPr>
          <w:color w:val="000000"/>
          <w:sz w:val="18"/>
        </w:rPr>
        <w:t>for case management</w:t>
      </w:r>
      <w:r w:rsidRPr="00630569">
        <w:rPr>
          <w:color w:val="000000"/>
          <w:sz w:val="18"/>
          <w:szCs w:val="18"/>
        </w:rPr>
        <w:t xml:space="preserve"> </w:t>
      </w:r>
      <w:r w:rsidRPr="00630569" w:rsidR="00D04403">
        <w:rPr>
          <w:color w:val="000000"/>
          <w:sz w:val="18"/>
          <w:szCs w:val="18"/>
        </w:rPr>
        <w:t>purposes</w:t>
      </w:r>
      <w:r w:rsidRPr="008E688A" w:rsidR="00D04403">
        <w:rPr>
          <w:color w:val="000000"/>
          <w:sz w:val="18"/>
        </w:rPr>
        <w:t xml:space="preserve"> </w:t>
      </w:r>
      <w:r w:rsidRPr="008E688A">
        <w:rPr>
          <w:color w:val="000000"/>
          <w:sz w:val="18"/>
        </w:rPr>
        <w:t>(i.e. cash is a tool in case management; see</w:t>
      </w:r>
      <w:r w:rsidRPr="008E688A" w:rsidR="00475D89">
        <w:rPr>
          <w:color w:val="000000"/>
          <w:sz w:val="18"/>
        </w:rPr>
        <w:t xml:space="preserve"> for example </w:t>
      </w:r>
      <w:hyperlink r:id="rId104">
        <w:r w:rsidRPr="008E688A">
          <w:rPr>
            <w:color w:val="0000FF"/>
            <w:sz w:val="18"/>
            <w:u w:val="single"/>
          </w:rPr>
          <w:t xml:space="preserve">Cash </w:t>
        </w:r>
        <w:r w:rsidRPr="008E688A" w:rsidR="00475D89">
          <w:rPr>
            <w:color w:val="0000FF"/>
            <w:sz w:val="18"/>
            <w:u w:val="single"/>
          </w:rPr>
          <w:t xml:space="preserve">and voucher assistance </w:t>
        </w:r>
        <w:r w:rsidRPr="008E688A">
          <w:rPr>
            <w:color w:val="0000FF"/>
            <w:sz w:val="18"/>
            <w:u w:val="single"/>
          </w:rPr>
          <w:t xml:space="preserve">for GBV </w:t>
        </w:r>
        <w:r w:rsidRPr="008E688A" w:rsidR="00475D89">
          <w:rPr>
            <w:color w:val="0000FF"/>
            <w:sz w:val="18"/>
            <w:u w:val="single"/>
          </w:rPr>
          <w:t>cases: standard operating p</w:t>
        </w:r>
        <w:r w:rsidRPr="008E688A">
          <w:rPr>
            <w:color w:val="0000FF"/>
            <w:sz w:val="18"/>
            <w:u w:val="single"/>
          </w:rPr>
          <w:t>rocedures</w:t>
        </w:r>
      </w:hyperlink>
      <w:r w:rsidR="0054022F">
        <w:rPr>
          <w:color w:val="0000FF"/>
          <w:sz w:val="18"/>
          <w:szCs w:val="18"/>
          <w:u w:val="single"/>
        </w:rPr>
        <w:t xml:space="preserve"> </w:t>
      </w:r>
      <w:r w:rsidRPr="00C94DAF" w:rsidR="0054022F">
        <w:rPr>
          <w:sz w:val="18"/>
          <w:szCs w:val="18"/>
        </w:rPr>
        <w:t>(accessed 27 June 2023)</w:t>
      </w:r>
      <w:r w:rsidRPr="00C94DAF">
        <w:rPr>
          <w:sz w:val="18"/>
          <w:szCs w:val="18"/>
        </w:rPr>
        <w:t>,</w:t>
      </w:r>
      <w:r w:rsidRPr="00C94DAF">
        <w:rPr>
          <w:sz w:val="18"/>
        </w:rPr>
        <w:t xml:space="preserve"> </w:t>
      </w:r>
      <w:r w:rsidRPr="008E688A">
        <w:rPr>
          <w:color w:val="000000"/>
          <w:sz w:val="18"/>
        </w:rPr>
        <w:t xml:space="preserve">Turkey </w:t>
      </w:r>
      <w:r w:rsidRPr="00630569" w:rsidR="007D2C6C">
        <w:rPr>
          <w:color w:val="000000"/>
          <w:sz w:val="18"/>
          <w:szCs w:val="18"/>
        </w:rPr>
        <w:t>c</w:t>
      </w:r>
      <w:r w:rsidRPr="00630569">
        <w:rPr>
          <w:color w:val="000000"/>
          <w:sz w:val="18"/>
          <w:szCs w:val="18"/>
        </w:rPr>
        <w:t>ross</w:t>
      </w:r>
      <w:r w:rsidRPr="008E688A">
        <w:rPr>
          <w:color w:val="000000"/>
          <w:sz w:val="18"/>
        </w:rPr>
        <w:t>-border/</w:t>
      </w:r>
      <w:r w:rsidRPr="00630569" w:rsidR="007D2C6C">
        <w:rPr>
          <w:color w:val="000000"/>
          <w:sz w:val="18"/>
          <w:szCs w:val="18"/>
        </w:rPr>
        <w:t>n</w:t>
      </w:r>
      <w:r w:rsidRPr="00630569">
        <w:rPr>
          <w:color w:val="000000"/>
          <w:sz w:val="18"/>
          <w:szCs w:val="18"/>
        </w:rPr>
        <w:t>orthwest</w:t>
      </w:r>
      <w:r w:rsidRPr="008E688A">
        <w:rPr>
          <w:color w:val="000000"/>
          <w:sz w:val="18"/>
        </w:rPr>
        <w:t xml:space="preserve"> Syria) and other countries where the GBV and CVA sectors develop a joint action plan or workplan with regard to risk mitigation or use of sectoral cash for GBV programming. </w:t>
      </w:r>
    </w:p>
  </w:footnote>
  <w:footnote w:id="138">
    <w:p w:rsidRPr="009200E4" w:rsidR="003B0E6F" w:rsidP="009200E4" w:rsidRDefault="003B0E6F" w14:paraId="1FBDE902" w14:textId="122DD120">
      <w:pPr>
        <w:rPr>
          <w:color w:val="000000"/>
          <w:sz w:val="18"/>
        </w:rPr>
      </w:pPr>
      <w:r w:rsidRPr="009200E4">
        <w:rPr>
          <w:rStyle w:val="FootnoteReference"/>
          <w:sz w:val="18"/>
        </w:rPr>
        <w:footnoteRef/>
      </w:r>
      <w:r w:rsidRPr="009200E4">
        <w:rPr>
          <w:color w:val="000000"/>
          <w:sz w:val="18"/>
        </w:rPr>
        <w:t xml:space="preserve"> See </w:t>
      </w:r>
      <w:hyperlink w:history="1" r:id="rId105">
        <w:r w:rsidR="004A1247">
          <w:rPr>
            <w:rStyle w:val="Hyperlink"/>
            <w:sz w:val="18"/>
          </w:rPr>
          <w:t>Inter-Agency Minimum Standards for GBV in Emergencies (2019)</w:t>
        </w:r>
      </w:hyperlink>
      <w:r w:rsidRPr="009200E4">
        <w:rPr>
          <w:color w:val="000000"/>
          <w:sz w:val="18"/>
        </w:rPr>
        <w:t xml:space="preserve">, </w:t>
      </w:r>
      <w:r w:rsidRPr="009200E4" w:rsidR="00A03F6E">
        <w:rPr>
          <w:color w:val="000000"/>
          <w:sz w:val="18"/>
        </w:rPr>
        <w:t>pp.</w:t>
      </w:r>
      <w:r w:rsidRPr="009200E4">
        <w:rPr>
          <w:color w:val="000000"/>
          <w:sz w:val="18"/>
        </w:rPr>
        <w:t xml:space="preserve"> 101-102.</w:t>
      </w:r>
    </w:p>
  </w:footnote>
  <w:footnote w:id="139">
    <w:p w:rsidRPr="009200E4" w:rsidR="003B0E6F" w:rsidP="003B0E6F" w:rsidRDefault="003B0E6F" w14:paraId="53A0A4FA" w14:textId="4B3871E9">
      <w:pPr>
        <w:spacing w:line="240" w:lineRule="auto"/>
        <w:rPr>
          <w:sz w:val="18"/>
        </w:rPr>
      </w:pPr>
      <w:r w:rsidRPr="009200E4">
        <w:rPr>
          <w:rStyle w:val="FootnoteReference"/>
          <w:sz w:val="18"/>
        </w:rPr>
        <w:footnoteRef/>
      </w:r>
      <w:r w:rsidRPr="009200E4">
        <w:rPr>
          <w:sz w:val="18"/>
        </w:rPr>
        <w:t xml:space="preserve"> Adapted from Viswanathan, R. (2021), </w:t>
      </w:r>
      <w:r w:rsidRPr="009200E4">
        <w:rPr>
          <w:i/>
          <w:sz w:val="18"/>
        </w:rPr>
        <w:t xml:space="preserve">Learning from Practice: Resistance and Backlash to Preventing Violence against Women and Girls </w:t>
      </w:r>
      <w:r w:rsidRPr="009200E4">
        <w:rPr>
          <w:sz w:val="18"/>
        </w:rPr>
        <w:t xml:space="preserve">(New York, United Nations </w:t>
      </w:r>
      <w:r w:rsidRPr="009200E4" w:rsidR="00AC6FC3">
        <w:rPr>
          <w:sz w:val="18"/>
        </w:rPr>
        <w:t>trust fund to end violence against women</w:t>
      </w:r>
      <w:r w:rsidRPr="009200E4">
        <w:rPr>
          <w:sz w:val="18"/>
        </w:rPr>
        <w:t>).</w:t>
      </w:r>
      <w:hyperlink r:id="rId106">
        <w:r w:rsidRPr="009200E4">
          <w:rPr>
            <w:sz w:val="18"/>
          </w:rPr>
          <w:t xml:space="preserve"> </w:t>
        </w:r>
      </w:hyperlink>
      <w:hyperlink r:id="rId107">
        <w:r w:rsidRPr="009200E4">
          <w:rPr>
            <w:color w:val="1155CC"/>
            <w:sz w:val="18"/>
            <w:u w:val="single"/>
          </w:rPr>
          <w:t>https://untf.unwomen.org/sites/default/files/Field%20Office%20UNTF/Publications/2021/Prevention%20briefs/Resistance%20and%20backlash/Synthesis%20Review%207%20-%20resistance%20and%20backlash_v2_compressed.pdf</w:t>
        </w:r>
      </w:hyperlink>
      <w:r w:rsidR="0054022F">
        <w:rPr>
          <w:color w:val="1155CC"/>
          <w:sz w:val="18"/>
          <w:szCs w:val="18"/>
          <w:u w:val="single"/>
        </w:rPr>
        <w:t xml:space="preserve"> </w:t>
      </w:r>
      <w:r w:rsidRPr="004A1247" w:rsidR="0054022F">
        <w:rPr>
          <w:sz w:val="18"/>
          <w:szCs w:val="18"/>
        </w:rPr>
        <w:t>(accessed 27 June 2023)</w:t>
      </w:r>
      <w:r w:rsidRPr="004A1247" w:rsidR="0071522E">
        <w:rPr>
          <w:sz w:val="18"/>
          <w:szCs w:val="18"/>
        </w:rPr>
        <w:t>.</w:t>
      </w:r>
    </w:p>
  </w:footnote>
  <w:footnote w:id="140">
    <w:p w:rsidRPr="009200E4" w:rsidR="003B0E6F" w:rsidP="003B0E6F" w:rsidRDefault="003B0E6F" w14:paraId="54E5EDF3" w14:textId="5DB9404A">
      <w:pPr>
        <w:spacing w:line="240" w:lineRule="auto"/>
        <w:rPr>
          <w:sz w:val="18"/>
        </w:rPr>
      </w:pPr>
      <w:r w:rsidRPr="009200E4">
        <w:rPr>
          <w:rStyle w:val="FootnoteReference"/>
          <w:sz w:val="18"/>
        </w:rPr>
        <w:footnoteRef/>
      </w:r>
      <w:r w:rsidRPr="009200E4">
        <w:rPr>
          <w:sz w:val="18"/>
        </w:rPr>
        <w:t xml:space="preserve"> See International Rescue</w:t>
      </w:r>
      <w:r w:rsidR="00C3689E">
        <w:rPr>
          <w:sz w:val="18"/>
        </w:rPr>
        <w:t xml:space="preserve">, </w:t>
      </w:r>
      <w:hyperlink w:history="1" r:id="rId108">
        <w:r w:rsidR="00C3689E">
          <w:rPr>
            <w:rStyle w:val="Hyperlink"/>
            <w:sz w:val="18"/>
            <w:szCs w:val="18"/>
          </w:rPr>
          <w:t>EMPOWER: Preventing violence against women and girls in acute emergencies (2021)</w:t>
        </w:r>
      </w:hyperlink>
      <w:r w:rsidR="0054022F">
        <w:rPr>
          <w:sz w:val="18"/>
          <w:szCs w:val="18"/>
        </w:rPr>
        <w:t xml:space="preserve"> </w:t>
      </w:r>
      <w:r w:rsidRPr="0054022F" w:rsidR="0054022F">
        <w:rPr>
          <w:sz w:val="18"/>
          <w:szCs w:val="18"/>
        </w:rPr>
        <w:t>(accessed 27 June 2023)</w:t>
      </w:r>
      <w:r w:rsidRPr="00630569" w:rsidR="0071522E">
        <w:rPr>
          <w:sz w:val="18"/>
          <w:szCs w:val="18"/>
        </w:rPr>
        <w:t>.</w:t>
      </w:r>
    </w:p>
  </w:footnote>
  <w:footnote w:id="141">
    <w:p w:rsidRPr="009200E4" w:rsidR="003B0E6F" w:rsidP="009200E4" w:rsidRDefault="003B0E6F" w14:paraId="1590940C" w14:textId="4E921588">
      <w:pPr>
        <w:rPr>
          <w:color w:val="000000"/>
          <w:sz w:val="18"/>
        </w:rPr>
      </w:pPr>
      <w:r w:rsidRPr="009200E4">
        <w:rPr>
          <w:rStyle w:val="FootnoteReference"/>
          <w:sz w:val="18"/>
        </w:rPr>
        <w:footnoteRef/>
      </w:r>
      <w:r w:rsidRPr="009200E4">
        <w:rPr>
          <w:sz w:val="18"/>
        </w:rPr>
        <w:t xml:space="preserve"> </w:t>
      </w:r>
      <w:r w:rsidRPr="009200E4" w:rsidR="00947E52">
        <w:rPr>
          <w:sz w:val="18"/>
        </w:rPr>
        <w:t xml:space="preserve">These and other potential risks and concerns are identified in the prevention programming risk analysis checklist in </w:t>
      </w:r>
      <w:r w:rsidRPr="009200E4" w:rsidR="00F17760">
        <w:rPr>
          <w:sz w:val="18"/>
        </w:rPr>
        <w:t>Annex 6</w:t>
      </w:r>
      <w:r w:rsidRPr="009200E4" w:rsidR="00947E52">
        <w:rPr>
          <w:sz w:val="18"/>
        </w:rPr>
        <w:t xml:space="preserve">. See also </w:t>
      </w:r>
      <w:hyperlink w:history="1" r:id="rId109">
        <w:r w:rsidR="0078149A">
          <w:rPr>
            <w:rStyle w:val="Hyperlink"/>
            <w:sz w:val="18"/>
          </w:rPr>
          <w:t>Inter-Agency Minimum Standards for GBV in Emergencies (2019)</w:t>
        </w:r>
      </w:hyperlink>
      <w:r w:rsidRPr="00630569" w:rsidR="00D94E5E">
        <w:rPr>
          <w:sz w:val="18"/>
          <w:szCs w:val="18"/>
        </w:rPr>
        <w:t>,</w:t>
      </w:r>
      <w:r w:rsidRPr="00630569" w:rsidR="0071522E">
        <w:rPr>
          <w:sz w:val="18"/>
          <w:szCs w:val="18"/>
        </w:rPr>
        <w:t xml:space="preserve"> </w:t>
      </w:r>
      <w:r w:rsidRPr="009200E4" w:rsidR="0098715E">
        <w:rPr>
          <w:sz w:val="18"/>
        </w:rPr>
        <w:t>s</w:t>
      </w:r>
      <w:r w:rsidRPr="009200E4" w:rsidR="00947E52">
        <w:rPr>
          <w:sz w:val="18"/>
        </w:rPr>
        <w:t xml:space="preserve">tandard 13: Transforming </w:t>
      </w:r>
      <w:r w:rsidRPr="009200E4" w:rsidR="0098715E">
        <w:rPr>
          <w:sz w:val="18"/>
        </w:rPr>
        <w:t>systems and social norms</w:t>
      </w:r>
      <w:r w:rsidRPr="00630569" w:rsidR="00947E52">
        <w:rPr>
          <w:sz w:val="18"/>
          <w:szCs w:val="18"/>
        </w:rPr>
        <w:t>.</w:t>
      </w:r>
    </w:p>
  </w:footnote>
  <w:footnote w:id="142">
    <w:p w:rsidRPr="009200E4" w:rsidR="003B0E6F" w:rsidP="003B0E6F" w:rsidRDefault="007600A3" w14:paraId="48B394D6" w14:textId="700F44C0">
      <w:pPr>
        <w:pBdr>
          <w:top w:val="nil"/>
          <w:left w:val="nil"/>
          <w:bottom w:val="nil"/>
          <w:right w:val="nil"/>
          <w:between w:val="nil"/>
        </w:pBdr>
        <w:spacing w:line="240" w:lineRule="auto"/>
        <w:jc w:val="both"/>
        <w:rPr>
          <w:sz w:val="18"/>
        </w:rPr>
      </w:pPr>
      <w:r w:rsidRPr="009200E4">
        <w:rPr>
          <w:rStyle w:val="FootnoteReference"/>
          <w:sz w:val="18"/>
        </w:rPr>
        <w:footnoteRef/>
      </w:r>
      <w:r w:rsidRPr="005F6865" w:rsidR="003B421B">
        <w:rPr>
          <w:sz w:val="18"/>
          <w:szCs w:val="18"/>
        </w:rPr>
        <w:t xml:space="preserve"> </w:t>
      </w:r>
      <w:r w:rsidRPr="005F6865" w:rsidR="00124B2F">
        <w:rPr>
          <w:sz w:val="18"/>
          <w:szCs w:val="18"/>
        </w:rPr>
        <w:t xml:space="preserve">See GBV AOR </w:t>
      </w:r>
      <w:hyperlink w:history="1" r:id="rId110">
        <w:r w:rsidR="0078149A">
          <w:rPr>
            <w:rStyle w:val="Hyperlink"/>
            <w:sz w:val="18"/>
            <w:szCs w:val="18"/>
          </w:rPr>
          <w:t>coordination handbook (2019)</w:t>
        </w:r>
      </w:hyperlink>
      <w:r w:rsidR="0078149A">
        <w:rPr>
          <w:sz w:val="18"/>
          <w:szCs w:val="18"/>
        </w:rPr>
        <w:t xml:space="preserve"> </w:t>
      </w:r>
      <w:r w:rsidRPr="00B62C3C" w:rsidR="00B62C3C">
        <w:rPr>
          <w:sz w:val="18"/>
          <w:szCs w:val="18"/>
        </w:rPr>
        <w:t>(accessed 27 June 2023)</w:t>
      </w:r>
      <w:r w:rsidRPr="005F6865" w:rsidR="00124B2F">
        <w:rPr>
          <w:sz w:val="18"/>
          <w:szCs w:val="18"/>
        </w:rPr>
        <w:t>.</w:t>
      </w:r>
    </w:p>
  </w:footnote>
  <w:footnote w:id="143">
    <w:p w:rsidRPr="003D0D78" w:rsidR="003B0E6F" w:rsidP="003B0E6F" w:rsidRDefault="001F07FE" w14:paraId="2C61AD1C" w14:textId="52B076CE">
      <w:pPr>
        <w:pBdr>
          <w:top w:val="nil"/>
          <w:left w:val="nil"/>
          <w:bottom w:val="nil"/>
          <w:right w:val="nil"/>
          <w:between w:val="nil"/>
        </w:pBdr>
        <w:spacing w:line="240" w:lineRule="auto"/>
        <w:jc w:val="both"/>
        <w:rPr>
          <w:sz w:val="18"/>
        </w:rPr>
      </w:pPr>
      <w:r w:rsidRPr="009200E4">
        <w:rPr>
          <w:rStyle w:val="FootnoteReference"/>
          <w:sz w:val="18"/>
        </w:rPr>
        <w:t>157</w:t>
      </w:r>
      <w:r w:rsidRPr="009200E4" w:rsidR="003A6A2D">
        <w:rPr>
          <w:sz w:val="18"/>
        </w:rPr>
        <w:t xml:space="preserve"> </w:t>
      </w:r>
      <w:r w:rsidRPr="009200E4" w:rsidR="003B0E6F">
        <w:rPr>
          <w:sz w:val="18"/>
        </w:rPr>
        <w:t xml:space="preserve">For more information on information-sharing protocols, including format, contents and development, </w:t>
      </w:r>
      <w:r w:rsidR="00EC68DB">
        <w:rPr>
          <w:sz w:val="18"/>
        </w:rPr>
        <w:t xml:space="preserve">and acute emergency toolkit </w:t>
      </w:r>
      <w:r w:rsidRPr="009200E4" w:rsidR="003B0E6F">
        <w:rPr>
          <w:sz w:val="18"/>
        </w:rPr>
        <w:t xml:space="preserve">see </w:t>
      </w:r>
      <w:hyperlink w:history="1" r:id="rId111">
        <w:r w:rsidRPr="001527AE" w:rsidR="0078149A">
          <w:rPr>
            <w:rStyle w:val="Hyperlink"/>
            <w:sz w:val="18"/>
          </w:rPr>
          <w:t>www.gbvims.com</w:t>
        </w:r>
      </w:hyperlink>
      <w:r w:rsidR="0078149A">
        <w:rPr>
          <w:sz w:val="18"/>
        </w:rPr>
        <w:t xml:space="preserve"> </w:t>
      </w:r>
      <w:r w:rsidRPr="00B62C3C" w:rsidR="00B62C3C">
        <w:rPr>
          <w:sz w:val="18"/>
          <w:szCs w:val="18"/>
        </w:rPr>
        <w:t>(accessed 27 June 2023)</w:t>
      </w:r>
      <w:r w:rsidRPr="00630569" w:rsidR="003B0E6F">
        <w:rPr>
          <w:sz w:val="18"/>
          <w:szCs w:val="18"/>
        </w:rPr>
        <w:t>.</w:t>
      </w:r>
    </w:p>
  </w:footnote>
  <w:footnote w:id="144">
    <w:p w:rsidRPr="00DF1244" w:rsidR="003B0E6F" w:rsidP="003B0E6F" w:rsidRDefault="003B0E6F" w14:paraId="668C4D6D" w14:textId="56CA9447">
      <w:pPr>
        <w:pBdr>
          <w:top w:val="nil"/>
          <w:left w:val="nil"/>
          <w:bottom w:val="nil"/>
          <w:right w:val="nil"/>
          <w:between w:val="nil"/>
        </w:pBdr>
        <w:spacing w:line="240" w:lineRule="auto"/>
        <w:rPr>
          <w:color w:val="000000"/>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551F" w:rsidR="001D323A" w:rsidRDefault="00CE2830" w14:paraId="7E28FE72" w14:textId="2F8FCFB2">
    <w:pPr>
      <w:spacing w:line="240" w:lineRule="auto"/>
      <w:jc w:val="right"/>
    </w:pPr>
    <w:bookmarkStart w:name="_heading=h.3as4poj" w:colFirst="0" w:colLast="0" w:id="166"/>
    <w:bookmarkEnd w:id="166"/>
    <w:r w:rsidRPr="00DA551F">
      <w:t xml:space="preserve">Standard </w:t>
    </w:r>
    <w:r w:rsidRPr="00DA551F" w:rsidR="00896DC7">
      <w:t xml:space="preserve">operating procedures </w:t>
    </w:r>
    <w:r w:rsidRPr="00DA551F">
      <w:t xml:space="preserve">for GBV </w:t>
    </w:r>
    <w:r w:rsidRPr="00DA551F" w:rsidR="00896DC7">
      <w:t>interventions in humanitarian settings</w:t>
    </w:r>
  </w:p>
  <w:p w:rsidRPr="00585205" w:rsidR="001D323A" w:rsidRDefault="001D323A" w14:paraId="7E28FE73" w14:textId="77777777">
    <w:pPr>
      <w:pBdr>
        <w:top w:val="nil"/>
        <w:left w:val="nil"/>
        <w:bottom w:val="nil"/>
        <w:right w:val="nil"/>
        <w:between w:val="nil"/>
      </w:pBdr>
      <w:tabs>
        <w:tab w:val="center" w:pos="4680"/>
        <w:tab w:val="right" w:pos="9360"/>
      </w:tabs>
      <w:spacing w:line="240" w:lineRule="auto"/>
      <w:rPr>
        <w:rFonts w:ascii="Cambria" w:hAnsi="Cambria" w:eastAsia="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AA"/>
    <w:multiLevelType w:val="multilevel"/>
    <w:tmpl w:val="26C810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83C10"/>
    <w:multiLevelType w:val="multilevel"/>
    <w:tmpl w:val="E2184C9A"/>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2" w15:restartNumberingAfterBreak="0">
    <w:nsid w:val="00E920C2"/>
    <w:multiLevelType w:val="multilevel"/>
    <w:tmpl w:val="B4022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066DE3"/>
    <w:multiLevelType w:val="multilevel"/>
    <w:tmpl w:val="FCCE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535308"/>
    <w:multiLevelType w:val="multilevel"/>
    <w:tmpl w:val="577CA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A3079D"/>
    <w:multiLevelType w:val="multilevel"/>
    <w:tmpl w:val="65B40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647C79"/>
    <w:multiLevelType w:val="multilevel"/>
    <w:tmpl w:val="0C7A244E"/>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7" w15:restartNumberingAfterBreak="0">
    <w:nsid w:val="059023F7"/>
    <w:multiLevelType w:val="multilevel"/>
    <w:tmpl w:val="D188D416"/>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8" w15:restartNumberingAfterBreak="0">
    <w:nsid w:val="073823BA"/>
    <w:multiLevelType w:val="multilevel"/>
    <w:tmpl w:val="B3AC7586"/>
    <w:lvl w:ilvl="0">
      <w:start w:val="1"/>
      <w:numFmt w:val="decimal"/>
      <w:pStyle w:val="Heading1"/>
      <w:lvlText w:val="%1"/>
      <w:lvlJc w:val="left"/>
      <w:pPr>
        <w:ind w:left="480" w:hanging="480"/>
      </w:pPr>
      <w:rPr>
        <w:rFonts w:hint="default"/>
      </w:rPr>
    </w:lvl>
    <w:lvl w:ilvl="1">
      <w:start w:val="1"/>
      <w:numFmt w:val="decimal"/>
      <w:pStyle w:val="Heading2"/>
      <w:lvlText w:val="%1.%2"/>
      <w:lvlJc w:val="left"/>
      <w:pPr>
        <w:ind w:left="660" w:hanging="480"/>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0E4E73AE"/>
    <w:multiLevelType w:val="multilevel"/>
    <w:tmpl w:val="317CE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664468"/>
    <w:multiLevelType w:val="multilevel"/>
    <w:tmpl w:val="11AEBBDE"/>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1" w15:restartNumberingAfterBreak="0">
    <w:nsid w:val="17972528"/>
    <w:multiLevelType w:val="multilevel"/>
    <w:tmpl w:val="67D6E8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90B6D1E"/>
    <w:multiLevelType w:val="multilevel"/>
    <w:tmpl w:val="B1C67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297615"/>
    <w:multiLevelType w:val="multilevel"/>
    <w:tmpl w:val="B4467C2C"/>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4" w15:restartNumberingAfterBreak="0">
    <w:nsid w:val="1D952138"/>
    <w:multiLevelType w:val="hybridMultilevel"/>
    <w:tmpl w:val="BC5A57A6"/>
    <w:lvl w:ilvl="0" w:tplc="872881B0">
      <w:start w:val="2"/>
      <w:numFmt w:val="decimal"/>
      <w:pStyle w:val="Style2"/>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5587E"/>
    <w:multiLevelType w:val="multilevel"/>
    <w:tmpl w:val="6AF80940"/>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E2360D4"/>
    <w:multiLevelType w:val="multilevel"/>
    <w:tmpl w:val="A9489FD6"/>
    <w:lvl w:ilvl="0">
      <w:start w:val="1"/>
      <w:numFmt w:val="bullet"/>
      <w:lvlText w:val="●"/>
      <w:lvlJc w:val="left"/>
      <w:pPr>
        <w:ind w:left="1080" w:hanging="360"/>
      </w:pPr>
      <w:rPr>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1F7F0F28"/>
    <w:multiLevelType w:val="multilevel"/>
    <w:tmpl w:val="2B943950"/>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8" w15:restartNumberingAfterBreak="0">
    <w:nsid w:val="2361053E"/>
    <w:multiLevelType w:val="multilevel"/>
    <w:tmpl w:val="DA3E3D20"/>
    <w:styleLink w:val="CurrentList1"/>
    <w:lvl w:ilvl="0">
      <w:start w:val="1"/>
      <w:numFmt w:val="decimal"/>
      <w:lvlText w:val="%1"/>
      <w:lvlJc w:val="left"/>
      <w:pPr>
        <w:ind w:left="432" w:hanging="432"/>
      </w:pPr>
      <w:rPr>
        <w:color w:val="FFFFFF" w:themeColor="background1"/>
        <w:sz w:val="2"/>
        <w:szCs w:val="2"/>
      </w:rPr>
    </w:lvl>
    <w:lvl w:ilvl="1">
      <w:start w:val="1"/>
      <w:numFmt w:val="decimal"/>
      <w:lvlText w:val="%1.%2"/>
      <w:lvlJc w:val="left"/>
      <w:pPr>
        <w:ind w:left="5680" w:hanging="576"/>
      </w:pPr>
      <w:rPr>
        <w:b/>
        <w:bCs/>
      </w:rPr>
    </w:lvl>
    <w:lvl w:ilvl="2">
      <w:start w:val="1"/>
      <w:numFmt w:val="decimal"/>
      <w:lvlText w:val="%1.%2.%3"/>
      <w:lvlJc w:val="left"/>
      <w:pPr>
        <w:ind w:left="720" w:hanging="720"/>
      </w:pPr>
      <w:rPr>
        <w:b w:val="0"/>
        <w:bCs/>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F807357"/>
    <w:multiLevelType w:val="multilevel"/>
    <w:tmpl w:val="20E2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9D536D"/>
    <w:multiLevelType w:val="multilevel"/>
    <w:tmpl w:val="81AE65E8"/>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21" w15:restartNumberingAfterBreak="0">
    <w:nsid w:val="308A5CB2"/>
    <w:multiLevelType w:val="multilevel"/>
    <w:tmpl w:val="DB2E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1595EA8"/>
    <w:multiLevelType w:val="multilevel"/>
    <w:tmpl w:val="2D547B0C"/>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23" w15:restartNumberingAfterBreak="0">
    <w:nsid w:val="3241158C"/>
    <w:multiLevelType w:val="multilevel"/>
    <w:tmpl w:val="B3821510"/>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24" w15:restartNumberingAfterBreak="0">
    <w:nsid w:val="32F77A6B"/>
    <w:multiLevelType w:val="multilevel"/>
    <w:tmpl w:val="72F6C852"/>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hAnsi="Arial" w:eastAsia="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43064A5"/>
    <w:multiLevelType w:val="multilevel"/>
    <w:tmpl w:val="916431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8D6D93"/>
    <w:multiLevelType w:val="multilevel"/>
    <w:tmpl w:val="FA902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2126869"/>
    <w:multiLevelType w:val="multilevel"/>
    <w:tmpl w:val="9B4C4F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8E4B9F"/>
    <w:multiLevelType w:val="multilevel"/>
    <w:tmpl w:val="B9AEC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8AE7F2A"/>
    <w:multiLevelType w:val="multilevel"/>
    <w:tmpl w:val="5F220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BD41E3"/>
    <w:multiLevelType w:val="multilevel"/>
    <w:tmpl w:val="E9283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BB4721B"/>
    <w:multiLevelType w:val="multilevel"/>
    <w:tmpl w:val="80F47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8564D4"/>
    <w:multiLevelType w:val="multilevel"/>
    <w:tmpl w:val="692640D8"/>
    <w:styleLink w:val="CurrentList2"/>
    <w:lvl w:ilvl="0">
      <w:start w:val="1"/>
      <w:numFmt w:val="decimal"/>
      <w:lvlText w:val="%1"/>
      <w:lvlJc w:val="left"/>
      <w:pPr>
        <w:ind w:left="432" w:hanging="432"/>
      </w:pPr>
      <w:rPr>
        <w:b/>
        <w:bCs w:val="0"/>
      </w:rPr>
    </w:lvl>
    <w:lvl w:ilvl="1">
      <w:start w:val="1"/>
      <w:numFmt w:val="decimal"/>
      <w:lvlText w:val="%1.%2"/>
      <w:lvlJc w:val="left"/>
      <w:pPr>
        <w:ind w:left="576" w:hanging="576"/>
      </w:pPr>
      <w:rPr>
        <w:color w:val="0070C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E962B0"/>
    <w:multiLevelType w:val="multilevel"/>
    <w:tmpl w:val="9A22A1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631C003A"/>
    <w:multiLevelType w:val="multilevel"/>
    <w:tmpl w:val="A92437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3285107"/>
    <w:multiLevelType w:val="multilevel"/>
    <w:tmpl w:val="6646F656"/>
    <w:styleLink w:val="CurrentList4"/>
    <w:lvl w:ilvl="0">
      <w:start w:val="5"/>
      <w:numFmt w:val="decimal"/>
      <w:lvlText w:val="%1"/>
      <w:lvlJc w:val="left"/>
      <w:pPr>
        <w:ind w:left="432" w:hanging="432"/>
      </w:pPr>
      <w:rPr>
        <w:rFonts w:hint="default"/>
        <w:b/>
        <w:bCs w:val="0"/>
      </w:rPr>
    </w:lvl>
    <w:lvl w:ilvl="1">
      <w:start w:val="1"/>
      <w:numFmt w:val="decimal"/>
      <w:lvlText w:val="%1.%2"/>
      <w:lvlJc w:val="left"/>
      <w:pPr>
        <w:ind w:left="576" w:hanging="406"/>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33242F1"/>
    <w:multiLevelType w:val="multilevel"/>
    <w:tmpl w:val="AA88B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D4201F"/>
    <w:multiLevelType w:val="multilevel"/>
    <w:tmpl w:val="FCA8439A"/>
    <w:lvl w:ilvl="0">
      <w:start w:val="1"/>
      <w:numFmt w:val="bullet"/>
      <w:lvlText w:val="●"/>
      <w:lvlJc w:val="left"/>
      <w:pPr>
        <w:ind w:left="720" w:hanging="360"/>
      </w:pPr>
      <w:rPr>
        <w:rFonts w:ascii="Arial" w:hAnsi="Arial" w:eastAsia="Arial" w:cs="Arial"/>
        <w:b/>
        <w:color w:val="000000"/>
        <w:sz w:val="22"/>
        <w:szCs w:val="22"/>
      </w:rPr>
    </w:lvl>
    <w:lvl w:ilvl="1">
      <w:start w:val="1"/>
      <w:numFmt w:val="decimal"/>
      <w:lvlText w:val="●.%2"/>
      <w:lvlJc w:val="left"/>
      <w:pPr>
        <w:ind w:left="720" w:hanging="360"/>
      </w:pPr>
      <w:rPr>
        <w:b/>
      </w:rPr>
    </w:lvl>
    <w:lvl w:ilvl="2">
      <w:start w:val="1"/>
      <w:numFmt w:val="decimal"/>
      <w:lvlText w:val="●.%2.%3"/>
      <w:lvlJc w:val="left"/>
      <w:pPr>
        <w:ind w:left="1080" w:hanging="720"/>
      </w:pPr>
      <w:rPr>
        <w:b/>
      </w:rPr>
    </w:lvl>
    <w:lvl w:ilvl="3">
      <w:start w:val="1"/>
      <w:numFmt w:val="decimal"/>
      <w:lvlText w:val="●.%2.%3.%4"/>
      <w:lvlJc w:val="left"/>
      <w:pPr>
        <w:ind w:left="1080" w:hanging="720"/>
      </w:pPr>
      <w:rPr>
        <w:b/>
      </w:rPr>
    </w:lvl>
    <w:lvl w:ilvl="4">
      <w:start w:val="1"/>
      <w:numFmt w:val="decimal"/>
      <w:lvlText w:val="●.%2.%3.%4.%5"/>
      <w:lvlJc w:val="left"/>
      <w:pPr>
        <w:ind w:left="1440" w:hanging="1080"/>
      </w:pPr>
      <w:rPr>
        <w:b/>
      </w:rPr>
    </w:lvl>
    <w:lvl w:ilvl="5">
      <w:start w:val="1"/>
      <w:numFmt w:val="decimal"/>
      <w:lvlText w:val="●.%2.%3.%4.%5.%6"/>
      <w:lvlJc w:val="left"/>
      <w:pPr>
        <w:ind w:left="1440" w:hanging="1080"/>
      </w:pPr>
      <w:rPr>
        <w:b/>
      </w:rPr>
    </w:lvl>
    <w:lvl w:ilvl="6">
      <w:start w:val="1"/>
      <w:numFmt w:val="decimal"/>
      <w:lvlText w:val="●.%2.%3.%4.%5.%6.%7"/>
      <w:lvlJc w:val="left"/>
      <w:pPr>
        <w:ind w:left="1800" w:hanging="1440"/>
      </w:pPr>
      <w:rPr>
        <w:b/>
      </w:rPr>
    </w:lvl>
    <w:lvl w:ilvl="7">
      <w:start w:val="1"/>
      <w:numFmt w:val="decimal"/>
      <w:lvlText w:val="●.%2.%3.%4.%5.%6.%7.%8"/>
      <w:lvlJc w:val="left"/>
      <w:pPr>
        <w:ind w:left="1800" w:hanging="1440"/>
      </w:pPr>
      <w:rPr>
        <w:b/>
      </w:rPr>
    </w:lvl>
    <w:lvl w:ilvl="8">
      <w:start w:val="1"/>
      <w:numFmt w:val="decimal"/>
      <w:lvlText w:val="●.%2.%3.%4.%5.%6.%7.%8.%9"/>
      <w:lvlJc w:val="left"/>
      <w:pPr>
        <w:ind w:left="2160" w:hanging="1800"/>
      </w:pPr>
      <w:rPr>
        <w:b/>
      </w:rPr>
    </w:lvl>
  </w:abstractNum>
  <w:abstractNum w:abstractNumId="38" w15:restartNumberingAfterBreak="0">
    <w:nsid w:val="6D466167"/>
    <w:multiLevelType w:val="multilevel"/>
    <w:tmpl w:val="FE442DB6"/>
    <w:styleLink w:val="CurrentList3"/>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DC732DA"/>
    <w:multiLevelType w:val="multilevel"/>
    <w:tmpl w:val="084A5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1B452B3"/>
    <w:multiLevelType w:val="multilevel"/>
    <w:tmpl w:val="E4BA4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29217A"/>
    <w:multiLevelType w:val="multilevel"/>
    <w:tmpl w:val="FDF693F6"/>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hAnsi="Arial" w:eastAsia="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5458BE"/>
    <w:multiLevelType w:val="multilevel"/>
    <w:tmpl w:val="83C23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B5265E"/>
    <w:multiLevelType w:val="multilevel"/>
    <w:tmpl w:val="EBFE300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F2E6691"/>
    <w:multiLevelType w:val="hybridMultilevel"/>
    <w:tmpl w:val="35021FA0"/>
    <w:lvl w:ilvl="0" w:tplc="4AB0BA7E">
      <w:start w:val="1"/>
      <w:numFmt w:val="bullet"/>
      <w:lvlText w:val=""/>
      <w:lvlJc w:val="left"/>
      <w:pPr>
        <w:ind w:left="9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768850">
    <w:abstractNumId w:val="41"/>
  </w:num>
  <w:num w:numId="2" w16cid:durableId="2071071258">
    <w:abstractNumId w:val="29"/>
  </w:num>
  <w:num w:numId="3" w16cid:durableId="444235632">
    <w:abstractNumId w:val="40"/>
  </w:num>
  <w:num w:numId="4" w16cid:durableId="1909683621">
    <w:abstractNumId w:val="20"/>
  </w:num>
  <w:num w:numId="5" w16cid:durableId="1791390691">
    <w:abstractNumId w:val="5"/>
  </w:num>
  <w:num w:numId="6" w16cid:durableId="1781097471">
    <w:abstractNumId w:val="16"/>
  </w:num>
  <w:num w:numId="7" w16cid:durableId="746151112">
    <w:abstractNumId w:val="24"/>
  </w:num>
  <w:num w:numId="8" w16cid:durableId="86780510">
    <w:abstractNumId w:val="34"/>
  </w:num>
  <w:num w:numId="9" w16cid:durableId="1876577604">
    <w:abstractNumId w:val="22"/>
  </w:num>
  <w:num w:numId="10" w16cid:durableId="283510027">
    <w:abstractNumId w:val="27"/>
  </w:num>
  <w:num w:numId="11" w16cid:durableId="149296071">
    <w:abstractNumId w:val="37"/>
  </w:num>
  <w:num w:numId="12" w16cid:durableId="1179544186">
    <w:abstractNumId w:val="19"/>
  </w:num>
  <w:num w:numId="13" w16cid:durableId="1445536176">
    <w:abstractNumId w:val="12"/>
  </w:num>
  <w:num w:numId="14" w16cid:durableId="1062946515">
    <w:abstractNumId w:val="33"/>
  </w:num>
  <w:num w:numId="15" w16cid:durableId="1930770199">
    <w:abstractNumId w:val="36"/>
  </w:num>
  <w:num w:numId="16" w16cid:durableId="59984518">
    <w:abstractNumId w:val="31"/>
  </w:num>
  <w:num w:numId="17" w16cid:durableId="1124621602">
    <w:abstractNumId w:val="10"/>
  </w:num>
  <w:num w:numId="18" w16cid:durableId="2121795110">
    <w:abstractNumId w:val="9"/>
  </w:num>
  <w:num w:numId="19" w16cid:durableId="769089083">
    <w:abstractNumId w:val="3"/>
  </w:num>
  <w:num w:numId="20" w16cid:durableId="1631550548">
    <w:abstractNumId w:val="4"/>
  </w:num>
  <w:num w:numId="21" w16cid:durableId="717630150">
    <w:abstractNumId w:val="7"/>
  </w:num>
  <w:num w:numId="22" w16cid:durableId="1389844733">
    <w:abstractNumId w:val="17"/>
  </w:num>
  <w:num w:numId="23" w16cid:durableId="1804930897">
    <w:abstractNumId w:val="26"/>
  </w:num>
  <w:num w:numId="24" w16cid:durableId="1731922176">
    <w:abstractNumId w:val="23"/>
  </w:num>
  <w:num w:numId="25" w16cid:durableId="74940056">
    <w:abstractNumId w:val="28"/>
  </w:num>
  <w:num w:numId="26" w16cid:durableId="1385329306">
    <w:abstractNumId w:val="13"/>
  </w:num>
  <w:num w:numId="27" w16cid:durableId="569116606">
    <w:abstractNumId w:val="30"/>
  </w:num>
  <w:num w:numId="28" w16cid:durableId="919948438">
    <w:abstractNumId w:val="6"/>
  </w:num>
  <w:num w:numId="29" w16cid:durableId="116873376">
    <w:abstractNumId w:val="39"/>
  </w:num>
  <w:num w:numId="30" w16cid:durableId="682241176">
    <w:abstractNumId w:val="1"/>
  </w:num>
  <w:num w:numId="31" w16cid:durableId="2007246808">
    <w:abstractNumId w:val="11"/>
  </w:num>
  <w:num w:numId="32" w16cid:durableId="142087146">
    <w:abstractNumId w:val="21"/>
  </w:num>
  <w:num w:numId="33" w16cid:durableId="452939719">
    <w:abstractNumId w:val="42"/>
  </w:num>
  <w:num w:numId="34" w16cid:durableId="1862671055">
    <w:abstractNumId w:val="14"/>
  </w:num>
  <w:num w:numId="35" w16cid:durableId="1501581926">
    <w:abstractNumId w:val="18"/>
  </w:num>
  <w:num w:numId="36" w16cid:durableId="1839231539">
    <w:abstractNumId w:val="32"/>
  </w:num>
  <w:num w:numId="37" w16cid:durableId="175191126">
    <w:abstractNumId w:val="38"/>
  </w:num>
  <w:num w:numId="38" w16cid:durableId="1217859861">
    <w:abstractNumId w:val="35"/>
  </w:num>
  <w:num w:numId="39" w16cid:durableId="316883997">
    <w:abstractNumId w:val="43"/>
  </w:num>
  <w:num w:numId="40" w16cid:durableId="90782469">
    <w:abstractNumId w:val="44"/>
  </w:num>
  <w:num w:numId="41" w16cid:durableId="1647781707">
    <w:abstractNumId w:val="2"/>
  </w:num>
  <w:num w:numId="42" w16cid:durableId="1635602175">
    <w:abstractNumId w:val="0"/>
  </w:num>
  <w:num w:numId="43" w16cid:durableId="1745563877">
    <w:abstractNumId w:val="25"/>
  </w:num>
  <w:num w:numId="44" w16cid:durableId="207882780">
    <w:abstractNumId w:val="15"/>
  </w:num>
  <w:num w:numId="45" w16cid:durableId="1145316580">
    <w:abstractNumId w:val="8"/>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3A"/>
    <w:rsid w:val="00000E54"/>
    <w:rsid w:val="000020C5"/>
    <w:rsid w:val="000028B3"/>
    <w:rsid w:val="000047D7"/>
    <w:rsid w:val="0000771C"/>
    <w:rsid w:val="00007EE6"/>
    <w:rsid w:val="000100C2"/>
    <w:rsid w:val="00010BF1"/>
    <w:rsid w:val="00010C69"/>
    <w:rsid w:val="00013F28"/>
    <w:rsid w:val="000144F1"/>
    <w:rsid w:val="00015B04"/>
    <w:rsid w:val="00015FE6"/>
    <w:rsid w:val="00017416"/>
    <w:rsid w:val="00020B38"/>
    <w:rsid w:val="00020E75"/>
    <w:rsid w:val="000214C3"/>
    <w:rsid w:val="00021A5E"/>
    <w:rsid w:val="0002211A"/>
    <w:rsid w:val="000228CE"/>
    <w:rsid w:val="0002366C"/>
    <w:rsid w:val="00023D50"/>
    <w:rsid w:val="00024AAB"/>
    <w:rsid w:val="000257AB"/>
    <w:rsid w:val="00026AFC"/>
    <w:rsid w:val="00027E73"/>
    <w:rsid w:val="00031680"/>
    <w:rsid w:val="00031855"/>
    <w:rsid w:val="000325F8"/>
    <w:rsid w:val="0003393C"/>
    <w:rsid w:val="0003477F"/>
    <w:rsid w:val="00035025"/>
    <w:rsid w:val="00035772"/>
    <w:rsid w:val="0003592F"/>
    <w:rsid w:val="00036128"/>
    <w:rsid w:val="00037A2F"/>
    <w:rsid w:val="00041A00"/>
    <w:rsid w:val="000427CF"/>
    <w:rsid w:val="00042935"/>
    <w:rsid w:val="0004294C"/>
    <w:rsid w:val="0004359D"/>
    <w:rsid w:val="00043A41"/>
    <w:rsid w:val="000451BA"/>
    <w:rsid w:val="00045461"/>
    <w:rsid w:val="00045476"/>
    <w:rsid w:val="00045E51"/>
    <w:rsid w:val="00046382"/>
    <w:rsid w:val="00047351"/>
    <w:rsid w:val="00047F24"/>
    <w:rsid w:val="00047FDF"/>
    <w:rsid w:val="00050660"/>
    <w:rsid w:val="00052C12"/>
    <w:rsid w:val="0005346E"/>
    <w:rsid w:val="000536B2"/>
    <w:rsid w:val="00054285"/>
    <w:rsid w:val="00054910"/>
    <w:rsid w:val="0005650F"/>
    <w:rsid w:val="00057632"/>
    <w:rsid w:val="00057E3C"/>
    <w:rsid w:val="00060066"/>
    <w:rsid w:val="00061A25"/>
    <w:rsid w:val="00061E6D"/>
    <w:rsid w:val="00062911"/>
    <w:rsid w:val="0006342A"/>
    <w:rsid w:val="0006378E"/>
    <w:rsid w:val="000667E6"/>
    <w:rsid w:val="00066F0B"/>
    <w:rsid w:val="000670F9"/>
    <w:rsid w:val="000678CE"/>
    <w:rsid w:val="00067A93"/>
    <w:rsid w:val="0007066B"/>
    <w:rsid w:val="00071410"/>
    <w:rsid w:val="000727DC"/>
    <w:rsid w:val="00076310"/>
    <w:rsid w:val="00076FC2"/>
    <w:rsid w:val="0008163A"/>
    <w:rsid w:val="00081D28"/>
    <w:rsid w:val="00082134"/>
    <w:rsid w:val="00083FBB"/>
    <w:rsid w:val="000844F7"/>
    <w:rsid w:val="00084679"/>
    <w:rsid w:val="00085BE8"/>
    <w:rsid w:val="00085E12"/>
    <w:rsid w:val="00086AD8"/>
    <w:rsid w:val="00086D4F"/>
    <w:rsid w:val="0008737C"/>
    <w:rsid w:val="0009102F"/>
    <w:rsid w:val="00092014"/>
    <w:rsid w:val="000931F1"/>
    <w:rsid w:val="00093280"/>
    <w:rsid w:val="00095700"/>
    <w:rsid w:val="000963B3"/>
    <w:rsid w:val="00097852"/>
    <w:rsid w:val="000A0095"/>
    <w:rsid w:val="000A08F5"/>
    <w:rsid w:val="000A1119"/>
    <w:rsid w:val="000A1255"/>
    <w:rsid w:val="000A130B"/>
    <w:rsid w:val="000A1DBA"/>
    <w:rsid w:val="000A24A0"/>
    <w:rsid w:val="000A2BD4"/>
    <w:rsid w:val="000A3726"/>
    <w:rsid w:val="000A46C1"/>
    <w:rsid w:val="000A559F"/>
    <w:rsid w:val="000A5927"/>
    <w:rsid w:val="000A678F"/>
    <w:rsid w:val="000A777F"/>
    <w:rsid w:val="000A7AE3"/>
    <w:rsid w:val="000A7ECD"/>
    <w:rsid w:val="000B0E25"/>
    <w:rsid w:val="000B14DA"/>
    <w:rsid w:val="000B19FF"/>
    <w:rsid w:val="000B2411"/>
    <w:rsid w:val="000B3218"/>
    <w:rsid w:val="000C271D"/>
    <w:rsid w:val="000C417A"/>
    <w:rsid w:val="000C492F"/>
    <w:rsid w:val="000C52D6"/>
    <w:rsid w:val="000C7A66"/>
    <w:rsid w:val="000D07C5"/>
    <w:rsid w:val="000D0B5B"/>
    <w:rsid w:val="000D1986"/>
    <w:rsid w:val="000D1FD9"/>
    <w:rsid w:val="000D23AE"/>
    <w:rsid w:val="000D2B8D"/>
    <w:rsid w:val="000D2ED3"/>
    <w:rsid w:val="000D3AD6"/>
    <w:rsid w:val="000D472D"/>
    <w:rsid w:val="000D4FD9"/>
    <w:rsid w:val="000D521F"/>
    <w:rsid w:val="000D641F"/>
    <w:rsid w:val="000D6869"/>
    <w:rsid w:val="000D6F3A"/>
    <w:rsid w:val="000D778C"/>
    <w:rsid w:val="000D7EA5"/>
    <w:rsid w:val="000E1D56"/>
    <w:rsid w:val="000E3A70"/>
    <w:rsid w:val="000E6685"/>
    <w:rsid w:val="000E6FF0"/>
    <w:rsid w:val="000E777F"/>
    <w:rsid w:val="000F05A1"/>
    <w:rsid w:val="000F0D1F"/>
    <w:rsid w:val="000F16B9"/>
    <w:rsid w:val="000F1E9E"/>
    <w:rsid w:val="000F2044"/>
    <w:rsid w:val="000F22EE"/>
    <w:rsid w:val="000F3E52"/>
    <w:rsid w:val="000F5AE6"/>
    <w:rsid w:val="000F5FA3"/>
    <w:rsid w:val="000F5FE0"/>
    <w:rsid w:val="000F652B"/>
    <w:rsid w:val="000F6B7D"/>
    <w:rsid w:val="000F7581"/>
    <w:rsid w:val="000F7A6C"/>
    <w:rsid w:val="000F7EE1"/>
    <w:rsid w:val="00100780"/>
    <w:rsid w:val="00100BD0"/>
    <w:rsid w:val="0010149B"/>
    <w:rsid w:val="001017B1"/>
    <w:rsid w:val="001018EB"/>
    <w:rsid w:val="00101BAA"/>
    <w:rsid w:val="00101D69"/>
    <w:rsid w:val="0010295C"/>
    <w:rsid w:val="00103606"/>
    <w:rsid w:val="00103ADE"/>
    <w:rsid w:val="0010488D"/>
    <w:rsid w:val="001049A5"/>
    <w:rsid w:val="00107039"/>
    <w:rsid w:val="00107DDC"/>
    <w:rsid w:val="00110209"/>
    <w:rsid w:val="00111470"/>
    <w:rsid w:val="00112385"/>
    <w:rsid w:val="00113512"/>
    <w:rsid w:val="00113DCC"/>
    <w:rsid w:val="001162BE"/>
    <w:rsid w:val="001166F8"/>
    <w:rsid w:val="00116C0C"/>
    <w:rsid w:val="00117110"/>
    <w:rsid w:val="001174C2"/>
    <w:rsid w:val="0011777A"/>
    <w:rsid w:val="0012025A"/>
    <w:rsid w:val="001240AA"/>
    <w:rsid w:val="00124B2F"/>
    <w:rsid w:val="00125312"/>
    <w:rsid w:val="00130E72"/>
    <w:rsid w:val="001319D3"/>
    <w:rsid w:val="00131FE5"/>
    <w:rsid w:val="001323C8"/>
    <w:rsid w:val="001326B8"/>
    <w:rsid w:val="00133FD8"/>
    <w:rsid w:val="00134A5A"/>
    <w:rsid w:val="00135A5A"/>
    <w:rsid w:val="0013693D"/>
    <w:rsid w:val="00137A39"/>
    <w:rsid w:val="00140B53"/>
    <w:rsid w:val="00141A26"/>
    <w:rsid w:val="00141BD0"/>
    <w:rsid w:val="00141C48"/>
    <w:rsid w:val="00142CCF"/>
    <w:rsid w:val="0014632C"/>
    <w:rsid w:val="00147E30"/>
    <w:rsid w:val="001526A2"/>
    <w:rsid w:val="00152ADC"/>
    <w:rsid w:val="00153FBF"/>
    <w:rsid w:val="0015522E"/>
    <w:rsid w:val="001555D6"/>
    <w:rsid w:val="00155725"/>
    <w:rsid w:val="00155921"/>
    <w:rsid w:val="00156DA4"/>
    <w:rsid w:val="00161390"/>
    <w:rsid w:val="00161616"/>
    <w:rsid w:val="00161A04"/>
    <w:rsid w:val="0016212C"/>
    <w:rsid w:val="001626CF"/>
    <w:rsid w:val="001646F1"/>
    <w:rsid w:val="0016536D"/>
    <w:rsid w:val="001659BE"/>
    <w:rsid w:val="00165CA7"/>
    <w:rsid w:val="0016706F"/>
    <w:rsid w:val="00167D9B"/>
    <w:rsid w:val="00170FB2"/>
    <w:rsid w:val="0017124E"/>
    <w:rsid w:val="00171D8C"/>
    <w:rsid w:val="00171F40"/>
    <w:rsid w:val="001744EE"/>
    <w:rsid w:val="00174522"/>
    <w:rsid w:val="00174AB8"/>
    <w:rsid w:val="0017553F"/>
    <w:rsid w:val="00175817"/>
    <w:rsid w:val="00175F2E"/>
    <w:rsid w:val="0017621C"/>
    <w:rsid w:val="00176B7B"/>
    <w:rsid w:val="00177F69"/>
    <w:rsid w:val="001822B4"/>
    <w:rsid w:val="00183014"/>
    <w:rsid w:val="001830D0"/>
    <w:rsid w:val="00183475"/>
    <w:rsid w:val="00183603"/>
    <w:rsid w:val="00183EDC"/>
    <w:rsid w:val="00184000"/>
    <w:rsid w:val="00185981"/>
    <w:rsid w:val="00185BB3"/>
    <w:rsid w:val="00186E30"/>
    <w:rsid w:val="00187237"/>
    <w:rsid w:val="001876A5"/>
    <w:rsid w:val="0019008A"/>
    <w:rsid w:val="001904F1"/>
    <w:rsid w:val="00190AC1"/>
    <w:rsid w:val="00190E9A"/>
    <w:rsid w:val="00191E8D"/>
    <w:rsid w:val="00192181"/>
    <w:rsid w:val="00192C38"/>
    <w:rsid w:val="001935BB"/>
    <w:rsid w:val="0019364E"/>
    <w:rsid w:val="00193AB1"/>
    <w:rsid w:val="00194F51"/>
    <w:rsid w:val="00195384"/>
    <w:rsid w:val="001958FD"/>
    <w:rsid w:val="0019595F"/>
    <w:rsid w:val="00195B15"/>
    <w:rsid w:val="00195EEB"/>
    <w:rsid w:val="00195F11"/>
    <w:rsid w:val="001964A9"/>
    <w:rsid w:val="001964F3"/>
    <w:rsid w:val="001A0576"/>
    <w:rsid w:val="001A0D9F"/>
    <w:rsid w:val="001A1620"/>
    <w:rsid w:val="001A1D2D"/>
    <w:rsid w:val="001A29CB"/>
    <w:rsid w:val="001A3444"/>
    <w:rsid w:val="001A4054"/>
    <w:rsid w:val="001A566B"/>
    <w:rsid w:val="001A5E01"/>
    <w:rsid w:val="001A65E5"/>
    <w:rsid w:val="001A7A5E"/>
    <w:rsid w:val="001B14CE"/>
    <w:rsid w:val="001B3394"/>
    <w:rsid w:val="001B3AB3"/>
    <w:rsid w:val="001B3AED"/>
    <w:rsid w:val="001B466C"/>
    <w:rsid w:val="001B54D2"/>
    <w:rsid w:val="001B5778"/>
    <w:rsid w:val="001B5868"/>
    <w:rsid w:val="001B5B9C"/>
    <w:rsid w:val="001B691A"/>
    <w:rsid w:val="001B7528"/>
    <w:rsid w:val="001C0DFC"/>
    <w:rsid w:val="001C1B6E"/>
    <w:rsid w:val="001C266D"/>
    <w:rsid w:val="001C2841"/>
    <w:rsid w:val="001C3445"/>
    <w:rsid w:val="001C4685"/>
    <w:rsid w:val="001C4E19"/>
    <w:rsid w:val="001C5268"/>
    <w:rsid w:val="001C56C6"/>
    <w:rsid w:val="001C5E05"/>
    <w:rsid w:val="001C62A7"/>
    <w:rsid w:val="001C66E3"/>
    <w:rsid w:val="001C77FD"/>
    <w:rsid w:val="001D014B"/>
    <w:rsid w:val="001D0678"/>
    <w:rsid w:val="001D0F38"/>
    <w:rsid w:val="001D1194"/>
    <w:rsid w:val="001D125C"/>
    <w:rsid w:val="001D1812"/>
    <w:rsid w:val="001D1E5E"/>
    <w:rsid w:val="001D2010"/>
    <w:rsid w:val="001D27B3"/>
    <w:rsid w:val="001D323A"/>
    <w:rsid w:val="001D345E"/>
    <w:rsid w:val="001D3DA4"/>
    <w:rsid w:val="001D4DD6"/>
    <w:rsid w:val="001D5891"/>
    <w:rsid w:val="001D62CC"/>
    <w:rsid w:val="001D6986"/>
    <w:rsid w:val="001D766D"/>
    <w:rsid w:val="001D7BD4"/>
    <w:rsid w:val="001E004D"/>
    <w:rsid w:val="001E0E01"/>
    <w:rsid w:val="001E10EF"/>
    <w:rsid w:val="001E2A55"/>
    <w:rsid w:val="001E3007"/>
    <w:rsid w:val="001E30FD"/>
    <w:rsid w:val="001E4169"/>
    <w:rsid w:val="001E456D"/>
    <w:rsid w:val="001E53D5"/>
    <w:rsid w:val="001E5896"/>
    <w:rsid w:val="001E6545"/>
    <w:rsid w:val="001E720E"/>
    <w:rsid w:val="001F07FE"/>
    <w:rsid w:val="001F1484"/>
    <w:rsid w:val="001F15A8"/>
    <w:rsid w:val="001F46DD"/>
    <w:rsid w:val="001F47B3"/>
    <w:rsid w:val="001F71AD"/>
    <w:rsid w:val="001F751B"/>
    <w:rsid w:val="001F7A2C"/>
    <w:rsid w:val="001F7D7B"/>
    <w:rsid w:val="002001D9"/>
    <w:rsid w:val="00200C9A"/>
    <w:rsid w:val="002019BC"/>
    <w:rsid w:val="00202022"/>
    <w:rsid w:val="00202309"/>
    <w:rsid w:val="00202C87"/>
    <w:rsid w:val="00203D0E"/>
    <w:rsid w:val="0020684E"/>
    <w:rsid w:val="0020695E"/>
    <w:rsid w:val="00207322"/>
    <w:rsid w:val="0020740D"/>
    <w:rsid w:val="0020750E"/>
    <w:rsid w:val="002116FB"/>
    <w:rsid w:val="00212786"/>
    <w:rsid w:val="0021336F"/>
    <w:rsid w:val="00213B87"/>
    <w:rsid w:val="00214591"/>
    <w:rsid w:val="002149C4"/>
    <w:rsid w:val="00214ACD"/>
    <w:rsid w:val="00214C0A"/>
    <w:rsid w:val="00217C92"/>
    <w:rsid w:val="0022007E"/>
    <w:rsid w:val="00223161"/>
    <w:rsid w:val="002238B5"/>
    <w:rsid w:val="002239BA"/>
    <w:rsid w:val="00224225"/>
    <w:rsid w:val="00224EE5"/>
    <w:rsid w:val="0022573B"/>
    <w:rsid w:val="002312AD"/>
    <w:rsid w:val="00232AA3"/>
    <w:rsid w:val="00234D74"/>
    <w:rsid w:val="002353B2"/>
    <w:rsid w:val="00236EA5"/>
    <w:rsid w:val="002371C0"/>
    <w:rsid w:val="0023727D"/>
    <w:rsid w:val="00240F5A"/>
    <w:rsid w:val="0024116A"/>
    <w:rsid w:val="002412F9"/>
    <w:rsid w:val="00241A30"/>
    <w:rsid w:val="002426EC"/>
    <w:rsid w:val="00242B78"/>
    <w:rsid w:val="0024376F"/>
    <w:rsid w:val="002441FC"/>
    <w:rsid w:val="00244404"/>
    <w:rsid w:val="0024487C"/>
    <w:rsid w:val="0024572D"/>
    <w:rsid w:val="00245829"/>
    <w:rsid w:val="00245855"/>
    <w:rsid w:val="0024784B"/>
    <w:rsid w:val="0024785C"/>
    <w:rsid w:val="00247A75"/>
    <w:rsid w:val="0025065F"/>
    <w:rsid w:val="00250EB8"/>
    <w:rsid w:val="0025126D"/>
    <w:rsid w:val="002513DC"/>
    <w:rsid w:val="00252753"/>
    <w:rsid w:val="00252EEE"/>
    <w:rsid w:val="002538BE"/>
    <w:rsid w:val="0025527E"/>
    <w:rsid w:val="00255E96"/>
    <w:rsid w:val="00256172"/>
    <w:rsid w:val="00261E7F"/>
    <w:rsid w:val="00262131"/>
    <w:rsid w:val="00262883"/>
    <w:rsid w:val="002628BD"/>
    <w:rsid w:val="002629AD"/>
    <w:rsid w:val="00264D69"/>
    <w:rsid w:val="00265A67"/>
    <w:rsid w:val="00265F4D"/>
    <w:rsid w:val="00266FAB"/>
    <w:rsid w:val="0026739B"/>
    <w:rsid w:val="00267605"/>
    <w:rsid w:val="00271BE6"/>
    <w:rsid w:val="00271E60"/>
    <w:rsid w:val="00272DB5"/>
    <w:rsid w:val="002730E3"/>
    <w:rsid w:val="00273942"/>
    <w:rsid w:val="00276547"/>
    <w:rsid w:val="00276AD4"/>
    <w:rsid w:val="0028230D"/>
    <w:rsid w:val="002831AD"/>
    <w:rsid w:val="0028376F"/>
    <w:rsid w:val="00283C6D"/>
    <w:rsid w:val="00283F62"/>
    <w:rsid w:val="00284EA8"/>
    <w:rsid w:val="00284EA9"/>
    <w:rsid w:val="002868C0"/>
    <w:rsid w:val="00290424"/>
    <w:rsid w:val="00291AC4"/>
    <w:rsid w:val="00292DAD"/>
    <w:rsid w:val="00292E2F"/>
    <w:rsid w:val="0029335F"/>
    <w:rsid w:val="00293C10"/>
    <w:rsid w:val="0029432E"/>
    <w:rsid w:val="00294F8A"/>
    <w:rsid w:val="0029511E"/>
    <w:rsid w:val="0029623E"/>
    <w:rsid w:val="002968F0"/>
    <w:rsid w:val="002976A3"/>
    <w:rsid w:val="002A15CD"/>
    <w:rsid w:val="002A28E8"/>
    <w:rsid w:val="002A4C74"/>
    <w:rsid w:val="002A5C18"/>
    <w:rsid w:val="002A6A4B"/>
    <w:rsid w:val="002A77C4"/>
    <w:rsid w:val="002B0DD7"/>
    <w:rsid w:val="002B1063"/>
    <w:rsid w:val="002B12A4"/>
    <w:rsid w:val="002B1D58"/>
    <w:rsid w:val="002B329D"/>
    <w:rsid w:val="002B4828"/>
    <w:rsid w:val="002B4AED"/>
    <w:rsid w:val="002B5153"/>
    <w:rsid w:val="002B5416"/>
    <w:rsid w:val="002B5C3F"/>
    <w:rsid w:val="002B5E9E"/>
    <w:rsid w:val="002B64EE"/>
    <w:rsid w:val="002B6685"/>
    <w:rsid w:val="002B6E66"/>
    <w:rsid w:val="002B7FCA"/>
    <w:rsid w:val="002C2191"/>
    <w:rsid w:val="002C2842"/>
    <w:rsid w:val="002C2A46"/>
    <w:rsid w:val="002C3156"/>
    <w:rsid w:val="002C4811"/>
    <w:rsid w:val="002C5FE5"/>
    <w:rsid w:val="002C62EF"/>
    <w:rsid w:val="002C6AD5"/>
    <w:rsid w:val="002C7D0E"/>
    <w:rsid w:val="002D011C"/>
    <w:rsid w:val="002D0723"/>
    <w:rsid w:val="002D0744"/>
    <w:rsid w:val="002D15AE"/>
    <w:rsid w:val="002D1850"/>
    <w:rsid w:val="002D1A05"/>
    <w:rsid w:val="002D1E7B"/>
    <w:rsid w:val="002D25D2"/>
    <w:rsid w:val="002D3791"/>
    <w:rsid w:val="002D3ACA"/>
    <w:rsid w:val="002D460E"/>
    <w:rsid w:val="002D47AB"/>
    <w:rsid w:val="002D574D"/>
    <w:rsid w:val="002D6EE9"/>
    <w:rsid w:val="002E0F22"/>
    <w:rsid w:val="002E2700"/>
    <w:rsid w:val="002E321A"/>
    <w:rsid w:val="002E361B"/>
    <w:rsid w:val="002E42BA"/>
    <w:rsid w:val="002E4DB5"/>
    <w:rsid w:val="002E6073"/>
    <w:rsid w:val="002E71EE"/>
    <w:rsid w:val="002E7C50"/>
    <w:rsid w:val="002E7E1E"/>
    <w:rsid w:val="002F0B17"/>
    <w:rsid w:val="002F1271"/>
    <w:rsid w:val="002F2692"/>
    <w:rsid w:val="002F2F4A"/>
    <w:rsid w:val="002F4107"/>
    <w:rsid w:val="002F5A9E"/>
    <w:rsid w:val="002F6C1A"/>
    <w:rsid w:val="002F7590"/>
    <w:rsid w:val="0030083C"/>
    <w:rsid w:val="0030194C"/>
    <w:rsid w:val="00301CFF"/>
    <w:rsid w:val="003025F0"/>
    <w:rsid w:val="003027A5"/>
    <w:rsid w:val="00303C72"/>
    <w:rsid w:val="00303CFE"/>
    <w:rsid w:val="0030518A"/>
    <w:rsid w:val="00306487"/>
    <w:rsid w:val="00307822"/>
    <w:rsid w:val="00310364"/>
    <w:rsid w:val="00310C5D"/>
    <w:rsid w:val="003116ED"/>
    <w:rsid w:val="003117E1"/>
    <w:rsid w:val="00315391"/>
    <w:rsid w:val="003157D4"/>
    <w:rsid w:val="0031608B"/>
    <w:rsid w:val="00316503"/>
    <w:rsid w:val="003166F7"/>
    <w:rsid w:val="00317435"/>
    <w:rsid w:val="00320A1B"/>
    <w:rsid w:val="00321BAF"/>
    <w:rsid w:val="00321F77"/>
    <w:rsid w:val="00322051"/>
    <w:rsid w:val="00322BEF"/>
    <w:rsid w:val="003231B6"/>
    <w:rsid w:val="0032337C"/>
    <w:rsid w:val="00324947"/>
    <w:rsid w:val="00324A7D"/>
    <w:rsid w:val="00324E18"/>
    <w:rsid w:val="003263D3"/>
    <w:rsid w:val="00326883"/>
    <w:rsid w:val="00327010"/>
    <w:rsid w:val="003275AF"/>
    <w:rsid w:val="0032786B"/>
    <w:rsid w:val="00327932"/>
    <w:rsid w:val="00330472"/>
    <w:rsid w:val="003317BC"/>
    <w:rsid w:val="00331B1C"/>
    <w:rsid w:val="00333518"/>
    <w:rsid w:val="00333773"/>
    <w:rsid w:val="00333CF8"/>
    <w:rsid w:val="00333F77"/>
    <w:rsid w:val="00334593"/>
    <w:rsid w:val="00334ED3"/>
    <w:rsid w:val="003358F3"/>
    <w:rsid w:val="00336581"/>
    <w:rsid w:val="00336A62"/>
    <w:rsid w:val="00336AEB"/>
    <w:rsid w:val="00336AFF"/>
    <w:rsid w:val="0033718F"/>
    <w:rsid w:val="00340157"/>
    <w:rsid w:val="0034071D"/>
    <w:rsid w:val="00340819"/>
    <w:rsid w:val="00340BC5"/>
    <w:rsid w:val="0034140D"/>
    <w:rsid w:val="00341EDF"/>
    <w:rsid w:val="0034227C"/>
    <w:rsid w:val="00342E56"/>
    <w:rsid w:val="003434E0"/>
    <w:rsid w:val="00343625"/>
    <w:rsid w:val="003444B3"/>
    <w:rsid w:val="003444FF"/>
    <w:rsid w:val="00344EF9"/>
    <w:rsid w:val="0034749C"/>
    <w:rsid w:val="003479B2"/>
    <w:rsid w:val="00347D0C"/>
    <w:rsid w:val="00347EE0"/>
    <w:rsid w:val="003509CB"/>
    <w:rsid w:val="003519AA"/>
    <w:rsid w:val="00352871"/>
    <w:rsid w:val="003537EF"/>
    <w:rsid w:val="00355E4C"/>
    <w:rsid w:val="00356409"/>
    <w:rsid w:val="00357322"/>
    <w:rsid w:val="003574AD"/>
    <w:rsid w:val="00360B6D"/>
    <w:rsid w:val="00361098"/>
    <w:rsid w:val="00361237"/>
    <w:rsid w:val="00362594"/>
    <w:rsid w:val="003636A6"/>
    <w:rsid w:val="00363ED4"/>
    <w:rsid w:val="00363F04"/>
    <w:rsid w:val="00364001"/>
    <w:rsid w:val="00364A17"/>
    <w:rsid w:val="00364B48"/>
    <w:rsid w:val="00365688"/>
    <w:rsid w:val="00365B02"/>
    <w:rsid w:val="003665D6"/>
    <w:rsid w:val="003703FF"/>
    <w:rsid w:val="0037089A"/>
    <w:rsid w:val="003708CC"/>
    <w:rsid w:val="00370DEA"/>
    <w:rsid w:val="00371096"/>
    <w:rsid w:val="0037182E"/>
    <w:rsid w:val="00371CAE"/>
    <w:rsid w:val="00372D06"/>
    <w:rsid w:val="00374FF9"/>
    <w:rsid w:val="00375BDE"/>
    <w:rsid w:val="00375C8A"/>
    <w:rsid w:val="0037630B"/>
    <w:rsid w:val="00376756"/>
    <w:rsid w:val="00376F4C"/>
    <w:rsid w:val="00377CD3"/>
    <w:rsid w:val="00377FEE"/>
    <w:rsid w:val="00380149"/>
    <w:rsid w:val="00380223"/>
    <w:rsid w:val="00380750"/>
    <w:rsid w:val="0038083A"/>
    <w:rsid w:val="00381E31"/>
    <w:rsid w:val="0038201E"/>
    <w:rsid w:val="003831BE"/>
    <w:rsid w:val="00383B3E"/>
    <w:rsid w:val="00384943"/>
    <w:rsid w:val="00384FF8"/>
    <w:rsid w:val="0038559E"/>
    <w:rsid w:val="003856D5"/>
    <w:rsid w:val="00386475"/>
    <w:rsid w:val="003871C2"/>
    <w:rsid w:val="00387679"/>
    <w:rsid w:val="0039050C"/>
    <w:rsid w:val="00390DD1"/>
    <w:rsid w:val="003927C4"/>
    <w:rsid w:val="00393026"/>
    <w:rsid w:val="00393877"/>
    <w:rsid w:val="00393878"/>
    <w:rsid w:val="00395961"/>
    <w:rsid w:val="003962B6"/>
    <w:rsid w:val="00396FBD"/>
    <w:rsid w:val="00397142"/>
    <w:rsid w:val="003A041D"/>
    <w:rsid w:val="003A21E7"/>
    <w:rsid w:val="003A317F"/>
    <w:rsid w:val="003A6889"/>
    <w:rsid w:val="003A6A2D"/>
    <w:rsid w:val="003A7E42"/>
    <w:rsid w:val="003A7FD0"/>
    <w:rsid w:val="003B089A"/>
    <w:rsid w:val="003B08B9"/>
    <w:rsid w:val="003B0E6F"/>
    <w:rsid w:val="003B159F"/>
    <w:rsid w:val="003B245E"/>
    <w:rsid w:val="003B2743"/>
    <w:rsid w:val="003B3437"/>
    <w:rsid w:val="003B36E0"/>
    <w:rsid w:val="003B37F0"/>
    <w:rsid w:val="003B421B"/>
    <w:rsid w:val="003B556D"/>
    <w:rsid w:val="003B5D75"/>
    <w:rsid w:val="003C007D"/>
    <w:rsid w:val="003C1956"/>
    <w:rsid w:val="003C264D"/>
    <w:rsid w:val="003C294B"/>
    <w:rsid w:val="003C2FB4"/>
    <w:rsid w:val="003C359F"/>
    <w:rsid w:val="003C3DB6"/>
    <w:rsid w:val="003C3FA3"/>
    <w:rsid w:val="003C462A"/>
    <w:rsid w:val="003C7694"/>
    <w:rsid w:val="003D0D78"/>
    <w:rsid w:val="003D187D"/>
    <w:rsid w:val="003D21DA"/>
    <w:rsid w:val="003D3132"/>
    <w:rsid w:val="003D37CE"/>
    <w:rsid w:val="003D462C"/>
    <w:rsid w:val="003D4A55"/>
    <w:rsid w:val="003D6C4D"/>
    <w:rsid w:val="003D7318"/>
    <w:rsid w:val="003E03A8"/>
    <w:rsid w:val="003E0B0A"/>
    <w:rsid w:val="003E1946"/>
    <w:rsid w:val="003E27CC"/>
    <w:rsid w:val="003E4FA6"/>
    <w:rsid w:val="003E694F"/>
    <w:rsid w:val="003E7268"/>
    <w:rsid w:val="003E7B60"/>
    <w:rsid w:val="003F223F"/>
    <w:rsid w:val="003F25AE"/>
    <w:rsid w:val="003F2BF8"/>
    <w:rsid w:val="003F3403"/>
    <w:rsid w:val="003F3423"/>
    <w:rsid w:val="003F348C"/>
    <w:rsid w:val="003F3630"/>
    <w:rsid w:val="003F46B9"/>
    <w:rsid w:val="003F6631"/>
    <w:rsid w:val="003F6BE3"/>
    <w:rsid w:val="003F7687"/>
    <w:rsid w:val="003F7B88"/>
    <w:rsid w:val="0040069E"/>
    <w:rsid w:val="00402DC4"/>
    <w:rsid w:val="0040301F"/>
    <w:rsid w:val="00403679"/>
    <w:rsid w:val="00404E96"/>
    <w:rsid w:val="0040520A"/>
    <w:rsid w:val="00407366"/>
    <w:rsid w:val="00407EBA"/>
    <w:rsid w:val="00407F4D"/>
    <w:rsid w:val="004105D9"/>
    <w:rsid w:val="00411EE9"/>
    <w:rsid w:val="0041217A"/>
    <w:rsid w:val="00412567"/>
    <w:rsid w:val="004126F1"/>
    <w:rsid w:val="00413B34"/>
    <w:rsid w:val="0041552D"/>
    <w:rsid w:val="004171CA"/>
    <w:rsid w:val="00417DAE"/>
    <w:rsid w:val="004209F6"/>
    <w:rsid w:val="00422F50"/>
    <w:rsid w:val="0042303E"/>
    <w:rsid w:val="004231C1"/>
    <w:rsid w:val="00425210"/>
    <w:rsid w:val="0042538A"/>
    <w:rsid w:val="0043088E"/>
    <w:rsid w:val="00430C9F"/>
    <w:rsid w:val="00430F32"/>
    <w:rsid w:val="004314B6"/>
    <w:rsid w:val="0043348F"/>
    <w:rsid w:val="00433698"/>
    <w:rsid w:val="00433A51"/>
    <w:rsid w:val="00434006"/>
    <w:rsid w:val="0043467F"/>
    <w:rsid w:val="00434C5F"/>
    <w:rsid w:val="00434D90"/>
    <w:rsid w:val="00435701"/>
    <w:rsid w:val="004357D0"/>
    <w:rsid w:val="00435CCE"/>
    <w:rsid w:val="00440597"/>
    <w:rsid w:val="00440901"/>
    <w:rsid w:val="00440D47"/>
    <w:rsid w:val="00443163"/>
    <w:rsid w:val="00443221"/>
    <w:rsid w:val="0044373C"/>
    <w:rsid w:val="004446D7"/>
    <w:rsid w:val="00444D40"/>
    <w:rsid w:val="004452FE"/>
    <w:rsid w:val="0044742E"/>
    <w:rsid w:val="00447AAE"/>
    <w:rsid w:val="00450CA0"/>
    <w:rsid w:val="00451712"/>
    <w:rsid w:val="004519A2"/>
    <w:rsid w:val="00453099"/>
    <w:rsid w:val="00453CF7"/>
    <w:rsid w:val="00455F31"/>
    <w:rsid w:val="00456527"/>
    <w:rsid w:val="0046045E"/>
    <w:rsid w:val="00460AB8"/>
    <w:rsid w:val="00461384"/>
    <w:rsid w:val="00464767"/>
    <w:rsid w:val="00464EB6"/>
    <w:rsid w:val="00464FC2"/>
    <w:rsid w:val="004666E6"/>
    <w:rsid w:val="0046696B"/>
    <w:rsid w:val="00466A4F"/>
    <w:rsid w:val="00467918"/>
    <w:rsid w:val="004718FE"/>
    <w:rsid w:val="00471C8E"/>
    <w:rsid w:val="00471F58"/>
    <w:rsid w:val="004731E4"/>
    <w:rsid w:val="00473672"/>
    <w:rsid w:val="004741A2"/>
    <w:rsid w:val="004745AC"/>
    <w:rsid w:val="004751E6"/>
    <w:rsid w:val="00475D89"/>
    <w:rsid w:val="00476282"/>
    <w:rsid w:val="00480F74"/>
    <w:rsid w:val="0048128C"/>
    <w:rsid w:val="00482609"/>
    <w:rsid w:val="004831B0"/>
    <w:rsid w:val="004839F5"/>
    <w:rsid w:val="00483F59"/>
    <w:rsid w:val="00484108"/>
    <w:rsid w:val="004842E3"/>
    <w:rsid w:val="00484387"/>
    <w:rsid w:val="00485299"/>
    <w:rsid w:val="004859BB"/>
    <w:rsid w:val="00485FA0"/>
    <w:rsid w:val="004877CB"/>
    <w:rsid w:val="00487C7A"/>
    <w:rsid w:val="0049070D"/>
    <w:rsid w:val="00490EFE"/>
    <w:rsid w:val="004912B9"/>
    <w:rsid w:val="00491694"/>
    <w:rsid w:val="0049177C"/>
    <w:rsid w:val="0049292A"/>
    <w:rsid w:val="004932FD"/>
    <w:rsid w:val="00494457"/>
    <w:rsid w:val="00494834"/>
    <w:rsid w:val="00495EB5"/>
    <w:rsid w:val="00495ED6"/>
    <w:rsid w:val="00495F0A"/>
    <w:rsid w:val="0049634E"/>
    <w:rsid w:val="00497563"/>
    <w:rsid w:val="00497D93"/>
    <w:rsid w:val="004A1247"/>
    <w:rsid w:val="004A1876"/>
    <w:rsid w:val="004A3793"/>
    <w:rsid w:val="004A54FE"/>
    <w:rsid w:val="004A6B9C"/>
    <w:rsid w:val="004A74E4"/>
    <w:rsid w:val="004A7B51"/>
    <w:rsid w:val="004A7CA1"/>
    <w:rsid w:val="004B0164"/>
    <w:rsid w:val="004B09D7"/>
    <w:rsid w:val="004B0D74"/>
    <w:rsid w:val="004B2702"/>
    <w:rsid w:val="004B4123"/>
    <w:rsid w:val="004B4137"/>
    <w:rsid w:val="004B48FF"/>
    <w:rsid w:val="004B694F"/>
    <w:rsid w:val="004B7AF7"/>
    <w:rsid w:val="004C0E1A"/>
    <w:rsid w:val="004C1727"/>
    <w:rsid w:val="004C1BF3"/>
    <w:rsid w:val="004C2267"/>
    <w:rsid w:val="004C329D"/>
    <w:rsid w:val="004C3FCD"/>
    <w:rsid w:val="004C4A66"/>
    <w:rsid w:val="004C569B"/>
    <w:rsid w:val="004C5B9E"/>
    <w:rsid w:val="004C5D83"/>
    <w:rsid w:val="004C604C"/>
    <w:rsid w:val="004C6828"/>
    <w:rsid w:val="004C6F00"/>
    <w:rsid w:val="004C740C"/>
    <w:rsid w:val="004C7D56"/>
    <w:rsid w:val="004D3C09"/>
    <w:rsid w:val="004D6CAD"/>
    <w:rsid w:val="004D772B"/>
    <w:rsid w:val="004E1723"/>
    <w:rsid w:val="004E25FA"/>
    <w:rsid w:val="004E275B"/>
    <w:rsid w:val="004E2C4D"/>
    <w:rsid w:val="004E5199"/>
    <w:rsid w:val="004E61B7"/>
    <w:rsid w:val="004E66BD"/>
    <w:rsid w:val="004E6743"/>
    <w:rsid w:val="004E6B93"/>
    <w:rsid w:val="004E7FD3"/>
    <w:rsid w:val="004F0864"/>
    <w:rsid w:val="004F0A11"/>
    <w:rsid w:val="004F0B62"/>
    <w:rsid w:val="004F1A30"/>
    <w:rsid w:val="004F1C6F"/>
    <w:rsid w:val="004F2CE2"/>
    <w:rsid w:val="004F35B4"/>
    <w:rsid w:val="004F48C9"/>
    <w:rsid w:val="004F4984"/>
    <w:rsid w:val="004F7A92"/>
    <w:rsid w:val="00502D0A"/>
    <w:rsid w:val="00502E8D"/>
    <w:rsid w:val="005032A8"/>
    <w:rsid w:val="00506563"/>
    <w:rsid w:val="005075E6"/>
    <w:rsid w:val="00507709"/>
    <w:rsid w:val="00510A19"/>
    <w:rsid w:val="005129EF"/>
    <w:rsid w:val="0051367F"/>
    <w:rsid w:val="005155E7"/>
    <w:rsid w:val="005155FB"/>
    <w:rsid w:val="00515ED8"/>
    <w:rsid w:val="00516133"/>
    <w:rsid w:val="00516C19"/>
    <w:rsid w:val="00516F97"/>
    <w:rsid w:val="00517758"/>
    <w:rsid w:val="00520172"/>
    <w:rsid w:val="00520B25"/>
    <w:rsid w:val="00520D30"/>
    <w:rsid w:val="00520E7C"/>
    <w:rsid w:val="0052303C"/>
    <w:rsid w:val="00523C2C"/>
    <w:rsid w:val="005245E9"/>
    <w:rsid w:val="005248FB"/>
    <w:rsid w:val="0052498E"/>
    <w:rsid w:val="005258F8"/>
    <w:rsid w:val="00526D33"/>
    <w:rsid w:val="00527472"/>
    <w:rsid w:val="00530740"/>
    <w:rsid w:val="00530E48"/>
    <w:rsid w:val="005310B6"/>
    <w:rsid w:val="00531E11"/>
    <w:rsid w:val="00531F29"/>
    <w:rsid w:val="005320CB"/>
    <w:rsid w:val="00532404"/>
    <w:rsid w:val="00533E95"/>
    <w:rsid w:val="00534444"/>
    <w:rsid w:val="00534497"/>
    <w:rsid w:val="005345FF"/>
    <w:rsid w:val="00535CC0"/>
    <w:rsid w:val="00536A59"/>
    <w:rsid w:val="00536BB5"/>
    <w:rsid w:val="005373B0"/>
    <w:rsid w:val="0053787C"/>
    <w:rsid w:val="0054022F"/>
    <w:rsid w:val="0054100C"/>
    <w:rsid w:val="005411ED"/>
    <w:rsid w:val="0054272A"/>
    <w:rsid w:val="005438D0"/>
    <w:rsid w:val="0054419D"/>
    <w:rsid w:val="00544267"/>
    <w:rsid w:val="005443D2"/>
    <w:rsid w:val="00544951"/>
    <w:rsid w:val="005461D0"/>
    <w:rsid w:val="00551728"/>
    <w:rsid w:val="00553246"/>
    <w:rsid w:val="00553ABA"/>
    <w:rsid w:val="00554077"/>
    <w:rsid w:val="00554228"/>
    <w:rsid w:val="00555936"/>
    <w:rsid w:val="00556848"/>
    <w:rsid w:val="00556DCE"/>
    <w:rsid w:val="005575A2"/>
    <w:rsid w:val="0055777E"/>
    <w:rsid w:val="00561575"/>
    <w:rsid w:val="005617D5"/>
    <w:rsid w:val="00561D1D"/>
    <w:rsid w:val="00562595"/>
    <w:rsid w:val="0056267F"/>
    <w:rsid w:val="00562F45"/>
    <w:rsid w:val="00563705"/>
    <w:rsid w:val="00563ABD"/>
    <w:rsid w:val="0056440F"/>
    <w:rsid w:val="005650B3"/>
    <w:rsid w:val="005655D0"/>
    <w:rsid w:val="00566764"/>
    <w:rsid w:val="00566E98"/>
    <w:rsid w:val="005703F3"/>
    <w:rsid w:val="005708C6"/>
    <w:rsid w:val="0057134D"/>
    <w:rsid w:val="005714B3"/>
    <w:rsid w:val="00572731"/>
    <w:rsid w:val="00573E37"/>
    <w:rsid w:val="005741C3"/>
    <w:rsid w:val="00575805"/>
    <w:rsid w:val="00576417"/>
    <w:rsid w:val="00576509"/>
    <w:rsid w:val="00577267"/>
    <w:rsid w:val="005778CE"/>
    <w:rsid w:val="0058129B"/>
    <w:rsid w:val="00582643"/>
    <w:rsid w:val="00582ED9"/>
    <w:rsid w:val="005832B7"/>
    <w:rsid w:val="0058488E"/>
    <w:rsid w:val="005849B1"/>
    <w:rsid w:val="00585205"/>
    <w:rsid w:val="0058726C"/>
    <w:rsid w:val="005872A2"/>
    <w:rsid w:val="0058754A"/>
    <w:rsid w:val="00587FB7"/>
    <w:rsid w:val="00587FD3"/>
    <w:rsid w:val="0059142E"/>
    <w:rsid w:val="00591A92"/>
    <w:rsid w:val="00591DA8"/>
    <w:rsid w:val="005923A8"/>
    <w:rsid w:val="00595B0C"/>
    <w:rsid w:val="00595BD7"/>
    <w:rsid w:val="00597BC8"/>
    <w:rsid w:val="005A04A0"/>
    <w:rsid w:val="005A1728"/>
    <w:rsid w:val="005A1A93"/>
    <w:rsid w:val="005A1C96"/>
    <w:rsid w:val="005A2C6F"/>
    <w:rsid w:val="005A441F"/>
    <w:rsid w:val="005A7229"/>
    <w:rsid w:val="005A77BD"/>
    <w:rsid w:val="005B1048"/>
    <w:rsid w:val="005B1DBE"/>
    <w:rsid w:val="005B3F23"/>
    <w:rsid w:val="005B4C51"/>
    <w:rsid w:val="005B5B9B"/>
    <w:rsid w:val="005B5F9F"/>
    <w:rsid w:val="005B63B5"/>
    <w:rsid w:val="005B74F4"/>
    <w:rsid w:val="005B7E64"/>
    <w:rsid w:val="005C114C"/>
    <w:rsid w:val="005C21F7"/>
    <w:rsid w:val="005C25C2"/>
    <w:rsid w:val="005C2623"/>
    <w:rsid w:val="005C270B"/>
    <w:rsid w:val="005C3435"/>
    <w:rsid w:val="005C3CAE"/>
    <w:rsid w:val="005C4203"/>
    <w:rsid w:val="005C4705"/>
    <w:rsid w:val="005C474F"/>
    <w:rsid w:val="005C4D44"/>
    <w:rsid w:val="005C6885"/>
    <w:rsid w:val="005C7574"/>
    <w:rsid w:val="005C7680"/>
    <w:rsid w:val="005C7908"/>
    <w:rsid w:val="005D17E7"/>
    <w:rsid w:val="005D19FC"/>
    <w:rsid w:val="005D1C8A"/>
    <w:rsid w:val="005D1DC0"/>
    <w:rsid w:val="005D2031"/>
    <w:rsid w:val="005D25D3"/>
    <w:rsid w:val="005D35CD"/>
    <w:rsid w:val="005D3D49"/>
    <w:rsid w:val="005D3EAD"/>
    <w:rsid w:val="005D5E57"/>
    <w:rsid w:val="005D6A83"/>
    <w:rsid w:val="005E0A4F"/>
    <w:rsid w:val="005E10AA"/>
    <w:rsid w:val="005E1813"/>
    <w:rsid w:val="005E1E58"/>
    <w:rsid w:val="005E2962"/>
    <w:rsid w:val="005E2B46"/>
    <w:rsid w:val="005E2D2C"/>
    <w:rsid w:val="005E3E24"/>
    <w:rsid w:val="005E60C9"/>
    <w:rsid w:val="005E70A8"/>
    <w:rsid w:val="005E70CB"/>
    <w:rsid w:val="005F0E11"/>
    <w:rsid w:val="005F1D51"/>
    <w:rsid w:val="005F3408"/>
    <w:rsid w:val="005F3459"/>
    <w:rsid w:val="005F4474"/>
    <w:rsid w:val="005F49CF"/>
    <w:rsid w:val="005F6484"/>
    <w:rsid w:val="005F64E9"/>
    <w:rsid w:val="005F6865"/>
    <w:rsid w:val="005F722C"/>
    <w:rsid w:val="005F7676"/>
    <w:rsid w:val="0060138C"/>
    <w:rsid w:val="00601E00"/>
    <w:rsid w:val="006020E2"/>
    <w:rsid w:val="006029BF"/>
    <w:rsid w:val="00603BFD"/>
    <w:rsid w:val="00604D5A"/>
    <w:rsid w:val="006051E5"/>
    <w:rsid w:val="006058AB"/>
    <w:rsid w:val="00610520"/>
    <w:rsid w:val="006131BB"/>
    <w:rsid w:val="00613468"/>
    <w:rsid w:val="0061400E"/>
    <w:rsid w:val="00614CA0"/>
    <w:rsid w:val="006160CB"/>
    <w:rsid w:val="006165CE"/>
    <w:rsid w:val="00616C5E"/>
    <w:rsid w:val="0062065B"/>
    <w:rsid w:val="00621C72"/>
    <w:rsid w:val="00622C34"/>
    <w:rsid w:val="00624531"/>
    <w:rsid w:val="00624B43"/>
    <w:rsid w:val="00624BBD"/>
    <w:rsid w:val="0062579A"/>
    <w:rsid w:val="00625847"/>
    <w:rsid w:val="00625A29"/>
    <w:rsid w:val="00627A19"/>
    <w:rsid w:val="0063003B"/>
    <w:rsid w:val="00630569"/>
    <w:rsid w:val="0063058A"/>
    <w:rsid w:val="00630F62"/>
    <w:rsid w:val="006321AC"/>
    <w:rsid w:val="00632D0E"/>
    <w:rsid w:val="00633972"/>
    <w:rsid w:val="00635147"/>
    <w:rsid w:val="00635234"/>
    <w:rsid w:val="00635FF9"/>
    <w:rsid w:val="006367E4"/>
    <w:rsid w:val="006370CE"/>
    <w:rsid w:val="0064124D"/>
    <w:rsid w:val="00642F05"/>
    <w:rsid w:val="00643040"/>
    <w:rsid w:val="0064318D"/>
    <w:rsid w:val="00643511"/>
    <w:rsid w:val="00643840"/>
    <w:rsid w:val="006455D7"/>
    <w:rsid w:val="00645A86"/>
    <w:rsid w:val="00645D38"/>
    <w:rsid w:val="00646256"/>
    <w:rsid w:val="00647B9A"/>
    <w:rsid w:val="006519B7"/>
    <w:rsid w:val="00651F98"/>
    <w:rsid w:val="0065238D"/>
    <w:rsid w:val="0065468F"/>
    <w:rsid w:val="00655888"/>
    <w:rsid w:val="00655A19"/>
    <w:rsid w:val="00655C77"/>
    <w:rsid w:val="00655D76"/>
    <w:rsid w:val="0065638E"/>
    <w:rsid w:val="00657816"/>
    <w:rsid w:val="0065784D"/>
    <w:rsid w:val="00661F41"/>
    <w:rsid w:val="00662804"/>
    <w:rsid w:val="00662E31"/>
    <w:rsid w:val="006635F7"/>
    <w:rsid w:val="006639E9"/>
    <w:rsid w:val="00664ADC"/>
    <w:rsid w:val="00664E70"/>
    <w:rsid w:val="006656A6"/>
    <w:rsid w:val="00665D5F"/>
    <w:rsid w:val="0066772D"/>
    <w:rsid w:val="006714EA"/>
    <w:rsid w:val="00671B53"/>
    <w:rsid w:val="006727B6"/>
    <w:rsid w:val="00672BB4"/>
    <w:rsid w:val="00673885"/>
    <w:rsid w:val="00674179"/>
    <w:rsid w:val="00674216"/>
    <w:rsid w:val="006746E9"/>
    <w:rsid w:val="00674AAD"/>
    <w:rsid w:val="00674AD2"/>
    <w:rsid w:val="006758B9"/>
    <w:rsid w:val="00675A54"/>
    <w:rsid w:val="00675EBA"/>
    <w:rsid w:val="006768C3"/>
    <w:rsid w:val="00676C9C"/>
    <w:rsid w:val="00677ACB"/>
    <w:rsid w:val="00677B53"/>
    <w:rsid w:val="00677D85"/>
    <w:rsid w:val="006802AB"/>
    <w:rsid w:val="0068047E"/>
    <w:rsid w:val="006809AB"/>
    <w:rsid w:val="00680F96"/>
    <w:rsid w:val="00682CB1"/>
    <w:rsid w:val="00682F91"/>
    <w:rsid w:val="00683807"/>
    <w:rsid w:val="00683908"/>
    <w:rsid w:val="006841E2"/>
    <w:rsid w:val="006844E3"/>
    <w:rsid w:val="00685803"/>
    <w:rsid w:val="006863C1"/>
    <w:rsid w:val="006941F4"/>
    <w:rsid w:val="00696AEB"/>
    <w:rsid w:val="006A02DD"/>
    <w:rsid w:val="006A045C"/>
    <w:rsid w:val="006A3560"/>
    <w:rsid w:val="006A401B"/>
    <w:rsid w:val="006A4F0C"/>
    <w:rsid w:val="006A7707"/>
    <w:rsid w:val="006A77B8"/>
    <w:rsid w:val="006B210D"/>
    <w:rsid w:val="006B3DE8"/>
    <w:rsid w:val="006B3FE9"/>
    <w:rsid w:val="006B4170"/>
    <w:rsid w:val="006B5248"/>
    <w:rsid w:val="006B554A"/>
    <w:rsid w:val="006C06C8"/>
    <w:rsid w:val="006C0B06"/>
    <w:rsid w:val="006C0FAF"/>
    <w:rsid w:val="006C10ED"/>
    <w:rsid w:val="006C1395"/>
    <w:rsid w:val="006C185A"/>
    <w:rsid w:val="006C290C"/>
    <w:rsid w:val="006C3056"/>
    <w:rsid w:val="006C3A53"/>
    <w:rsid w:val="006C46AD"/>
    <w:rsid w:val="006C6774"/>
    <w:rsid w:val="006C7F5A"/>
    <w:rsid w:val="006D16F2"/>
    <w:rsid w:val="006D17F1"/>
    <w:rsid w:val="006D1DED"/>
    <w:rsid w:val="006D2076"/>
    <w:rsid w:val="006D3668"/>
    <w:rsid w:val="006D4DCF"/>
    <w:rsid w:val="006D61A9"/>
    <w:rsid w:val="006D6D41"/>
    <w:rsid w:val="006E00D3"/>
    <w:rsid w:val="006E0C18"/>
    <w:rsid w:val="006E157B"/>
    <w:rsid w:val="006E20B0"/>
    <w:rsid w:val="006E4B5B"/>
    <w:rsid w:val="006E4F2F"/>
    <w:rsid w:val="006E65EA"/>
    <w:rsid w:val="006F0115"/>
    <w:rsid w:val="006F244A"/>
    <w:rsid w:val="006F40A1"/>
    <w:rsid w:val="006F4ADD"/>
    <w:rsid w:val="006F4D2C"/>
    <w:rsid w:val="006F5141"/>
    <w:rsid w:val="006F5467"/>
    <w:rsid w:val="006F579D"/>
    <w:rsid w:val="006F7122"/>
    <w:rsid w:val="006F728A"/>
    <w:rsid w:val="0070146D"/>
    <w:rsid w:val="00701F5D"/>
    <w:rsid w:val="00702140"/>
    <w:rsid w:val="00702B77"/>
    <w:rsid w:val="007039F5"/>
    <w:rsid w:val="00703D1D"/>
    <w:rsid w:val="00704EE5"/>
    <w:rsid w:val="0070760C"/>
    <w:rsid w:val="00710364"/>
    <w:rsid w:val="00710392"/>
    <w:rsid w:val="0071294F"/>
    <w:rsid w:val="00712B76"/>
    <w:rsid w:val="00713646"/>
    <w:rsid w:val="00713CD1"/>
    <w:rsid w:val="00714320"/>
    <w:rsid w:val="007145EC"/>
    <w:rsid w:val="007149E3"/>
    <w:rsid w:val="0071522E"/>
    <w:rsid w:val="00716157"/>
    <w:rsid w:val="00716278"/>
    <w:rsid w:val="0071665F"/>
    <w:rsid w:val="00716B19"/>
    <w:rsid w:val="00716FFA"/>
    <w:rsid w:val="00717495"/>
    <w:rsid w:val="007177C2"/>
    <w:rsid w:val="007178FC"/>
    <w:rsid w:val="00717C6B"/>
    <w:rsid w:val="007206E3"/>
    <w:rsid w:val="00720EA4"/>
    <w:rsid w:val="00720ECE"/>
    <w:rsid w:val="00721162"/>
    <w:rsid w:val="00721F42"/>
    <w:rsid w:val="00723BC5"/>
    <w:rsid w:val="007248E2"/>
    <w:rsid w:val="00725060"/>
    <w:rsid w:val="007276A8"/>
    <w:rsid w:val="00730E4C"/>
    <w:rsid w:val="00731CB0"/>
    <w:rsid w:val="007323B2"/>
    <w:rsid w:val="00733CA1"/>
    <w:rsid w:val="00734733"/>
    <w:rsid w:val="007359A9"/>
    <w:rsid w:val="00736E5B"/>
    <w:rsid w:val="00740AFE"/>
    <w:rsid w:val="00740B6B"/>
    <w:rsid w:val="00742536"/>
    <w:rsid w:val="0074297C"/>
    <w:rsid w:val="00743BD8"/>
    <w:rsid w:val="00745457"/>
    <w:rsid w:val="007462BA"/>
    <w:rsid w:val="00746453"/>
    <w:rsid w:val="00747539"/>
    <w:rsid w:val="0075030A"/>
    <w:rsid w:val="007511C3"/>
    <w:rsid w:val="00751312"/>
    <w:rsid w:val="00753224"/>
    <w:rsid w:val="00753245"/>
    <w:rsid w:val="007564A5"/>
    <w:rsid w:val="007600A3"/>
    <w:rsid w:val="00760770"/>
    <w:rsid w:val="00760B61"/>
    <w:rsid w:val="0076100E"/>
    <w:rsid w:val="007613D5"/>
    <w:rsid w:val="00761DE5"/>
    <w:rsid w:val="0076290D"/>
    <w:rsid w:val="0076380A"/>
    <w:rsid w:val="00765D53"/>
    <w:rsid w:val="0076682D"/>
    <w:rsid w:val="0076760B"/>
    <w:rsid w:val="0077007B"/>
    <w:rsid w:val="00772347"/>
    <w:rsid w:val="0077244E"/>
    <w:rsid w:val="0077391C"/>
    <w:rsid w:val="00774F60"/>
    <w:rsid w:val="00775E15"/>
    <w:rsid w:val="00777179"/>
    <w:rsid w:val="00777E24"/>
    <w:rsid w:val="00780693"/>
    <w:rsid w:val="00781286"/>
    <w:rsid w:val="007813D4"/>
    <w:rsid w:val="0078149A"/>
    <w:rsid w:val="00781B23"/>
    <w:rsid w:val="0078338F"/>
    <w:rsid w:val="0078396C"/>
    <w:rsid w:val="0078455E"/>
    <w:rsid w:val="00784690"/>
    <w:rsid w:val="00787412"/>
    <w:rsid w:val="00787895"/>
    <w:rsid w:val="00790BC5"/>
    <w:rsid w:val="007918CB"/>
    <w:rsid w:val="00791DF9"/>
    <w:rsid w:val="00793A3B"/>
    <w:rsid w:val="00793BEB"/>
    <w:rsid w:val="00794E79"/>
    <w:rsid w:val="0079534A"/>
    <w:rsid w:val="00795B5C"/>
    <w:rsid w:val="00796448"/>
    <w:rsid w:val="00796AE1"/>
    <w:rsid w:val="007974C9"/>
    <w:rsid w:val="007A1C30"/>
    <w:rsid w:val="007A1CA7"/>
    <w:rsid w:val="007A225E"/>
    <w:rsid w:val="007A41F2"/>
    <w:rsid w:val="007A4FE4"/>
    <w:rsid w:val="007A5A82"/>
    <w:rsid w:val="007A5C96"/>
    <w:rsid w:val="007A67DF"/>
    <w:rsid w:val="007A7F64"/>
    <w:rsid w:val="007A7F90"/>
    <w:rsid w:val="007B0868"/>
    <w:rsid w:val="007B10E8"/>
    <w:rsid w:val="007B153D"/>
    <w:rsid w:val="007B1841"/>
    <w:rsid w:val="007B1AC6"/>
    <w:rsid w:val="007B2C78"/>
    <w:rsid w:val="007B407E"/>
    <w:rsid w:val="007B4099"/>
    <w:rsid w:val="007B47BF"/>
    <w:rsid w:val="007B4F50"/>
    <w:rsid w:val="007B57E6"/>
    <w:rsid w:val="007B5E02"/>
    <w:rsid w:val="007B62FD"/>
    <w:rsid w:val="007B6528"/>
    <w:rsid w:val="007B6D44"/>
    <w:rsid w:val="007C125E"/>
    <w:rsid w:val="007C1884"/>
    <w:rsid w:val="007C331C"/>
    <w:rsid w:val="007C37B2"/>
    <w:rsid w:val="007C4AD3"/>
    <w:rsid w:val="007C4B10"/>
    <w:rsid w:val="007C519A"/>
    <w:rsid w:val="007C5CEC"/>
    <w:rsid w:val="007C5E9A"/>
    <w:rsid w:val="007C6812"/>
    <w:rsid w:val="007C6821"/>
    <w:rsid w:val="007C706C"/>
    <w:rsid w:val="007C72B8"/>
    <w:rsid w:val="007C7561"/>
    <w:rsid w:val="007C7CD4"/>
    <w:rsid w:val="007D090F"/>
    <w:rsid w:val="007D0972"/>
    <w:rsid w:val="007D0A91"/>
    <w:rsid w:val="007D2C6C"/>
    <w:rsid w:val="007D3575"/>
    <w:rsid w:val="007D3A39"/>
    <w:rsid w:val="007D4300"/>
    <w:rsid w:val="007D5339"/>
    <w:rsid w:val="007D5590"/>
    <w:rsid w:val="007D64B0"/>
    <w:rsid w:val="007D6A81"/>
    <w:rsid w:val="007D6B04"/>
    <w:rsid w:val="007D7805"/>
    <w:rsid w:val="007D7C41"/>
    <w:rsid w:val="007E03E1"/>
    <w:rsid w:val="007E13D4"/>
    <w:rsid w:val="007E2EDD"/>
    <w:rsid w:val="007E3ECC"/>
    <w:rsid w:val="007E3F39"/>
    <w:rsid w:val="007E47EF"/>
    <w:rsid w:val="007E4CAF"/>
    <w:rsid w:val="007E5424"/>
    <w:rsid w:val="007E57FB"/>
    <w:rsid w:val="007E6F60"/>
    <w:rsid w:val="007F133A"/>
    <w:rsid w:val="007F1E03"/>
    <w:rsid w:val="007F1F95"/>
    <w:rsid w:val="007F3130"/>
    <w:rsid w:val="007F4B13"/>
    <w:rsid w:val="007F4FA8"/>
    <w:rsid w:val="007F614B"/>
    <w:rsid w:val="007F69F6"/>
    <w:rsid w:val="007F7C0F"/>
    <w:rsid w:val="007F7FA6"/>
    <w:rsid w:val="00802B65"/>
    <w:rsid w:val="0080533A"/>
    <w:rsid w:val="00806628"/>
    <w:rsid w:val="00807EA2"/>
    <w:rsid w:val="00807F0A"/>
    <w:rsid w:val="008106B9"/>
    <w:rsid w:val="0081097B"/>
    <w:rsid w:val="0081152D"/>
    <w:rsid w:val="00811765"/>
    <w:rsid w:val="00811C48"/>
    <w:rsid w:val="00811E11"/>
    <w:rsid w:val="00812262"/>
    <w:rsid w:val="00813849"/>
    <w:rsid w:val="00813CAA"/>
    <w:rsid w:val="00814425"/>
    <w:rsid w:val="008154F6"/>
    <w:rsid w:val="00815C2F"/>
    <w:rsid w:val="00817208"/>
    <w:rsid w:val="00817B2A"/>
    <w:rsid w:val="00820630"/>
    <w:rsid w:val="00820F67"/>
    <w:rsid w:val="0082161F"/>
    <w:rsid w:val="0082424D"/>
    <w:rsid w:val="00824B36"/>
    <w:rsid w:val="008253C3"/>
    <w:rsid w:val="00826E41"/>
    <w:rsid w:val="00827C8D"/>
    <w:rsid w:val="008303C5"/>
    <w:rsid w:val="00831142"/>
    <w:rsid w:val="008320B6"/>
    <w:rsid w:val="00833238"/>
    <w:rsid w:val="00834095"/>
    <w:rsid w:val="008350BC"/>
    <w:rsid w:val="008350BE"/>
    <w:rsid w:val="00835C4C"/>
    <w:rsid w:val="00836B3E"/>
    <w:rsid w:val="00837D8B"/>
    <w:rsid w:val="00840231"/>
    <w:rsid w:val="00841450"/>
    <w:rsid w:val="00842534"/>
    <w:rsid w:val="00842EB6"/>
    <w:rsid w:val="0084311B"/>
    <w:rsid w:val="008455F9"/>
    <w:rsid w:val="0084563D"/>
    <w:rsid w:val="00845967"/>
    <w:rsid w:val="00845A05"/>
    <w:rsid w:val="00846342"/>
    <w:rsid w:val="00847EC9"/>
    <w:rsid w:val="00851129"/>
    <w:rsid w:val="00851827"/>
    <w:rsid w:val="00851CA8"/>
    <w:rsid w:val="008555A2"/>
    <w:rsid w:val="00855C17"/>
    <w:rsid w:val="00855CAA"/>
    <w:rsid w:val="00855CAE"/>
    <w:rsid w:val="008569D1"/>
    <w:rsid w:val="00857F05"/>
    <w:rsid w:val="00857F59"/>
    <w:rsid w:val="008604E5"/>
    <w:rsid w:val="00861F85"/>
    <w:rsid w:val="008623F3"/>
    <w:rsid w:val="00862E1C"/>
    <w:rsid w:val="0086315B"/>
    <w:rsid w:val="00863B1D"/>
    <w:rsid w:val="008655AD"/>
    <w:rsid w:val="0086606D"/>
    <w:rsid w:val="008674B2"/>
    <w:rsid w:val="00871C63"/>
    <w:rsid w:val="008738A0"/>
    <w:rsid w:val="00875512"/>
    <w:rsid w:val="00876734"/>
    <w:rsid w:val="008806DF"/>
    <w:rsid w:val="008807B7"/>
    <w:rsid w:val="00881178"/>
    <w:rsid w:val="0088245B"/>
    <w:rsid w:val="008835EB"/>
    <w:rsid w:val="008841E8"/>
    <w:rsid w:val="00884237"/>
    <w:rsid w:val="00884583"/>
    <w:rsid w:val="00884C3F"/>
    <w:rsid w:val="00885226"/>
    <w:rsid w:val="008857C2"/>
    <w:rsid w:val="00885DF0"/>
    <w:rsid w:val="00886236"/>
    <w:rsid w:val="008864B6"/>
    <w:rsid w:val="00886A15"/>
    <w:rsid w:val="00887512"/>
    <w:rsid w:val="00890B16"/>
    <w:rsid w:val="008910E3"/>
    <w:rsid w:val="008930B4"/>
    <w:rsid w:val="00893D3E"/>
    <w:rsid w:val="0089412F"/>
    <w:rsid w:val="00894F1F"/>
    <w:rsid w:val="00895C8F"/>
    <w:rsid w:val="00896DC7"/>
    <w:rsid w:val="008A0814"/>
    <w:rsid w:val="008A1575"/>
    <w:rsid w:val="008A3189"/>
    <w:rsid w:val="008A359E"/>
    <w:rsid w:val="008A391C"/>
    <w:rsid w:val="008A3D0D"/>
    <w:rsid w:val="008A547A"/>
    <w:rsid w:val="008A6ABA"/>
    <w:rsid w:val="008B1790"/>
    <w:rsid w:val="008B2033"/>
    <w:rsid w:val="008B2A07"/>
    <w:rsid w:val="008B2C88"/>
    <w:rsid w:val="008B43ED"/>
    <w:rsid w:val="008B4A40"/>
    <w:rsid w:val="008B56D0"/>
    <w:rsid w:val="008B62B3"/>
    <w:rsid w:val="008B6F65"/>
    <w:rsid w:val="008B73D5"/>
    <w:rsid w:val="008B7444"/>
    <w:rsid w:val="008C1B71"/>
    <w:rsid w:val="008C25CA"/>
    <w:rsid w:val="008C2BD9"/>
    <w:rsid w:val="008C4D0F"/>
    <w:rsid w:val="008C4D68"/>
    <w:rsid w:val="008C5072"/>
    <w:rsid w:val="008C5A89"/>
    <w:rsid w:val="008C5C30"/>
    <w:rsid w:val="008C6F7B"/>
    <w:rsid w:val="008C7097"/>
    <w:rsid w:val="008C76D9"/>
    <w:rsid w:val="008D0501"/>
    <w:rsid w:val="008D18EB"/>
    <w:rsid w:val="008D1AC2"/>
    <w:rsid w:val="008D2440"/>
    <w:rsid w:val="008D2467"/>
    <w:rsid w:val="008D2992"/>
    <w:rsid w:val="008D2BC8"/>
    <w:rsid w:val="008D32EE"/>
    <w:rsid w:val="008D3434"/>
    <w:rsid w:val="008D3C5E"/>
    <w:rsid w:val="008D3F77"/>
    <w:rsid w:val="008D4C2E"/>
    <w:rsid w:val="008D4EED"/>
    <w:rsid w:val="008D627A"/>
    <w:rsid w:val="008E0CC8"/>
    <w:rsid w:val="008E1C23"/>
    <w:rsid w:val="008E2E92"/>
    <w:rsid w:val="008E3E75"/>
    <w:rsid w:val="008E4047"/>
    <w:rsid w:val="008E5061"/>
    <w:rsid w:val="008E688A"/>
    <w:rsid w:val="008E6F55"/>
    <w:rsid w:val="008E7382"/>
    <w:rsid w:val="008E7CCF"/>
    <w:rsid w:val="008F1785"/>
    <w:rsid w:val="008F23FA"/>
    <w:rsid w:val="008F2657"/>
    <w:rsid w:val="008F328B"/>
    <w:rsid w:val="008F4157"/>
    <w:rsid w:val="008F5228"/>
    <w:rsid w:val="008F53B3"/>
    <w:rsid w:val="008F6745"/>
    <w:rsid w:val="008F6771"/>
    <w:rsid w:val="008F694F"/>
    <w:rsid w:val="008F6A18"/>
    <w:rsid w:val="008F7115"/>
    <w:rsid w:val="008F713C"/>
    <w:rsid w:val="00901026"/>
    <w:rsid w:val="00901BE9"/>
    <w:rsid w:val="0090317E"/>
    <w:rsid w:val="00903298"/>
    <w:rsid w:val="00906356"/>
    <w:rsid w:val="009067D6"/>
    <w:rsid w:val="00907194"/>
    <w:rsid w:val="009072BE"/>
    <w:rsid w:val="0090735A"/>
    <w:rsid w:val="009076D6"/>
    <w:rsid w:val="00907AF2"/>
    <w:rsid w:val="00907E90"/>
    <w:rsid w:val="0091042C"/>
    <w:rsid w:val="00910F68"/>
    <w:rsid w:val="009110CE"/>
    <w:rsid w:val="00911FA7"/>
    <w:rsid w:val="00912973"/>
    <w:rsid w:val="00913B50"/>
    <w:rsid w:val="00916555"/>
    <w:rsid w:val="00917552"/>
    <w:rsid w:val="009200E4"/>
    <w:rsid w:val="009204D0"/>
    <w:rsid w:val="00922BC4"/>
    <w:rsid w:val="00923C34"/>
    <w:rsid w:val="00923E5A"/>
    <w:rsid w:val="00924171"/>
    <w:rsid w:val="009241C8"/>
    <w:rsid w:val="009257E8"/>
    <w:rsid w:val="0092589C"/>
    <w:rsid w:val="00925FEC"/>
    <w:rsid w:val="00926328"/>
    <w:rsid w:val="00927BD3"/>
    <w:rsid w:val="00930045"/>
    <w:rsid w:val="009305D3"/>
    <w:rsid w:val="00932EAD"/>
    <w:rsid w:val="009355C1"/>
    <w:rsid w:val="00935617"/>
    <w:rsid w:val="009363DC"/>
    <w:rsid w:val="0093686F"/>
    <w:rsid w:val="0093721F"/>
    <w:rsid w:val="00940371"/>
    <w:rsid w:val="009409B1"/>
    <w:rsid w:val="00940C28"/>
    <w:rsid w:val="00941214"/>
    <w:rsid w:val="00942D7E"/>
    <w:rsid w:val="009434D7"/>
    <w:rsid w:val="00943D0C"/>
    <w:rsid w:val="009441FF"/>
    <w:rsid w:val="00944E94"/>
    <w:rsid w:val="0094531C"/>
    <w:rsid w:val="00945354"/>
    <w:rsid w:val="00945661"/>
    <w:rsid w:val="00945677"/>
    <w:rsid w:val="009460A7"/>
    <w:rsid w:val="00946A32"/>
    <w:rsid w:val="0094743D"/>
    <w:rsid w:val="00947E52"/>
    <w:rsid w:val="00951B11"/>
    <w:rsid w:val="00952B66"/>
    <w:rsid w:val="00952CD4"/>
    <w:rsid w:val="00952FE6"/>
    <w:rsid w:val="009541B7"/>
    <w:rsid w:val="00955934"/>
    <w:rsid w:val="00955D47"/>
    <w:rsid w:val="00955F21"/>
    <w:rsid w:val="00957172"/>
    <w:rsid w:val="00957BA4"/>
    <w:rsid w:val="00957CC0"/>
    <w:rsid w:val="00957F5D"/>
    <w:rsid w:val="00960140"/>
    <w:rsid w:val="00960B1F"/>
    <w:rsid w:val="00962798"/>
    <w:rsid w:val="00962A2D"/>
    <w:rsid w:val="00964101"/>
    <w:rsid w:val="00964BE7"/>
    <w:rsid w:val="00970105"/>
    <w:rsid w:val="0097070C"/>
    <w:rsid w:val="00971D54"/>
    <w:rsid w:val="009721D2"/>
    <w:rsid w:val="009722F7"/>
    <w:rsid w:val="009726C8"/>
    <w:rsid w:val="0097340B"/>
    <w:rsid w:val="0097421E"/>
    <w:rsid w:val="00974A32"/>
    <w:rsid w:val="00975172"/>
    <w:rsid w:val="009774F7"/>
    <w:rsid w:val="009775ED"/>
    <w:rsid w:val="009808D9"/>
    <w:rsid w:val="0098099D"/>
    <w:rsid w:val="00980FD0"/>
    <w:rsid w:val="009815A3"/>
    <w:rsid w:val="00982067"/>
    <w:rsid w:val="00983014"/>
    <w:rsid w:val="00984762"/>
    <w:rsid w:val="0098608A"/>
    <w:rsid w:val="00986AAC"/>
    <w:rsid w:val="0098715E"/>
    <w:rsid w:val="00987789"/>
    <w:rsid w:val="00987B92"/>
    <w:rsid w:val="00987D74"/>
    <w:rsid w:val="00990C71"/>
    <w:rsid w:val="00990D9C"/>
    <w:rsid w:val="00995D7E"/>
    <w:rsid w:val="009963F7"/>
    <w:rsid w:val="00996B0C"/>
    <w:rsid w:val="0099748C"/>
    <w:rsid w:val="009A0098"/>
    <w:rsid w:val="009A0515"/>
    <w:rsid w:val="009A3F22"/>
    <w:rsid w:val="009A46C1"/>
    <w:rsid w:val="009A6767"/>
    <w:rsid w:val="009B019D"/>
    <w:rsid w:val="009B1DA8"/>
    <w:rsid w:val="009B3A6D"/>
    <w:rsid w:val="009B3CA8"/>
    <w:rsid w:val="009B3FF3"/>
    <w:rsid w:val="009B436E"/>
    <w:rsid w:val="009B52C2"/>
    <w:rsid w:val="009B5423"/>
    <w:rsid w:val="009B6C24"/>
    <w:rsid w:val="009B789A"/>
    <w:rsid w:val="009B7BE7"/>
    <w:rsid w:val="009B7CFB"/>
    <w:rsid w:val="009C0910"/>
    <w:rsid w:val="009C1D86"/>
    <w:rsid w:val="009C2BD5"/>
    <w:rsid w:val="009C2E14"/>
    <w:rsid w:val="009C5F52"/>
    <w:rsid w:val="009C6057"/>
    <w:rsid w:val="009C6885"/>
    <w:rsid w:val="009C69F7"/>
    <w:rsid w:val="009C739D"/>
    <w:rsid w:val="009C7A93"/>
    <w:rsid w:val="009D1A85"/>
    <w:rsid w:val="009D28A5"/>
    <w:rsid w:val="009D3860"/>
    <w:rsid w:val="009D4EA0"/>
    <w:rsid w:val="009D5007"/>
    <w:rsid w:val="009D5164"/>
    <w:rsid w:val="009D5190"/>
    <w:rsid w:val="009D526B"/>
    <w:rsid w:val="009D54C7"/>
    <w:rsid w:val="009D5E45"/>
    <w:rsid w:val="009D5E96"/>
    <w:rsid w:val="009D7EDA"/>
    <w:rsid w:val="009E1309"/>
    <w:rsid w:val="009E13C8"/>
    <w:rsid w:val="009E1ED5"/>
    <w:rsid w:val="009E294C"/>
    <w:rsid w:val="009E3D95"/>
    <w:rsid w:val="009E44F2"/>
    <w:rsid w:val="009E456F"/>
    <w:rsid w:val="009E4B20"/>
    <w:rsid w:val="009E4BE3"/>
    <w:rsid w:val="009E50D4"/>
    <w:rsid w:val="009E526C"/>
    <w:rsid w:val="009E7E19"/>
    <w:rsid w:val="009F0F9B"/>
    <w:rsid w:val="009F1486"/>
    <w:rsid w:val="009F4AC1"/>
    <w:rsid w:val="009F66AD"/>
    <w:rsid w:val="009F6937"/>
    <w:rsid w:val="009F7288"/>
    <w:rsid w:val="009F7561"/>
    <w:rsid w:val="00A01E10"/>
    <w:rsid w:val="00A020DA"/>
    <w:rsid w:val="00A027B5"/>
    <w:rsid w:val="00A0327B"/>
    <w:rsid w:val="00A03475"/>
    <w:rsid w:val="00A038C3"/>
    <w:rsid w:val="00A03F6E"/>
    <w:rsid w:val="00A048BB"/>
    <w:rsid w:val="00A104BA"/>
    <w:rsid w:val="00A105A4"/>
    <w:rsid w:val="00A110C5"/>
    <w:rsid w:val="00A116B5"/>
    <w:rsid w:val="00A121E9"/>
    <w:rsid w:val="00A12B31"/>
    <w:rsid w:val="00A13504"/>
    <w:rsid w:val="00A13984"/>
    <w:rsid w:val="00A13CE4"/>
    <w:rsid w:val="00A13F7A"/>
    <w:rsid w:val="00A1514F"/>
    <w:rsid w:val="00A1516F"/>
    <w:rsid w:val="00A16B87"/>
    <w:rsid w:val="00A16F00"/>
    <w:rsid w:val="00A172D3"/>
    <w:rsid w:val="00A20629"/>
    <w:rsid w:val="00A20C1C"/>
    <w:rsid w:val="00A211EA"/>
    <w:rsid w:val="00A21739"/>
    <w:rsid w:val="00A218BD"/>
    <w:rsid w:val="00A2191B"/>
    <w:rsid w:val="00A2260E"/>
    <w:rsid w:val="00A226F0"/>
    <w:rsid w:val="00A231E8"/>
    <w:rsid w:val="00A23B3A"/>
    <w:rsid w:val="00A251DA"/>
    <w:rsid w:val="00A25CE7"/>
    <w:rsid w:val="00A2657E"/>
    <w:rsid w:val="00A2671E"/>
    <w:rsid w:val="00A26F4B"/>
    <w:rsid w:val="00A2766E"/>
    <w:rsid w:val="00A315BE"/>
    <w:rsid w:val="00A31BB2"/>
    <w:rsid w:val="00A329E1"/>
    <w:rsid w:val="00A33968"/>
    <w:rsid w:val="00A34305"/>
    <w:rsid w:val="00A34939"/>
    <w:rsid w:val="00A34C54"/>
    <w:rsid w:val="00A35764"/>
    <w:rsid w:val="00A35C5A"/>
    <w:rsid w:val="00A36F7E"/>
    <w:rsid w:val="00A37F36"/>
    <w:rsid w:val="00A414B9"/>
    <w:rsid w:val="00A43847"/>
    <w:rsid w:val="00A438B6"/>
    <w:rsid w:val="00A43D8C"/>
    <w:rsid w:val="00A45A92"/>
    <w:rsid w:val="00A47337"/>
    <w:rsid w:val="00A476EB"/>
    <w:rsid w:val="00A500A6"/>
    <w:rsid w:val="00A50150"/>
    <w:rsid w:val="00A50A29"/>
    <w:rsid w:val="00A51147"/>
    <w:rsid w:val="00A51EF7"/>
    <w:rsid w:val="00A52935"/>
    <w:rsid w:val="00A54810"/>
    <w:rsid w:val="00A55359"/>
    <w:rsid w:val="00A55606"/>
    <w:rsid w:val="00A55B03"/>
    <w:rsid w:val="00A56610"/>
    <w:rsid w:val="00A577A9"/>
    <w:rsid w:val="00A611BD"/>
    <w:rsid w:val="00A6262B"/>
    <w:rsid w:val="00A62DDC"/>
    <w:rsid w:val="00A63BC0"/>
    <w:rsid w:val="00A643B2"/>
    <w:rsid w:val="00A64C7C"/>
    <w:rsid w:val="00A654B6"/>
    <w:rsid w:val="00A656B0"/>
    <w:rsid w:val="00A65933"/>
    <w:rsid w:val="00A65D43"/>
    <w:rsid w:val="00A66AD6"/>
    <w:rsid w:val="00A7006D"/>
    <w:rsid w:val="00A71564"/>
    <w:rsid w:val="00A7165E"/>
    <w:rsid w:val="00A71DCD"/>
    <w:rsid w:val="00A739D4"/>
    <w:rsid w:val="00A73FC7"/>
    <w:rsid w:val="00A74B3E"/>
    <w:rsid w:val="00A74BE6"/>
    <w:rsid w:val="00A75186"/>
    <w:rsid w:val="00A770EE"/>
    <w:rsid w:val="00A775B7"/>
    <w:rsid w:val="00A775D7"/>
    <w:rsid w:val="00A80ED5"/>
    <w:rsid w:val="00A8147A"/>
    <w:rsid w:val="00A819C2"/>
    <w:rsid w:val="00A8237F"/>
    <w:rsid w:val="00A831FB"/>
    <w:rsid w:val="00A83AC8"/>
    <w:rsid w:val="00A843D4"/>
    <w:rsid w:val="00A85148"/>
    <w:rsid w:val="00A865BB"/>
    <w:rsid w:val="00A878AD"/>
    <w:rsid w:val="00A87A2C"/>
    <w:rsid w:val="00A91A97"/>
    <w:rsid w:val="00A9218F"/>
    <w:rsid w:val="00A9235D"/>
    <w:rsid w:val="00A92394"/>
    <w:rsid w:val="00A927B2"/>
    <w:rsid w:val="00A9294A"/>
    <w:rsid w:val="00A92C42"/>
    <w:rsid w:val="00A92EB8"/>
    <w:rsid w:val="00A930CB"/>
    <w:rsid w:val="00A930E7"/>
    <w:rsid w:val="00A93C38"/>
    <w:rsid w:val="00A94421"/>
    <w:rsid w:val="00A94A42"/>
    <w:rsid w:val="00A94F85"/>
    <w:rsid w:val="00A953D5"/>
    <w:rsid w:val="00A95675"/>
    <w:rsid w:val="00A964A7"/>
    <w:rsid w:val="00A96E7A"/>
    <w:rsid w:val="00A970E4"/>
    <w:rsid w:val="00AA02F9"/>
    <w:rsid w:val="00AA0924"/>
    <w:rsid w:val="00AA186E"/>
    <w:rsid w:val="00AA2517"/>
    <w:rsid w:val="00AA4F97"/>
    <w:rsid w:val="00AA58B6"/>
    <w:rsid w:val="00AA78EE"/>
    <w:rsid w:val="00AB18C4"/>
    <w:rsid w:val="00AB40BF"/>
    <w:rsid w:val="00AB47B1"/>
    <w:rsid w:val="00AB54FE"/>
    <w:rsid w:val="00AB5DCC"/>
    <w:rsid w:val="00AB67F2"/>
    <w:rsid w:val="00AB6CF2"/>
    <w:rsid w:val="00AB72E6"/>
    <w:rsid w:val="00AC0A14"/>
    <w:rsid w:val="00AC0DDB"/>
    <w:rsid w:val="00AC129C"/>
    <w:rsid w:val="00AC2ACE"/>
    <w:rsid w:val="00AC2F52"/>
    <w:rsid w:val="00AC32A1"/>
    <w:rsid w:val="00AC3C10"/>
    <w:rsid w:val="00AC4703"/>
    <w:rsid w:val="00AC5963"/>
    <w:rsid w:val="00AC6FC3"/>
    <w:rsid w:val="00AC729F"/>
    <w:rsid w:val="00AD0CB4"/>
    <w:rsid w:val="00AD0EE5"/>
    <w:rsid w:val="00AD17E4"/>
    <w:rsid w:val="00AD189D"/>
    <w:rsid w:val="00AD1CF4"/>
    <w:rsid w:val="00AD321F"/>
    <w:rsid w:val="00AD3238"/>
    <w:rsid w:val="00AD40B9"/>
    <w:rsid w:val="00AD4369"/>
    <w:rsid w:val="00AD4464"/>
    <w:rsid w:val="00AD4828"/>
    <w:rsid w:val="00AD4EA8"/>
    <w:rsid w:val="00AD5F71"/>
    <w:rsid w:val="00AD70C6"/>
    <w:rsid w:val="00AD77D5"/>
    <w:rsid w:val="00AE0645"/>
    <w:rsid w:val="00AE06C1"/>
    <w:rsid w:val="00AE21E3"/>
    <w:rsid w:val="00AE25E5"/>
    <w:rsid w:val="00AE2D03"/>
    <w:rsid w:val="00AE44EA"/>
    <w:rsid w:val="00AE4CEC"/>
    <w:rsid w:val="00AE53E6"/>
    <w:rsid w:val="00AE599E"/>
    <w:rsid w:val="00AE5FDF"/>
    <w:rsid w:val="00AE77FD"/>
    <w:rsid w:val="00AE7F75"/>
    <w:rsid w:val="00AF0871"/>
    <w:rsid w:val="00AF267A"/>
    <w:rsid w:val="00AF267B"/>
    <w:rsid w:val="00AF2735"/>
    <w:rsid w:val="00AF4098"/>
    <w:rsid w:val="00AF55EC"/>
    <w:rsid w:val="00AF70D0"/>
    <w:rsid w:val="00AF7A16"/>
    <w:rsid w:val="00AF7ABF"/>
    <w:rsid w:val="00AF7D73"/>
    <w:rsid w:val="00B00A24"/>
    <w:rsid w:val="00B0297F"/>
    <w:rsid w:val="00B03231"/>
    <w:rsid w:val="00B03BA8"/>
    <w:rsid w:val="00B03C92"/>
    <w:rsid w:val="00B04143"/>
    <w:rsid w:val="00B04C4D"/>
    <w:rsid w:val="00B04F15"/>
    <w:rsid w:val="00B05860"/>
    <w:rsid w:val="00B05A06"/>
    <w:rsid w:val="00B05C2F"/>
    <w:rsid w:val="00B05DD7"/>
    <w:rsid w:val="00B0659E"/>
    <w:rsid w:val="00B072D2"/>
    <w:rsid w:val="00B0751D"/>
    <w:rsid w:val="00B07B27"/>
    <w:rsid w:val="00B10EA6"/>
    <w:rsid w:val="00B11475"/>
    <w:rsid w:val="00B11992"/>
    <w:rsid w:val="00B11D81"/>
    <w:rsid w:val="00B13DF9"/>
    <w:rsid w:val="00B13F96"/>
    <w:rsid w:val="00B14083"/>
    <w:rsid w:val="00B143DA"/>
    <w:rsid w:val="00B14840"/>
    <w:rsid w:val="00B157D1"/>
    <w:rsid w:val="00B16388"/>
    <w:rsid w:val="00B1648D"/>
    <w:rsid w:val="00B16870"/>
    <w:rsid w:val="00B1786E"/>
    <w:rsid w:val="00B178AE"/>
    <w:rsid w:val="00B2009E"/>
    <w:rsid w:val="00B204AC"/>
    <w:rsid w:val="00B20523"/>
    <w:rsid w:val="00B20673"/>
    <w:rsid w:val="00B206C4"/>
    <w:rsid w:val="00B21F99"/>
    <w:rsid w:val="00B22837"/>
    <w:rsid w:val="00B2337F"/>
    <w:rsid w:val="00B24584"/>
    <w:rsid w:val="00B2473B"/>
    <w:rsid w:val="00B261C9"/>
    <w:rsid w:val="00B266FD"/>
    <w:rsid w:val="00B26A2F"/>
    <w:rsid w:val="00B27FF8"/>
    <w:rsid w:val="00B30482"/>
    <w:rsid w:val="00B30C53"/>
    <w:rsid w:val="00B31182"/>
    <w:rsid w:val="00B3138E"/>
    <w:rsid w:val="00B316D1"/>
    <w:rsid w:val="00B324E6"/>
    <w:rsid w:val="00B32854"/>
    <w:rsid w:val="00B328C9"/>
    <w:rsid w:val="00B33CF4"/>
    <w:rsid w:val="00B344C0"/>
    <w:rsid w:val="00B34DD6"/>
    <w:rsid w:val="00B35AB4"/>
    <w:rsid w:val="00B3663C"/>
    <w:rsid w:val="00B40A37"/>
    <w:rsid w:val="00B4245E"/>
    <w:rsid w:val="00B42F54"/>
    <w:rsid w:val="00B433DE"/>
    <w:rsid w:val="00B4391E"/>
    <w:rsid w:val="00B43AAF"/>
    <w:rsid w:val="00B441FF"/>
    <w:rsid w:val="00B445A3"/>
    <w:rsid w:val="00B446F3"/>
    <w:rsid w:val="00B45147"/>
    <w:rsid w:val="00B453EF"/>
    <w:rsid w:val="00B46354"/>
    <w:rsid w:val="00B466CE"/>
    <w:rsid w:val="00B500B7"/>
    <w:rsid w:val="00B50C66"/>
    <w:rsid w:val="00B517CE"/>
    <w:rsid w:val="00B51A45"/>
    <w:rsid w:val="00B538AF"/>
    <w:rsid w:val="00B55677"/>
    <w:rsid w:val="00B560FD"/>
    <w:rsid w:val="00B570B7"/>
    <w:rsid w:val="00B610B9"/>
    <w:rsid w:val="00B61799"/>
    <w:rsid w:val="00B61C35"/>
    <w:rsid w:val="00B62AC6"/>
    <w:rsid w:val="00B62C3C"/>
    <w:rsid w:val="00B62CE4"/>
    <w:rsid w:val="00B632E9"/>
    <w:rsid w:val="00B644E6"/>
    <w:rsid w:val="00B64AB5"/>
    <w:rsid w:val="00B64F5C"/>
    <w:rsid w:val="00B65002"/>
    <w:rsid w:val="00B66914"/>
    <w:rsid w:val="00B67804"/>
    <w:rsid w:val="00B67E44"/>
    <w:rsid w:val="00B67F9A"/>
    <w:rsid w:val="00B72289"/>
    <w:rsid w:val="00B73FFD"/>
    <w:rsid w:val="00B74EDA"/>
    <w:rsid w:val="00B75C6A"/>
    <w:rsid w:val="00B762B2"/>
    <w:rsid w:val="00B764DB"/>
    <w:rsid w:val="00B80A15"/>
    <w:rsid w:val="00B80C5B"/>
    <w:rsid w:val="00B80F8D"/>
    <w:rsid w:val="00B81D45"/>
    <w:rsid w:val="00B82715"/>
    <w:rsid w:val="00B8294F"/>
    <w:rsid w:val="00B82CBB"/>
    <w:rsid w:val="00B82FB6"/>
    <w:rsid w:val="00B83B3D"/>
    <w:rsid w:val="00B84B36"/>
    <w:rsid w:val="00B856FC"/>
    <w:rsid w:val="00B865A1"/>
    <w:rsid w:val="00B86908"/>
    <w:rsid w:val="00B875F0"/>
    <w:rsid w:val="00B90B13"/>
    <w:rsid w:val="00B92042"/>
    <w:rsid w:val="00B9272B"/>
    <w:rsid w:val="00B936CB"/>
    <w:rsid w:val="00B94270"/>
    <w:rsid w:val="00B96C0E"/>
    <w:rsid w:val="00B97654"/>
    <w:rsid w:val="00B9797F"/>
    <w:rsid w:val="00BA12DB"/>
    <w:rsid w:val="00BA13FC"/>
    <w:rsid w:val="00BA18EB"/>
    <w:rsid w:val="00BA2890"/>
    <w:rsid w:val="00BA29CB"/>
    <w:rsid w:val="00BA4018"/>
    <w:rsid w:val="00BA540A"/>
    <w:rsid w:val="00BA5788"/>
    <w:rsid w:val="00BA5A75"/>
    <w:rsid w:val="00BA5FE9"/>
    <w:rsid w:val="00BA6207"/>
    <w:rsid w:val="00BA671E"/>
    <w:rsid w:val="00BA68B7"/>
    <w:rsid w:val="00BA6D15"/>
    <w:rsid w:val="00BA7299"/>
    <w:rsid w:val="00BA7C61"/>
    <w:rsid w:val="00BA7E9C"/>
    <w:rsid w:val="00BB0379"/>
    <w:rsid w:val="00BB06E5"/>
    <w:rsid w:val="00BB0FAD"/>
    <w:rsid w:val="00BB10A9"/>
    <w:rsid w:val="00BB19F9"/>
    <w:rsid w:val="00BB231F"/>
    <w:rsid w:val="00BB56ED"/>
    <w:rsid w:val="00BB56F8"/>
    <w:rsid w:val="00BB5765"/>
    <w:rsid w:val="00BB648E"/>
    <w:rsid w:val="00BB675B"/>
    <w:rsid w:val="00BB6B34"/>
    <w:rsid w:val="00BB70EB"/>
    <w:rsid w:val="00BB7501"/>
    <w:rsid w:val="00BB78C7"/>
    <w:rsid w:val="00BC163C"/>
    <w:rsid w:val="00BC297A"/>
    <w:rsid w:val="00BC53DB"/>
    <w:rsid w:val="00BC7994"/>
    <w:rsid w:val="00BD506A"/>
    <w:rsid w:val="00BD7257"/>
    <w:rsid w:val="00BE14A4"/>
    <w:rsid w:val="00BE2489"/>
    <w:rsid w:val="00BE259D"/>
    <w:rsid w:val="00BE3142"/>
    <w:rsid w:val="00BE379F"/>
    <w:rsid w:val="00BE4D3C"/>
    <w:rsid w:val="00BE52F6"/>
    <w:rsid w:val="00BE56A5"/>
    <w:rsid w:val="00BE5877"/>
    <w:rsid w:val="00BE6F46"/>
    <w:rsid w:val="00BE76EF"/>
    <w:rsid w:val="00BE7723"/>
    <w:rsid w:val="00BE7742"/>
    <w:rsid w:val="00BE7AC3"/>
    <w:rsid w:val="00BF0C1D"/>
    <w:rsid w:val="00BF13B0"/>
    <w:rsid w:val="00BF25D1"/>
    <w:rsid w:val="00BF2C76"/>
    <w:rsid w:val="00BF30AE"/>
    <w:rsid w:val="00BF3DE4"/>
    <w:rsid w:val="00BF75C3"/>
    <w:rsid w:val="00BF78E8"/>
    <w:rsid w:val="00C0002E"/>
    <w:rsid w:val="00C0010D"/>
    <w:rsid w:val="00C00163"/>
    <w:rsid w:val="00C01627"/>
    <w:rsid w:val="00C034F3"/>
    <w:rsid w:val="00C037AA"/>
    <w:rsid w:val="00C03A1B"/>
    <w:rsid w:val="00C03EA6"/>
    <w:rsid w:val="00C04B28"/>
    <w:rsid w:val="00C056E3"/>
    <w:rsid w:val="00C0595A"/>
    <w:rsid w:val="00C05979"/>
    <w:rsid w:val="00C05B35"/>
    <w:rsid w:val="00C06DEB"/>
    <w:rsid w:val="00C11640"/>
    <w:rsid w:val="00C118EE"/>
    <w:rsid w:val="00C11A16"/>
    <w:rsid w:val="00C122E6"/>
    <w:rsid w:val="00C1276F"/>
    <w:rsid w:val="00C13482"/>
    <w:rsid w:val="00C13B26"/>
    <w:rsid w:val="00C13FB7"/>
    <w:rsid w:val="00C154A8"/>
    <w:rsid w:val="00C15EDA"/>
    <w:rsid w:val="00C167B0"/>
    <w:rsid w:val="00C16FBF"/>
    <w:rsid w:val="00C17D46"/>
    <w:rsid w:val="00C206C2"/>
    <w:rsid w:val="00C21E57"/>
    <w:rsid w:val="00C2280B"/>
    <w:rsid w:val="00C22D9F"/>
    <w:rsid w:val="00C23F90"/>
    <w:rsid w:val="00C25054"/>
    <w:rsid w:val="00C2563C"/>
    <w:rsid w:val="00C2587C"/>
    <w:rsid w:val="00C25E36"/>
    <w:rsid w:val="00C2729E"/>
    <w:rsid w:val="00C272E0"/>
    <w:rsid w:val="00C27E7D"/>
    <w:rsid w:val="00C3087D"/>
    <w:rsid w:val="00C3091D"/>
    <w:rsid w:val="00C316C1"/>
    <w:rsid w:val="00C326FE"/>
    <w:rsid w:val="00C32C24"/>
    <w:rsid w:val="00C343E2"/>
    <w:rsid w:val="00C34AE8"/>
    <w:rsid w:val="00C357A3"/>
    <w:rsid w:val="00C3689E"/>
    <w:rsid w:val="00C37CAB"/>
    <w:rsid w:val="00C37DA1"/>
    <w:rsid w:val="00C403DC"/>
    <w:rsid w:val="00C40968"/>
    <w:rsid w:val="00C40D1E"/>
    <w:rsid w:val="00C413B0"/>
    <w:rsid w:val="00C44860"/>
    <w:rsid w:val="00C4547E"/>
    <w:rsid w:val="00C46954"/>
    <w:rsid w:val="00C47150"/>
    <w:rsid w:val="00C47861"/>
    <w:rsid w:val="00C47BAA"/>
    <w:rsid w:val="00C47CFC"/>
    <w:rsid w:val="00C50006"/>
    <w:rsid w:val="00C50B69"/>
    <w:rsid w:val="00C50DF9"/>
    <w:rsid w:val="00C50F7D"/>
    <w:rsid w:val="00C519AA"/>
    <w:rsid w:val="00C52047"/>
    <w:rsid w:val="00C520FE"/>
    <w:rsid w:val="00C5278B"/>
    <w:rsid w:val="00C53A88"/>
    <w:rsid w:val="00C56A7F"/>
    <w:rsid w:val="00C57311"/>
    <w:rsid w:val="00C60352"/>
    <w:rsid w:val="00C61414"/>
    <w:rsid w:val="00C624CF"/>
    <w:rsid w:val="00C6331F"/>
    <w:rsid w:val="00C66496"/>
    <w:rsid w:val="00C66BD6"/>
    <w:rsid w:val="00C671FC"/>
    <w:rsid w:val="00C70582"/>
    <w:rsid w:val="00C70B4A"/>
    <w:rsid w:val="00C70B83"/>
    <w:rsid w:val="00C71605"/>
    <w:rsid w:val="00C71F1F"/>
    <w:rsid w:val="00C735DD"/>
    <w:rsid w:val="00C740EC"/>
    <w:rsid w:val="00C743DA"/>
    <w:rsid w:val="00C74B66"/>
    <w:rsid w:val="00C75500"/>
    <w:rsid w:val="00C76006"/>
    <w:rsid w:val="00C77039"/>
    <w:rsid w:val="00C77572"/>
    <w:rsid w:val="00C77D8F"/>
    <w:rsid w:val="00C81529"/>
    <w:rsid w:val="00C819F2"/>
    <w:rsid w:val="00C824E5"/>
    <w:rsid w:val="00C8506A"/>
    <w:rsid w:val="00C905AB"/>
    <w:rsid w:val="00C908B8"/>
    <w:rsid w:val="00C91F37"/>
    <w:rsid w:val="00C92328"/>
    <w:rsid w:val="00C93B58"/>
    <w:rsid w:val="00C94DAF"/>
    <w:rsid w:val="00C95EC1"/>
    <w:rsid w:val="00C96369"/>
    <w:rsid w:val="00C974C2"/>
    <w:rsid w:val="00CA1A4C"/>
    <w:rsid w:val="00CA3A44"/>
    <w:rsid w:val="00CA3C2D"/>
    <w:rsid w:val="00CA5D09"/>
    <w:rsid w:val="00CA6AE7"/>
    <w:rsid w:val="00CB07E6"/>
    <w:rsid w:val="00CB5278"/>
    <w:rsid w:val="00CB5A06"/>
    <w:rsid w:val="00CB642A"/>
    <w:rsid w:val="00CC25E3"/>
    <w:rsid w:val="00CC34C7"/>
    <w:rsid w:val="00CC4EA2"/>
    <w:rsid w:val="00CC605A"/>
    <w:rsid w:val="00CC7F89"/>
    <w:rsid w:val="00CD0C8F"/>
    <w:rsid w:val="00CD1A06"/>
    <w:rsid w:val="00CD2FB1"/>
    <w:rsid w:val="00CD3496"/>
    <w:rsid w:val="00CD4549"/>
    <w:rsid w:val="00CD4A08"/>
    <w:rsid w:val="00CD5BFA"/>
    <w:rsid w:val="00CD656F"/>
    <w:rsid w:val="00CE2830"/>
    <w:rsid w:val="00CE3744"/>
    <w:rsid w:val="00CE4BC6"/>
    <w:rsid w:val="00CE4BF5"/>
    <w:rsid w:val="00CE58B0"/>
    <w:rsid w:val="00CE5FB0"/>
    <w:rsid w:val="00CE66BC"/>
    <w:rsid w:val="00CF15C1"/>
    <w:rsid w:val="00CF258A"/>
    <w:rsid w:val="00CF2E89"/>
    <w:rsid w:val="00CF3BB7"/>
    <w:rsid w:val="00CF5234"/>
    <w:rsid w:val="00CF5E37"/>
    <w:rsid w:val="00CF6BC2"/>
    <w:rsid w:val="00D0045C"/>
    <w:rsid w:val="00D01B3A"/>
    <w:rsid w:val="00D0221D"/>
    <w:rsid w:val="00D03331"/>
    <w:rsid w:val="00D03A32"/>
    <w:rsid w:val="00D043F4"/>
    <w:rsid w:val="00D04403"/>
    <w:rsid w:val="00D045B0"/>
    <w:rsid w:val="00D046D9"/>
    <w:rsid w:val="00D04AC2"/>
    <w:rsid w:val="00D0589A"/>
    <w:rsid w:val="00D06EEB"/>
    <w:rsid w:val="00D10C03"/>
    <w:rsid w:val="00D1153B"/>
    <w:rsid w:val="00D11901"/>
    <w:rsid w:val="00D144C7"/>
    <w:rsid w:val="00D14603"/>
    <w:rsid w:val="00D14991"/>
    <w:rsid w:val="00D153BE"/>
    <w:rsid w:val="00D15C40"/>
    <w:rsid w:val="00D15D00"/>
    <w:rsid w:val="00D207CC"/>
    <w:rsid w:val="00D20C2A"/>
    <w:rsid w:val="00D20F88"/>
    <w:rsid w:val="00D21E8E"/>
    <w:rsid w:val="00D23B2A"/>
    <w:rsid w:val="00D24931"/>
    <w:rsid w:val="00D2786B"/>
    <w:rsid w:val="00D27C95"/>
    <w:rsid w:val="00D27F6E"/>
    <w:rsid w:val="00D3075C"/>
    <w:rsid w:val="00D312E0"/>
    <w:rsid w:val="00D32694"/>
    <w:rsid w:val="00D33171"/>
    <w:rsid w:val="00D343BF"/>
    <w:rsid w:val="00D367F5"/>
    <w:rsid w:val="00D40C73"/>
    <w:rsid w:val="00D428D3"/>
    <w:rsid w:val="00D42950"/>
    <w:rsid w:val="00D43785"/>
    <w:rsid w:val="00D43E9C"/>
    <w:rsid w:val="00D44229"/>
    <w:rsid w:val="00D4425D"/>
    <w:rsid w:val="00D44B36"/>
    <w:rsid w:val="00D44C08"/>
    <w:rsid w:val="00D46F52"/>
    <w:rsid w:val="00D47E54"/>
    <w:rsid w:val="00D47E56"/>
    <w:rsid w:val="00D47FCD"/>
    <w:rsid w:val="00D50A47"/>
    <w:rsid w:val="00D51EAA"/>
    <w:rsid w:val="00D53318"/>
    <w:rsid w:val="00D53352"/>
    <w:rsid w:val="00D537B9"/>
    <w:rsid w:val="00D53FFB"/>
    <w:rsid w:val="00D55B1C"/>
    <w:rsid w:val="00D56987"/>
    <w:rsid w:val="00D57203"/>
    <w:rsid w:val="00D6053A"/>
    <w:rsid w:val="00D60666"/>
    <w:rsid w:val="00D60F06"/>
    <w:rsid w:val="00D61A1F"/>
    <w:rsid w:val="00D6281A"/>
    <w:rsid w:val="00D62CEA"/>
    <w:rsid w:val="00D62FA5"/>
    <w:rsid w:val="00D63963"/>
    <w:rsid w:val="00D63975"/>
    <w:rsid w:val="00D63CE4"/>
    <w:rsid w:val="00D65DB6"/>
    <w:rsid w:val="00D66728"/>
    <w:rsid w:val="00D66ACD"/>
    <w:rsid w:val="00D713AB"/>
    <w:rsid w:val="00D71F3D"/>
    <w:rsid w:val="00D738E2"/>
    <w:rsid w:val="00D75816"/>
    <w:rsid w:val="00D7599A"/>
    <w:rsid w:val="00D77E62"/>
    <w:rsid w:val="00D80D2C"/>
    <w:rsid w:val="00D823D2"/>
    <w:rsid w:val="00D82FAA"/>
    <w:rsid w:val="00D8402B"/>
    <w:rsid w:val="00D87176"/>
    <w:rsid w:val="00D87671"/>
    <w:rsid w:val="00D90699"/>
    <w:rsid w:val="00D90D2C"/>
    <w:rsid w:val="00D9200B"/>
    <w:rsid w:val="00D92160"/>
    <w:rsid w:val="00D9316D"/>
    <w:rsid w:val="00D940C1"/>
    <w:rsid w:val="00D943C4"/>
    <w:rsid w:val="00D94E5E"/>
    <w:rsid w:val="00D967F6"/>
    <w:rsid w:val="00D96D77"/>
    <w:rsid w:val="00D97129"/>
    <w:rsid w:val="00D97EFC"/>
    <w:rsid w:val="00DA0204"/>
    <w:rsid w:val="00DA0D33"/>
    <w:rsid w:val="00DA0D72"/>
    <w:rsid w:val="00DA0E57"/>
    <w:rsid w:val="00DA1642"/>
    <w:rsid w:val="00DA2DFC"/>
    <w:rsid w:val="00DA37E2"/>
    <w:rsid w:val="00DA551F"/>
    <w:rsid w:val="00DA7DEB"/>
    <w:rsid w:val="00DB0D5C"/>
    <w:rsid w:val="00DB1C84"/>
    <w:rsid w:val="00DB2AEC"/>
    <w:rsid w:val="00DB2DEB"/>
    <w:rsid w:val="00DB3040"/>
    <w:rsid w:val="00DB3972"/>
    <w:rsid w:val="00DB3C9C"/>
    <w:rsid w:val="00DB3FB7"/>
    <w:rsid w:val="00DB5673"/>
    <w:rsid w:val="00DB6B63"/>
    <w:rsid w:val="00DB7196"/>
    <w:rsid w:val="00DB74F4"/>
    <w:rsid w:val="00DB78A1"/>
    <w:rsid w:val="00DB7BA0"/>
    <w:rsid w:val="00DB7BA9"/>
    <w:rsid w:val="00DC0CEB"/>
    <w:rsid w:val="00DC11CA"/>
    <w:rsid w:val="00DC139B"/>
    <w:rsid w:val="00DC1C0C"/>
    <w:rsid w:val="00DC2036"/>
    <w:rsid w:val="00DC2421"/>
    <w:rsid w:val="00DC2A84"/>
    <w:rsid w:val="00DC47F3"/>
    <w:rsid w:val="00DC52A5"/>
    <w:rsid w:val="00DC66B7"/>
    <w:rsid w:val="00DC68EE"/>
    <w:rsid w:val="00DD0398"/>
    <w:rsid w:val="00DD29D1"/>
    <w:rsid w:val="00DD346F"/>
    <w:rsid w:val="00DD3969"/>
    <w:rsid w:val="00DD3BCD"/>
    <w:rsid w:val="00DD3D2B"/>
    <w:rsid w:val="00DD3E6A"/>
    <w:rsid w:val="00DD4C66"/>
    <w:rsid w:val="00DD51D9"/>
    <w:rsid w:val="00DD5611"/>
    <w:rsid w:val="00DD5D22"/>
    <w:rsid w:val="00DD5DE2"/>
    <w:rsid w:val="00DD69F6"/>
    <w:rsid w:val="00DE0AB8"/>
    <w:rsid w:val="00DE14C0"/>
    <w:rsid w:val="00DE1C03"/>
    <w:rsid w:val="00DE1F1A"/>
    <w:rsid w:val="00DE394C"/>
    <w:rsid w:val="00DE4D41"/>
    <w:rsid w:val="00DE5B87"/>
    <w:rsid w:val="00DE6521"/>
    <w:rsid w:val="00DE733C"/>
    <w:rsid w:val="00DF083A"/>
    <w:rsid w:val="00DF1244"/>
    <w:rsid w:val="00DF2103"/>
    <w:rsid w:val="00DF22E0"/>
    <w:rsid w:val="00DF48B9"/>
    <w:rsid w:val="00DF4A28"/>
    <w:rsid w:val="00DF6529"/>
    <w:rsid w:val="00DF7331"/>
    <w:rsid w:val="00E000B2"/>
    <w:rsid w:val="00E002B7"/>
    <w:rsid w:val="00E00E19"/>
    <w:rsid w:val="00E02D2D"/>
    <w:rsid w:val="00E0331E"/>
    <w:rsid w:val="00E03946"/>
    <w:rsid w:val="00E03A2C"/>
    <w:rsid w:val="00E04D93"/>
    <w:rsid w:val="00E05101"/>
    <w:rsid w:val="00E0719F"/>
    <w:rsid w:val="00E1010E"/>
    <w:rsid w:val="00E112E9"/>
    <w:rsid w:val="00E11E09"/>
    <w:rsid w:val="00E13DBC"/>
    <w:rsid w:val="00E14490"/>
    <w:rsid w:val="00E14AE4"/>
    <w:rsid w:val="00E14EB3"/>
    <w:rsid w:val="00E15F16"/>
    <w:rsid w:val="00E169C3"/>
    <w:rsid w:val="00E16F98"/>
    <w:rsid w:val="00E179F6"/>
    <w:rsid w:val="00E21B53"/>
    <w:rsid w:val="00E21C79"/>
    <w:rsid w:val="00E22E59"/>
    <w:rsid w:val="00E22EF9"/>
    <w:rsid w:val="00E2452E"/>
    <w:rsid w:val="00E2562D"/>
    <w:rsid w:val="00E2596E"/>
    <w:rsid w:val="00E26009"/>
    <w:rsid w:val="00E268EA"/>
    <w:rsid w:val="00E27A5B"/>
    <w:rsid w:val="00E3052E"/>
    <w:rsid w:val="00E307EF"/>
    <w:rsid w:val="00E30BFA"/>
    <w:rsid w:val="00E31493"/>
    <w:rsid w:val="00E31F87"/>
    <w:rsid w:val="00E332DA"/>
    <w:rsid w:val="00E33954"/>
    <w:rsid w:val="00E34583"/>
    <w:rsid w:val="00E355B6"/>
    <w:rsid w:val="00E371A3"/>
    <w:rsid w:val="00E41697"/>
    <w:rsid w:val="00E422E1"/>
    <w:rsid w:val="00E43421"/>
    <w:rsid w:val="00E44123"/>
    <w:rsid w:val="00E450E9"/>
    <w:rsid w:val="00E450FC"/>
    <w:rsid w:val="00E45EDC"/>
    <w:rsid w:val="00E46802"/>
    <w:rsid w:val="00E46E51"/>
    <w:rsid w:val="00E46EE8"/>
    <w:rsid w:val="00E47A32"/>
    <w:rsid w:val="00E51B38"/>
    <w:rsid w:val="00E53159"/>
    <w:rsid w:val="00E53618"/>
    <w:rsid w:val="00E559E4"/>
    <w:rsid w:val="00E56440"/>
    <w:rsid w:val="00E57BBC"/>
    <w:rsid w:val="00E6006C"/>
    <w:rsid w:val="00E61E84"/>
    <w:rsid w:val="00E62329"/>
    <w:rsid w:val="00E624D0"/>
    <w:rsid w:val="00E6255B"/>
    <w:rsid w:val="00E62984"/>
    <w:rsid w:val="00E633E0"/>
    <w:rsid w:val="00E63A09"/>
    <w:rsid w:val="00E63A25"/>
    <w:rsid w:val="00E64784"/>
    <w:rsid w:val="00E6510B"/>
    <w:rsid w:val="00E6654E"/>
    <w:rsid w:val="00E66FA3"/>
    <w:rsid w:val="00E679F7"/>
    <w:rsid w:val="00E67BF9"/>
    <w:rsid w:val="00E67C2A"/>
    <w:rsid w:val="00E70349"/>
    <w:rsid w:val="00E72A72"/>
    <w:rsid w:val="00E73CBE"/>
    <w:rsid w:val="00E767C3"/>
    <w:rsid w:val="00E77449"/>
    <w:rsid w:val="00E77EF7"/>
    <w:rsid w:val="00E807ED"/>
    <w:rsid w:val="00E8096F"/>
    <w:rsid w:val="00E80B47"/>
    <w:rsid w:val="00E81C27"/>
    <w:rsid w:val="00E82689"/>
    <w:rsid w:val="00E82FBA"/>
    <w:rsid w:val="00E836C1"/>
    <w:rsid w:val="00E83FF2"/>
    <w:rsid w:val="00E84301"/>
    <w:rsid w:val="00E8438C"/>
    <w:rsid w:val="00E87F00"/>
    <w:rsid w:val="00E908A3"/>
    <w:rsid w:val="00E90C79"/>
    <w:rsid w:val="00E91E22"/>
    <w:rsid w:val="00E928D1"/>
    <w:rsid w:val="00E939F9"/>
    <w:rsid w:val="00E93C64"/>
    <w:rsid w:val="00E94682"/>
    <w:rsid w:val="00E96B21"/>
    <w:rsid w:val="00E96F61"/>
    <w:rsid w:val="00E97407"/>
    <w:rsid w:val="00E97F37"/>
    <w:rsid w:val="00E97FFA"/>
    <w:rsid w:val="00EA07EA"/>
    <w:rsid w:val="00EA171B"/>
    <w:rsid w:val="00EA1EBE"/>
    <w:rsid w:val="00EA215F"/>
    <w:rsid w:val="00EA3B61"/>
    <w:rsid w:val="00EA5FAE"/>
    <w:rsid w:val="00EB0FBE"/>
    <w:rsid w:val="00EB19E0"/>
    <w:rsid w:val="00EB206F"/>
    <w:rsid w:val="00EB34DB"/>
    <w:rsid w:val="00EB483C"/>
    <w:rsid w:val="00EB5B8E"/>
    <w:rsid w:val="00EB6058"/>
    <w:rsid w:val="00EB64DC"/>
    <w:rsid w:val="00EB7913"/>
    <w:rsid w:val="00EB7B4A"/>
    <w:rsid w:val="00EB7E07"/>
    <w:rsid w:val="00EB7EEC"/>
    <w:rsid w:val="00EC0285"/>
    <w:rsid w:val="00EC105E"/>
    <w:rsid w:val="00EC369A"/>
    <w:rsid w:val="00EC4DA1"/>
    <w:rsid w:val="00EC4DB7"/>
    <w:rsid w:val="00EC51EB"/>
    <w:rsid w:val="00EC5A59"/>
    <w:rsid w:val="00EC5A7D"/>
    <w:rsid w:val="00EC68DB"/>
    <w:rsid w:val="00ED02C2"/>
    <w:rsid w:val="00ED0671"/>
    <w:rsid w:val="00ED1B7D"/>
    <w:rsid w:val="00ED3350"/>
    <w:rsid w:val="00ED5687"/>
    <w:rsid w:val="00ED58EA"/>
    <w:rsid w:val="00ED59AA"/>
    <w:rsid w:val="00ED6996"/>
    <w:rsid w:val="00ED762D"/>
    <w:rsid w:val="00EE0329"/>
    <w:rsid w:val="00EE0419"/>
    <w:rsid w:val="00EE2C6F"/>
    <w:rsid w:val="00EE2F5E"/>
    <w:rsid w:val="00EE30A2"/>
    <w:rsid w:val="00EF0003"/>
    <w:rsid w:val="00EF0CA4"/>
    <w:rsid w:val="00EF142F"/>
    <w:rsid w:val="00EF2937"/>
    <w:rsid w:val="00EF3053"/>
    <w:rsid w:val="00EF4AFE"/>
    <w:rsid w:val="00EF4D69"/>
    <w:rsid w:val="00EF6589"/>
    <w:rsid w:val="00EF7016"/>
    <w:rsid w:val="00EF730D"/>
    <w:rsid w:val="00F00DF9"/>
    <w:rsid w:val="00F00EB6"/>
    <w:rsid w:val="00F01342"/>
    <w:rsid w:val="00F01E2B"/>
    <w:rsid w:val="00F02166"/>
    <w:rsid w:val="00F0217C"/>
    <w:rsid w:val="00F02866"/>
    <w:rsid w:val="00F02A8C"/>
    <w:rsid w:val="00F03969"/>
    <w:rsid w:val="00F05765"/>
    <w:rsid w:val="00F0581A"/>
    <w:rsid w:val="00F068EA"/>
    <w:rsid w:val="00F10DF7"/>
    <w:rsid w:val="00F111FC"/>
    <w:rsid w:val="00F1208C"/>
    <w:rsid w:val="00F12172"/>
    <w:rsid w:val="00F12306"/>
    <w:rsid w:val="00F12F93"/>
    <w:rsid w:val="00F13E7D"/>
    <w:rsid w:val="00F14925"/>
    <w:rsid w:val="00F17760"/>
    <w:rsid w:val="00F17FC4"/>
    <w:rsid w:val="00F20A18"/>
    <w:rsid w:val="00F2225E"/>
    <w:rsid w:val="00F22760"/>
    <w:rsid w:val="00F22EA0"/>
    <w:rsid w:val="00F239AF"/>
    <w:rsid w:val="00F245F4"/>
    <w:rsid w:val="00F24F8C"/>
    <w:rsid w:val="00F26CEE"/>
    <w:rsid w:val="00F26D05"/>
    <w:rsid w:val="00F27512"/>
    <w:rsid w:val="00F27714"/>
    <w:rsid w:val="00F30409"/>
    <w:rsid w:val="00F304BD"/>
    <w:rsid w:val="00F3257A"/>
    <w:rsid w:val="00F33852"/>
    <w:rsid w:val="00F355BE"/>
    <w:rsid w:val="00F35DB5"/>
    <w:rsid w:val="00F37804"/>
    <w:rsid w:val="00F40D07"/>
    <w:rsid w:val="00F425EB"/>
    <w:rsid w:val="00F42A52"/>
    <w:rsid w:val="00F435C3"/>
    <w:rsid w:val="00F4484C"/>
    <w:rsid w:val="00F45D57"/>
    <w:rsid w:val="00F464B4"/>
    <w:rsid w:val="00F479CD"/>
    <w:rsid w:val="00F47AFC"/>
    <w:rsid w:val="00F50F48"/>
    <w:rsid w:val="00F52614"/>
    <w:rsid w:val="00F527A5"/>
    <w:rsid w:val="00F55149"/>
    <w:rsid w:val="00F5547F"/>
    <w:rsid w:val="00F56091"/>
    <w:rsid w:val="00F56889"/>
    <w:rsid w:val="00F603B2"/>
    <w:rsid w:val="00F60D78"/>
    <w:rsid w:val="00F60E33"/>
    <w:rsid w:val="00F61043"/>
    <w:rsid w:val="00F61189"/>
    <w:rsid w:val="00F62515"/>
    <w:rsid w:val="00F6433B"/>
    <w:rsid w:val="00F64833"/>
    <w:rsid w:val="00F64892"/>
    <w:rsid w:val="00F66526"/>
    <w:rsid w:val="00F70668"/>
    <w:rsid w:val="00F70CF9"/>
    <w:rsid w:val="00F7131F"/>
    <w:rsid w:val="00F721AB"/>
    <w:rsid w:val="00F73920"/>
    <w:rsid w:val="00F73A69"/>
    <w:rsid w:val="00F73AC9"/>
    <w:rsid w:val="00F73C8D"/>
    <w:rsid w:val="00F76574"/>
    <w:rsid w:val="00F8043B"/>
    <w:rsid w:val="00F8046F"/>
    <w:rsid w:val="00F80D4F"/>
    <w:rsid w:val="00F80DB7"/>
    <w:rsid w:val="00F80E5B"/>
    <w:rsid w:val="00F81FA7"/>
    <w:rsid w:val="00F822A6"/>
    <w:rsid w:val="00F835B8"/>
    <w:rsid w:val="00F835EB"/>
    <w:rsid w:val="00F83B7B"/>
    <w:rsid w:val="00F8437C"/>
    <w:rsid w:val="00F85BE4"/>
    <w:rsid w:val="00F85F7A"/>
    <w:rsid w:val="00F8753E"/>
    <w:rsid w:val="00F900E7"/>
    <w:rsid w:val="00F9173F"/>
    <w:rsid w:val="00F91CB0"/>
    <w:rsid w:val="00F93111"/>
    <w:rsid w:val="00F95B7D"/>
    <w:rsid w:val="00F96D1E"/>
    <w:rsid w:val="00F9742B"/>
    <w:rsid w:val="00FA0BE7"/>
    <w:rsid w:val="00FA1A63"/>
    <w:rsid w:val="00FA1C52"/>
    <w:rsid w:val="00FA25E5"/>
    <w:rsid w:val="00FA39B2"/>
    <w:rsid w:val="00FA4446"/>
    <w:rsid w:val="00FA4971"/>
    <w:rsid w:val="00FA4988"/>
    <w:rsid w:val="00FA537B"/>
    <w:rsid w:val="00FA672B"/>
    <w:rsid w:val="00FA6901"/>
    <w:rsid w:val="00FA791C"/>
    <w:rsid w:val="00FB1E42"/>
    <w:rsid w:val="00FB20D6"/>
    <w:rsid w:val="00FB363D"/>
    <w:rsid w:val="00FB37D3"/>
    <w:rsid w:val="00FB3EC8"/>
    <w:rsid w:val="00FB4DA3"/>
    <w:rsid w:val="00FB6A66"/>
    <w:rsid w:val="00FB6C81"/>
    <w:rsid w:val="00FB6E2C"/>
    <w:rsid w:val="00FB766F"/>
    <w:rsid w:val="00FC01AC"/>
    <w:rsid w:val="00FC11CC"/>
    <w:rsid w:val="00FC24D7"/>
    <w:rsid w:val="00FC2989"/>
    <w:rsid w:val="00FC3E35"/>
    <w:rsid w:val="00FC4889"/>
    <w:rsid w:val="00FC6406"/>
    <w:rsid w:val="00FC6C22"/>
    <w:rsid w:val="00FC77B2"/>
    <w:rsid w:val="00FD16A0"/>
    <w:rsid w:val="00FD1969"/>
    <w:rsid w:val="00FD4160"/>
    <w:rsid w:val="00FD4975"/>
    <w:rsid w:val="00FD4DC0"/>
    <w:rsid w:val="00FD6F7C"/>
    <w:rsid w:val="00FE05B1"/>
    <w:rsid w:val="00FE150B"/>
    <w:rsid w:val="00FE19DA"/>
    <w:rsid w:val="00FE2A3F"/>
    <w:rsid w:val="00FE399F"/>
    <w:rsid w:val="00FE54D8"/>
    <w:rsid w:val="00FE5A89"/>
    <w:rsid w:val="00FE5F9A"/>
    <w:rsid w:val="00FF01D1"/>
    <w:rsid w:val="00FF161F"/>
    <w:rsid w:val="00FF1744"/>
    <w:rsid w:val="00FF19E5"/>
    <w:rsid w:val="00FF1FC8"/>
    <w:rsid w:val="00FF211B"/>
    <w:rsid w:val="00FF363A"/>
    <w:rsid w:val="00FF3F22"/>
    <w:rsid w:val="00FF46F0"/>
    <w:rsid w:val="00FF4822"/>
    <w:rsid w:val="00FF4CD3"/>
    <w:rsid w:val="0CA2B49E"/>
    <w:rsid w:val="21499A4C"/>
    <w:rsid w:val="4CE61699"/>
    <w:rsid w:val="4D7D81E6"/>
    <w:rsid w:val="5900A558"/>
    <w:rsid w:val="7C8287A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F56F"/>
  <w15:docId w15:val="{6269A6EA-9A13-4BBB-8359-0922E1B51A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35DC"/>
  </w:style>
  <w:style w:type="paragraph" w:styleId="Heading1">
    <w:name w:val="heading 1"/>
    <w:basedOn w:val="Normal"/>
    <w:next w:val="Normal"/>
    <w:link w:val="Heading1Char"/>
    <w:uiPriority w:val="9"/>
    <w:qFormat/>
    <w:rsid w:val="00672BB4"/>
    <w:pPr>
      <w:keepNext/>
      <w:keepLines/>
      <w:numPr>
        <w:numId w:val="45"/>
      </w:numPr>
      <w:spacing w:before="400" w:after="120"/>
      <w:outlineLvl w:val="0"/>
    </w:pPr>
    <w:rPr>
      <w:b/>
      <w:bCs/>
    </w:rPr>
  </w:style>
  <w:style w:type="paragraph" w:styleId="Heading2">
    <w:name w:val="heading 2"/>
    <w:basedOn w:val="Normal"/>
    <w:next w:val="Normal"/>
    <w:link w:val="Heading2Char"/>
    <w:autoRedefine/>
    <w:unhideWhenUsed/>
    <w:qFormat/>
    <w:rsid w:val="003166F7"/>
    <w:pPr>
      <w:keepNext/>
      <w:keepLines/>
      <w:numPr>
        <w:ilvl w:val="1"/>
        <w:numId w:val="45"/>
      </w:numPr>
      <w:spacing w:before="240" w:after="120" w:line="240" w:lineRule="auto"/>
      <w:outlineLvl w:val="1"/>
    </w:pPr>
    <w:rPr>
      <w:b/>
      <w:lang w:val="en-GB"/>
    </w:rPr>
  </w:style>
  <w:style w:type="paragraph" w:styleId="Heading3">
    <w:name w:val="heading 3"/>
    <w:basedOn w:val="Normal"/>
    <w:next w:val="Normal"/>
    <w:link w:val="Heading3Char"/>
    <w:autoRedefine/>
    <w:uiPriority w:val="9"/>
    <w:unhideWhenUsed/>
    <w:qFormat/>
    <w:rsid w:val="00C22D9F"/>
    <w:pPr>
      <w:keepNext/>
      <w:keepLines/>
      <w:numPr>
        <w:ilvl w:val="2"/>
        <w:numId w:val="45"/>
      </w:numPr>
      <w:spacing w:before="120" w:after="120" w:line="300" w:lineRule="atLeast"/>
      <w:ind w:left="1077"/>
      <w:outlineLvl w:val="2"/>
    </w:pPr>
    <w:rPr>
      <w:i/>
      <w:szCs w:val="28"/>
    </w:rPr>
  </w:style>
  <w:style w:type="paragraph" w:styleId="Heading4">
    <w:name w:val="heading 4"/>
    <w:basedOn w:val="Normal"/>
    <w:next w:val="Normal"/>
    <w:link w:val="Heading4Char"/>
    <w:uiPriority w:val="9"/>
    <w:unhideWhenUsed/>
    <w:qFormat/>
    <w:rsid w:val="00E97F37"/>
    <w:pPr>
      <w:keepNext/>
      <w:keepLines/>
      <w:numPr>
        <w:ilvl w:val="3"/>
        <w:numId w:val="45"/>
      </w:numPr>
      <w:spacing w:before="120" w:after="120" w:line="240" w:lineRule="auto"/>
      <w:outlineLvl w:val="3"/>
    </w:pPr>
    <w:rPr>
      <w:szCs w:val="24"/>
      <w:u w:val="single"/>
    </w:rPr>
  </w:style>
  <w:style w:type="paragraph" w:styleId="Heading5">
    <w:name w:val="heading 5"/>
    <w:basedOn w:val="Normal"/>
    <w:next w:val="Normal"/>
    <w:link w:val="Heading5Char"/>
    <w:uiPriority w:val="9"/>
    <w:unhideWhenUsed/>
    <w:qFormat/>
    <w:rsid w:val="00446B1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46B1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654B6"/>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654B6"/>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54B6"/>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46B19"/>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7" w:customStyle="1">
    <w:name w:val="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4B73"/>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Default" w:customStyle="1">
    <w:name w:val="Default"/>
    <w:rsid w:val="00446B19"/>
    <w:pPr>
      <w:autoSpaceDE w:val="0"/>
      <w:autoSpaceDN w:val="0"/>
      <w:adjustRightInd w:val="0"/>
      <w:spacing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1E3A5D"/>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DA4AC9"/>
    <w:rPr>
      <w:rFonts w:asciiTheme="minorHAnsi" w:hAnsiTheme="minorHAnsi" w:eastAsiaTheme="minorHAnsi" w:cstheme="minorBidi"/>
      <w:b/>
      <w:bCs/>
      <w:sz w:val="20"/>
      <w:szCs w:val="20"/>
    </w:rPr>
  </w:style>
  <w:style w:type="paragraph" w:styleId="ListParagraph">
    <w:name w:val="List Paragraph"/>
    <w:basedOn w:val="Normal"/>
    <w:uiPriority w:val="34"/>
    <w:qFormat/>
    <w:rsid w:val="00DE14E2"/>
    <w:pPr>
      <w:ind w:left="720"/>
      <w:contextualSpacing/>
    </w:pPr>
  </w:style>
  <w:style w:type="paragraph" w:styleId="FootnoteText">
    <w:name w:val="footnote text"/>
    <w:basedOn w:val="Normal"/>
    <w:link w:val="FootnoteTextChar"/>
    <w:uiPriority w:val="99"/>
    <w:unhideWhenUsed/>
    <w:rsid w:val="00915E4D"/>
    <w:pPr>
      <w:spacing w:line="240" w:lineRule="auto"/>
    </w:pPr>
    <w:rPr>
      <w:sz w:val="20"/>
      <w:szCs w:val="20"/>
    </w:rPr>
  </w:style>
  <w:style w:type="character" w:styleId="FootnoteTextChar" w:customStyle="1">
    <w:name w:val="Footnote Text Char"/>
    <w:basedOn w:val="DefaultParagraphFont"/>
    <w:link w:val="FootnoteText"/>
    <w:uiPriority w:val="99"/>
    <w:rsid w:val="00FD4DAB"/>
    <w:rPr>
      <w:sz w:val="20"/>
      <w:szCs w:val="20"/>
    </w:rPr>
  </w:style>
  <w:style w:type="character" w:styleId="FootnoteReference">
    <w:name w:val="footnote reference"/>
    <w:basedOn w:val="DefaultParagraphFont"/>
    <w:uiPriority w:val="99"/>
    <w:semiHidden/>
    <w:unhideWhenUsed/>
    <w:rsid w:val="00915E4D"/>
    <w:rPr>
      <w:vertAlign w:val="superscript"/>
    </w:rPr>
  </w:style>
  <w:style w:type="table" w:styleId="TableGrid">
    <w:name w:val="Table Grid"/>
    <w:basedOn w:val="TableNormal"/>
    <w:uiPriority w:val="39"/>
    <w:rsid w:val="004072A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512774"/>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customStyle="1">
    <w:name w:val="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5" w:customStyle="1">
    <w:name w:val="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4" w:customStyle="1">
    <w:name w:val="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 w:customStyle="1">
    <w:name w:val="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 w:customStyle="1">
    <w:name w:val="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1" w:customStyle="1">
    <w:name w:val="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03FF"/>
    <w:pPr>
      <w:tabs>
        <w:tab w:val="center" w:pos="4680"/>
        <w:tab w:val="right" w:pos="9360"/>
      </w:tabs>
      <w:spacing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A17D8C"/>
    <w:rPr>
      <w:rFonts w:asciiTheme="minorHAnsi" w:hAnsiTheme="minorHAnsi" w:eastAsiaTheme="minorHAnsi" w:cstheme="minorBidi"/>
    </w:rPr>
  </w:style>
  <w:style w:type="paragraph" w:styleId="Footer">
    <w:name w:val="footer"/>
    <w:basedOn w:val="Normal"/>
    <w:link w:val="FooterChar"/>
    <w:uiPriority w:val="99"/>
    <w:unhideWhenUsed/>
    <w:rsid w:val="002303FF"/>
    <w:pPr>
      <w:tabs>
        <w:tab w:val="center" w:pos="4680"/>
        <w:tab w:val="right" w:pos="9360"/>
      </w:tabs>
      <w:spacing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A17D8C"/>
    <w:rPr>
      <w:rFonts w:asciiTheme="minorHAnsi" w:hAnsiTheme="minorHAnsi" w:eastAsiaTheme="minorHAnsi" w:cstheme="minorBidi"/>
    </w:rPr>
  </w:style>
  <w:style w:type="paragraph" w:styleId="BalloonText">
    <w:name w:val="Balloon Text"/>
    <w:basedOn w:val="Normal"/>
    <w:link w:val="BalloonTextChar"/>
    <w:uiPriority w:val="99"/>
    <w:semiHidden/>
    <w:unhideWhenUsed/>
    <w:rsid w:val="00E22A34"/>
    <w:pPr>
      <w:spacing w:line="240" w:lineRule="auto"/>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465951"/>
    <w:rPr>
      <w:rFonts w:ascii="Segoe UI" w:hAnsi="Segoe UI" w:cs="Segoe UI" w:eastAsiaTheme="minorHAnsi"/>
      <w:sz w:val="18"/>
      <w:szCs w:val="18"/>
    </w:rPr>
  </w:style>
  <w:style w:type="character" w:styleId="Hyperlink">
    <w:name w:val="Hyperlink"/>
    <w:basedOn w:val="DefaultParagraphFont"/>
    <w:uiPriority w:val="99"/>
    <w:unhideWhenUsed/>
    <w:rsid w:val="003426BB"/>
    <w:rPr>
      <w:color w:val="0000FF" w:themeColor="hyperlink"/>
      <w:u w:val="single"/>
    </w:rPr>
  </w:style>
  <w:style w:type="character" w:styleId="UnresolvedMention1" w:customStyle="1">
    <w:name w:val="Unresolved Mention1"/>
    <w:basedOn w:val="DefaultParagraphFont"/>
    <w:uiPriority w:val="99"/>
    <w:semiHidden/>
    <w:unhideWhenUsed/>
    <w:rsid w:val="003426BB"/>
    <w:rPr>
      <w:color w:val="605E5C"/>
      <w:shd w:val="clear" w:color="auto" w:fill="E1DFDD"/>
    </w:rPr>
  </w:style>
  <w:style w:type="character" w:styleId="UnresolvedMention2" w:customStyle="1">
    <w:name w:val="Unresolved Mention2"/>
    <w:basedOn w:val="DefaultParagraphFont"/>
    <w:uiPriority w:val="99"/>
    <w:semiHidden/>
    <w:unhideWhenUsed/>
    <w:rsid w:val="00A35FEE"/>
    <w:rPr>
      <w:color w:val="605E5C"/>
      <w:shd w:val="clear" w:color="auto" w:fill="E1DFDD"/>
    </w:rPr>
  </w:style>
  <w:style w:type="paragraph" w:styleId="Revision">
    <w:name w:val="Revision"/>
    <w:hidden/>
    <w:uiPriority w:val="99"/>
    <w:semiHidden/>
    <w:rsid w:val="00351900"/>
    <w:pPr>
      <w:spacing w:line="240" w:lineRule="auto"/>
    </w:pPr>
    <w:rPr>
      <w:rFonts w:asciiTheme="minorHAnsi" w:hAnsiTheme="minorHAnsi" w:eastAsiaTheme="minorHAnsi" w:cstheme="minorBidi"/>
    </w:rPr>
  </w:style>
  <w:style w:type="character" w:styleId="UnresolvedMention3" w:customStyle="1">
    <w:name w:val="Unresolved Mention3"/>
    <w:basedOn w:val="DefaultParagraphFont"/>
    <w:uiPriority w:val="99"/>
    <w:semiHidden/>
    <w:unhideWhenUsed/>
    <w:rsid w:val="002A526A"/>
    <w:rPr>
      <w:color w:val="605E5C"/>
      <w:shd w:val="clear" w:color="auto" w:fill="E1DFDD"/>
    </w:rPr>
  </w:style>
  <w:style w:type="table" w:styleId="43" w:customStyle="1">
    <w:name w:val="43"/>
    <w:basedOn w:val="TableNormal"/>
    <w:tblPr>
      <w:tblStyleRowBandSize w:val="1"/>
      <w:tblStyleColBandSize w:val="1"/>
      <w:tblCellMar>
        <w:top w:w="100" w:type="dxa"/>
        <w:left w:w="100" w:type="dxa"/>
        <w:bottom w:w="100" w:type="dxa"/>
        <w:right w:w="100" w:type="dxa"/>
      </w:tblCellMar>
    </w:tblPr>
  </w:style>
  <w:style w:type="table" w:styleId="42" w:customStyle="1">
    <w:name w:val="42"/>
    <w:basedOn w:val="TableNormal"/>
    <w:tblPr>
      <w:tblStyleRowBandSize w:val="1"/>
      <w:tblStyleColBandSize w:val="1"/>
      <w:tblCellMar>
        <w:top w:w="100" w:type="dxa"/>
        <w:left w:w="100" w:type="dxa"/>
        <w:bottom w:w="100" w:type="dxa"/>
        <w:right w:w="100" w:type="dxa"/>
      </w:tblCellMar>
    </w:tblPr>
  </w:style>
  <w:style w:type="table" w:styleId="41" w:customStyle="1">
    <w:name w:val="41"/>
    <w:basedOn w:val="TableNormal"/>
    <w:tblPr>
      <w:tblStyleRowBandSize w:val="1"/>
      <w:tblStyleColBandSize w:val="1"/>
      <w:tblCellMar>
        <w:top w:w="100" w:type="dxa"/>
        <w:left w:w="100" w:type="dxa"/>
        <w:bottom w:w="100" w:type="dxa"/>
        <w:right w:w="100" w:type="dxa"/>
      </w:tblCellMar>
    </w:tblPr>
  </w:style>
  <w:style w:type="table" w:styleId="40" w:customStyle="1">
    <w:name w:val="4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9" w:customStyle="1">
    <w:name w:val="3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8" w:customStyle="1">
    <w:name w:val="38"/>
    <w:basedOn w:val="TableNormal"/>
    <w:tblPr>
      <w:tblStyleRowBandSize w:val="1"/>
      <w:tblStyleColBandSize w:val="1"/>
      <w:tblCellMar>
        <w:top w:w="100" w:type="dxa"/>
        <w:left w:w="100" w:type="dxa"/>
        <w:bottom w:w="100" w:type="dxa"/>
        <w:right w:w="100" w:type="dxa"/>
      </w:tblCellMar>
    </w:tblPr>
  </w:style>
  <w:style w:type="table" w:styleId="37" w:customStyle="1">
    <w:name w:val="3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6" w:customStyle="1">
    <w:name w:val="3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5" w:customStyle="1">
    <w:name w:val="3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4" w:customStyle="1">
    <w:name w:val="3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3" w:customStyle="1">
    <w:name w:val="3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2" w:customStyle="1">
    <w:name w:val="3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1" w:customStyle="1">
    <w:name w:val="3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0" w:customStyle="1">
    <w:name w:val="3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9" w:customStyle="1">
    <w:name w:val="2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8" w:customStyle="1">
    <w:name w:val="2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7" w:customStyle="1">
    <w:name w:val="2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6" w:customStyle="1">
    <w:name w:val="2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5" w:customStyle="1">
    <w:name w:val="2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4" w:customStyle="1">
    <w:name w:val="2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3" w:customStyle="1">
    <w:name w:val="2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2" w:customStyle="1">
    <w:name w:val="2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1" w:customStyle="1">
    <w:name w:val="2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0" w:customStyle="1">
    <w:name w:val="2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F50904"/>
    <w:rPr>
      <w:color w:val="800080" w:themeColor="followedHyperlink"/>
      <w:u w:val="single"/>
    </w:rPr>
  </w:style>
  <w:style w:type="paragraph" w:styleId="NormalWeb">
    <w:name w:val="Normal (Web)"/>
    <w:basedOn w:val="Normal"/>
    <w:uiPriority w:val="99"/>
    <w:unhideWhenUsed/>
    <w:rsid w:val="00CC05E4"/>
    <w:pPr>
      <w:spacing w:before="100" w:beforeAutospacing="1" w:after="100" w:afterAutospacing="1" w:line="240" w:lineRule="auto"/>
    </w:pPr>
    <w:rPr>
      <w:rFonts w:ascii="Times New Roman" w:hAnsi="Times New Roman" w:eastAsia="Times New Roman" w:cs="Times New Roman"/>
      <w:sz w:val="24"/>
      <w:szCs w:val="24"/>
    </w:rPr>
  </w:style>
  <w:style w:type="character" w:styleId="il" w:customStyle="1">
    <w:name w:val="il"/>
    <w:basedOn w:val="DefaultParagraphFont"/>
    <w:rsid w:val="00CC05E4"/>
  </w:style>
  <w:style w:type="table" w:styleId="19" w:customStyle="1">
    <w:name w:val="19"/>
    <w:basedOn w:val="TableNormal"/>
    <w:tblPr>
      <w:tblStyleRowBandSize w:val="1"/>
      <w:tblStyleColBandSize w:val="1"/>
      <w:tblCellMar>
        <w:top w:w="100" w:type="dxa"/>
        <w:left w:w="100" w:type="dxa"/>
        <w:bottom w:w="100" w:type="dxa"/>
        <w:right w:w="100" w:type="dxa"/>
      </w:tblCellMar>
    </w:tblPr>
  </w:style>
  <w:style w:type="table" w:styleId="18" w:customStyle="1">
    <w:name w:val="18"/>
    <w:basedOn w:val="TableNormal"/>
    <w:tblPr>
      <w:tblStyleRowBandSize w:val="1"/>
      <w:tblStyleColBandSize w:val="1"/>
      <w:tblCellMar>
        <w:top w:w="100" w:type="dxa"/>
        <w:left w:w="100" w:type="dxa"/>
        <w:bottom w:w="100" w:type="dxa"/>
        <w:right w:w="100" w:type="dxa"/>
      </w:tblCellMar>
    </w:tblPr>
  </w:style>
  <w:style w:type="table" w:styleId="17" w:customStyle="1">
    <w:name w:val="17"/>
    <w:basedOn w:val="TableNormal"/>
    <w:tblPr>
      <w:tblStyleRowBandSize w:val="1"/>
      <w:tblStyleColBandSize w:val="1"/>
      <w:tblCellMar>
        <w:top w:w="100" w:type="dxa"/>
        <w:left w:w="100" w:type="dxa"/>
        <w:bottom w:w="100" w:type="dxa"/>
        <w:right w:w="100" w:type="dxa"/>
      </w:tblCellMar>
    </w:tblPr>
  </w:style>
  <w:style w:type="table" w:styleId="16" w:customStyle="1">
    <w:name w:val="16"/>
    <w:basedOn w:val="TableNormal"/>
    <w:tblPr>
      <w:tblStyleRowBandSize w:val="1"/>
      <w:tblStyleColBandSize w:val="1"/>
      <w:tblCellMar>
        <w:top w:w="100" w:type="dxa"/>
        <w:left w:w="100" w:type="dxa"/>
        <w:bottom w:w="100" w:type="dxa"/>
        <w:right w:w="100" w:type="dxa"/>
      </w:tblCellMar>
    </w:tblPr>
  </w:style>
  <w:style w:type="table" w:styleId="15" w:customStyle="1">
    <w:name w:val="15"/>
    <w:basedOn w:val="TableNormal"/>
    <w:tblPr>
      <w:tblStyleRowBandSize w:val="1"/>
      <w:tblStyleColBandSize w:val="1"/>
      <w:tblCellMar>
        <w:top w:w="100" w:type="dxa"/>
        <w:left w:w="100" w:type="dxa"/>
        <w:bottom w:w="100" w:type="dxa"/>
        <w:right w:w="100" w:type="dxa"/>
      </w:tblCellMar>
    </w:tblPr>
  </w:style>
  <w:style w:type="table" w:styleId="14" w:customStyle="1">
    <w:name w:val="14"/>
    <w:basedOn w:val="TableNormal"/>
    <w:tblPr>
      <w:tblStyleRowBandSize w:val="1"/>
      <w:tblStyleColBandSize w:val="1"/>
      <w:tblCellMar>
        <w:top w:w="100" w:type="dxa"/>
        <w:left w:w="100" w:type="dxa"/>
        <w:bottom w:w="100" w:type="dxa"/>
        <w:right w:w="100" w:type="dxa"/>
      </w:tblCellMar>
    </w:tblPr>
  </w:style>
  <w:style w:type="table" w:styleId="13" w:customStyle="1">
    <w:name w:val="13"/>
    <w:basedOn w:val="TableNormal"/>
    <w:tblPr>
      <w:tblStyleRowBandSize w:val="1"/>
      <w:tblStyleColBandSize w:val="1"/>
      <w:tblCellMar>
        <w:top w:w="100" w:type="dxa"/>
        <w:left w:w="100" w:type="dxa"/>
        <w:bottom w:w="100" w:type="dxa"/>
        <w:right w:w="100" w:type="dxa"/>
      </w:tblCellMar>
    </w:tblPr>
  </w:style>
  <w:style w:type="table" w:styleId="12" w:customStyle="1">
    <w:name w:val="12"/>
    <w:basedOn w:val="TableNormal"/>
    <w:tblPr>
      <w:tblStyleRowBandSize w:val="1"/>
      <w:tblStyleColBandSize w:val="1"/>
      <w:tblCellMar>
        <w:top w:w="100" w:type="dxa"/>
        <w:left w:w="100" w:type="dxa"/>
        <w:bottom w:w="100" w:type="dxa"/>
        <w:right w:w="100" w:type="dxa"/>
      </w:tblCellMar>
    </w:tblPr>
  </w:style>
  <w:style w:type="table" w:styleId="11" w:customStyle="1">
    <w:name w:val="11"/>
    <w:basedOn w:val="TableNormal"/>
    <w:tblPr>
      <w:tblStyleRowBandSize w:val="1"/>
      <w:tblStyleColBandSize w:val="1"/>
      <w:tblCellMar>
        <w:top w:w="100" w:type="dxa"/>
        <w:left w:w="100" w:type="dxa"/>
        <w:bottom w:w="100" w:type="dxa"/>
        <w:right w:w="100" w:type="dxa"/>
      </w:tblCellMar>
    </w:tblPr>
  </w:style>
  <w:style w:type="table" w:styleId="10" w:customStyle="1">
    <w:name w:val="10"/>
    <w:basedOn w:val="TableNormal"/>
    <w:tblPr>
      <w:tblStyleRowBandSize w:val="1"/>
      <w:tblStyleColBandSize w:val="1"/>
      <w:tblCellMar>
        <w:top w:w="100" w:type="dxa"/>
        <w:left w:w="100" w:type="dxa"/>
        <w:bottom w:w="100" w:type="dxa"/>
        <w:right w:w="100" w:type="dxa"/>
      </w:tblCellMar>
    </w:tblPr>
  </w:style>
  <w:style w:type="table" w:styleId="9" w:customStyle="1">
    <w:name w:val="9"/>
    <w:basedOn w:val="TableNormal"/>
    <w:tblPr>
      <w:tblStyleRowBandSize w:val="1"/>
      <w:tblStyleColBandSize w:val="1"/>
      <w:tblCellMar>
        <w:top w:w="100" w:type="dxa"/>
        <w:left w:w="100" w:type="dxa"/>
        <w:bottom w:w="100" w:type="dxa"/>
        <w:right w:w="100" w:type="dxa"/>
      </w:tblCellMar>
    </w:tblPr>
  </w:style>
  <w:style w:type="table" w:styleId="8" w:customStyle="1">
    <w:name w:val="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character" w:styleId="UnresolvedMention4" w:customStyle="1">
    <w:name w:val="Unresolved Mention4"/>
    <w:basedOn w:val="DefaultParagraphFont"/>
    <w:uiPriority w:val="99"/>
    <w:semiHidden/>
    <w:unhideWhenUsed/>
    <w:rsid w:val="000F2EC4"/>
    <w:rPr>
      <w:color w:val="605E5C"/>
      <w:shd w:val="clear" w:color="auto" w:fill="E1DFDD"/>
    </w:rPr>
  </w:style>
  <w:style w:type="character" w:styleId="UnresolvedMention5" w:customStyle="1">
    <w:name w:val="Unresolved Mention5"/>
    <w:basedOn w:val="DefaultParagraphFont"/>
    <w:uiPriority w:val="99"/>
    <w:semiHidden/>
    <w:unhideWhenUsed/>
    <w:rsid w:val="00F33F22"/>
    <w:rPr>
      <w:color w:val="605E5C"/>
      <w:shd w:val="clear" w:color="auto" w:fill="E1DFDD"/>
    </w:rPr>
  </w:style>
  <w:style w:type="paragraph" w:styleId="pf0" w:customStyle="1">
    <w:name w:val="pf0"/>
    <w:basedOn w:val="Normal"/>
    <w:rsid w:val="0012591E"/>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157A18"/>
    <w:rPr>
      <w:rFonts w:hint="default" w:ascii="Segoe UI" w:hAnsi="Segoe UI" w:cs="Segoe UI"/>
      <w:sz w:val="18"/>
      <w:szCs w:val="18"/>
      <w:shd w:val="clear" w:color="auto" w:fill="FFFF00"/>
    </w:rPr>
  </w:style>
  <w:style w:type="character" w:styleId="Hyperlink1" w:customStyle="1">
    <w:name w:val="Hyperlink1"/>
    <w:basedOn w:val="DefaultParagraphFont"/>
    <w:uiPriority w:val="99"/>
    <w:unhideWhenUsed/>
    <w:rsid w:val="002F730A"/>
    <w:rPr>
      <w:color w:val="0000FF"/>
      <w:u w:val="single"/>
    </w:rPr>
  </w:style>
  <w:style w:type="character" w:styleId="cf11" w:customStyle="1">
    <w:name w:val="cf11"/>
    <w:basedOn w:val="DefaultParagraphFont"/>
    <w:rsid w:val="00681C23"/>
    <w:rPr>
      <w:rFonts w:hint="default" w:ascii="Segoe UI" w:hAnsi="Segoe UI" w:cs="Segoe UI"/>
      <w:sz w:val="18"/>
      <w:szCs w:val="18"/>
    </w:rPr>
  </w:style>
  <w:style w:type="character" w:styleId="UnresolvedMention6" w:customStyle="1">
    <w:name w:val="Unresolved Mention6"/>
    <w:basedOn w:val="DefaultParagraphFont"/>
    <w:uiPriority w:val="99"/>
    <w:semiHidden/>
    <w:unhideWhenUsed/>
    <w:rsid w:val="00681C23"/>
    <w:rPr>
      <w:color w:val="605E5C"/>
      <w:shd w:val="clear" w:color="auto" w:fill="E1DFDD"/>
    </w:rPr>
  </w:style>
  <w:style w:type="character" w:styleId="Heading1Char" w:customStyle="1">
    <w:name w:val="Heading 1 Char"/>
    <w:basedOn w:val="DefaultParagraphFont"/>
    <w:link w:val="Heading1"/>
    <w:uiPriority w:val="9"/>
    <w:rsid w:val="00672BB4"/>
    <w:rPr>
      <w:b/>
      <w:bCs/>
    </w:rPr>
  </w:style>
  <w:style w:type="character" w:styleId="Heading2Char" w:customStyle="1">
    <w:name w:val="Heading 2 Char"/>
    <w:basedOn w:val="DefaultParagraphFont"/>
    <w:link w:val="Heading2"/>
    <w:rsid w:val="003166F7"/>
    <w:rPr>
      <w:b/>
      <w:lang w:val="en-GB"/>
    </w:rPr>
  </w:style>
  <w:style w:type="character" w:styleId="Heading3Char" w:customStyle="1">
    <w:name w:val="Heading 3 Char"/>
    <w:basedOn w:val="DefaultParagraphFont"/>
    <w:link w:val="Heading3"/>
    <w:uiPriority w:val="9"/>
    <w:rsid w:val="00C22D9F"/>
    <w:rPr>
      <w:i/>
      <w:szCs w:val="28"/>
    </w:rPr>
  </w:style>
  <w:style w:type="character" w:styleId="Heading4Char" w:customStyle="1">
    <w:name w:val="Heading 4 Char"/>
    <w:basedOn w:val="DefaultParagraphFont"/>
    <w:link w:val="Heading4"/>
    <w:uiPriority w:val="9"/>
    <w:rsid w:val="00E97F37"/>
    <w:rPr>
      <w:szCs w:val="24"/>
      <w:u w:val="single"/>
    </w:rPr>
  </w:style>
  <w:style w:type="character" w:styleId="Heading5Char" w:customStyle="1">
    <w:name w:val="Heading 5 Char"/>
    <w:basedOn w:val="DefaultParagraphFont"/>
    <w:link w:val="Heading5"/>
    <w:uiPriority w:val="9"/>
    <w:rsid w:val="00681C23"/>
    <w:rPr>
      <w:color w:val="666666"/>
    </w:rPr>
  </w:style>
  <w:style w:type="character" w:styleId="Heading6Char" w:customStyle="1">
    <w:name w:val="Heading 6 Char"/>
    <w:basedOn w:val="DefaultParagraphFont"/>
    <w:link w:val="Heading6"/>
    <w:uiPriority w:val="9"/>
    <w:semiHidden/>
    <w:rsid w:val="00681C23"/>
    <w:rPr>
      <w:i/>
      <w:color w:val="666666"/>
    </w:rPr>
  </w:style>
  <w:style w:type="character" w:styleId="TitleChar" w:customStyle="1">
    <w:name w:val="Title Char"/>
    <w:basedOn w:val="DefaultParagraphFont"/>
    <w:link w:val="Title"/>
    <w:uiPriority w:val="10"/>
    <w:rsid w:val="00681C23"/>
    <w:rPr>
      <w:sz w:val="52"/>
      <w:szCs w:val="52"/>
    </w:rPr>
  </w:style>
  <w:style w:type="character" w:styleId="SubtitleChar" w:customStyle="1">
    <w:name w:val="Subtitle Char"/>
    <w:basedOn w:val="DefaultParagraphFont"/>
    <w:link w:val="Subtitle"/>
    <w:uiPriority w:val="11"/>
    <w:rsid w:val="00681C23"/>
    <w:rPr>
      <w:color w:val="666666"/>
      <w:sz w:val="30"/>
      <w:szCs w:val="30"/>
    </w:rPr>
  </w:style>
  <w:style w:type="table" w:styleId="TableGrid11" w:customStyle="1">
    <w:name w:val="Table Grid11"/>
    <w:basedOn w:val="TableNormal"/>
    <w:next w:val="TableGrid"/>
    <w:uiPriority w:val="39"/>
    <w:rsid w:val="00681C23"/>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1" w:customStyle="1">
    <w:name w:val="FollowedHyperlink1"/>
    <w:basedOn w:val="DefaultParagraphFont"/>
    <w:uiPriority w:val="99"/>
    <w:semiHidden/>
    <w:unhideWhenUsed/>
    <w:rsid w:val="00681C23"/>
    <w:rPr>
      <w:color w:val="800080"/>
      <w:u w:val="single"/>
    </w:rPr>
  </w:style>
  <w:style w:type="character" w:styleId="Strong">
    <w:name w:val="Strong"/>
    <w:basedOn w:val="DefaultParagraphFont"/>
    <w:uiPriority w:val="22"/>
    <w:qFormat/>
    <w:rsid w:val="00571264"/>
    <w:rPr>
      <w:b/>
      <w:bCs/>
    </w:rPr>
  </w:style>
  <w:style w:type="character" w:styleId="UnresolvedMention7" w:customStyle="1">
    <w:name w:val="Unresolved Mention7"/>
    <w:basedOn w:val="DefaultParagraphFont"/>
    <w:uiPriority w:val="99"/>
    <w:semiHidden/>
    <w:unhideWhenUsed/>
    <w:rsid w:val="00847A04"/>
    <w:rPr>
      <w:color w:val="605E5C"/>
      <w:shd w:val="clear" w:color="auto" w:fill="E1DFDD"/>
    </w:rPr>
  </w:style>
  <w:style w:type="paragraph" w:styleId="NoSpacing">
    <w:name w:val="No Spacing"/>
    <w:uiPriority w:val="1"/>
    <w:qFormat/>
    <w:rsid w:val="00173754"/>
    <w:pPr>
      <w:spacing w:line="240" w:lineRule="auto"/>
    </w:p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1"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2"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3"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4"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5"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6"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7"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8" w:customStyle="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unhideWhenUsed/>
    <w:rsid w:val="0049663B"/>
    <w:rPr>
      <w:color w:val="605E5C"/>
      <w:shd w:val="clear" w:color="auto" w:fill="E1DFDD"/>
    </w:rPr>
  </w:style>
  <w:style w:type="character" w:styleId="Mention">
    <w:name w:val="Mention"/>
    <w:basedOn w:val="DefaultParagraphFont"/>
    <w:uiPriority w:val="99"/>
    <w:unhideWhenUsed/>
    <w:rsid w:val="0049663B"/>
    <w:rPr>
      <w:color w:val="2B579A"/>
      <w:shd w:val="clear" w:color="auto" w:fill="E1DFDD"/>
    </w:r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table" w:styleId="af4" w:customStyle="1">
    <w:basedOn w:val="TableNormal"/>
    <w:tblPr>
      <w:tblStyleRowBandSize w:val="1"/>
      <w:tblStyleColBandSize w:val="1"/>
      <w:tblCellMar>
        <w:left w:w="115" w:type="dxa"/>
        <w:right w:w="115" w:type="dxa"/>
      </w:tblCellMar>
    </w:tblPr>
  </w:style>
  <w:style w:type="table" w:styleId="af5" w:customStyle="1">
    <w:basedOn w:val="TableNormal"/>
    <w:tblPr>
      <w:tblStyleRowBandSize w:val="1"/>
      <w:tblStyleColBandSize w:val="1"/>
      <w:tblCellMar>
        <w:top w:w="100" w:type="dxa"/>
        <w:left w:w="100" w:type="dxa"/>
        <w:bottom w:w="100" w:type="dxa"/>
        <w:right w:w="100" w:type="dxa"/>
      </w:tblCellMar>
    </w:tblPr>
  </w:style>
  <w:style w:type="table" w:styleId="af6" w:customStyle="1">
    <w:basedOn w:val="TableNormal"/>
    <w:tblPr>
      <w:tblStyleRowBandSize w:val="1"/>
      <w:tblStyleColBandSize w:val="1"/>
      <w:tblCellMar>
        <w:top w:w="100" w:type="dxa"/>
        <w:left w:w="100" w:type="dxa"/>
        <w:bottom w:w="100" w:type="dxa"/>
        <w:right w:w="100" w:type="dxa"/>
      </w:tblCellMar>
    </w:tblPr>
  </w:style>
  <w:style w:type="table" w:styleId="af7" w:customStyle="1">
    <w:basedOn w:val="TableNormal"/>
    <w:tblPr>
      <w:tblStyleRowBandSize w:val="1"/>
      <w:tblStyleColBandSize w:val="1"/>
      <w:tblCellMar>
        <w:top w:w="100" w:type="dxa"/>
        <w:left w:w="100" w:type="dxa"/>
        <w:bottom w:w="100" w:type="dxa"/>
        <w:right w:w="100" w:type="dxa"/>
      </w:tblCellMar>
    </w:tblPr>
  </w:style>
  <w:style w:type="table" w:styleId="af8" w:customStyle="1">
    <w:basedOn w:val="TableNormal"/>
    <w:tblPr>
      <w:tblStyleRowBandSize w:val="1"/>
      <w:tblStyleColBandSize w:val="1"/>
      <w:tblCellMar>
        <w:top w:w="100" w:type="dxa"/>
        <w:left w:w="100" w:type="dxa"/>
        <w:bottom w:w="100" w:type="dxa"/>
        <w:right w:w="100" w:type="dxa"/>
      </w:tblCellMar>
    </w:tblPr>
  </w:style>
  <w:style w:type="table" w:styleId="af9" w:customStyle="1">
    <w:basedOn w:val="TableNormal"/>
    <w:tblPr>
      <w:tblStyleRowBandSize w:val="1"/>
      <w:tblStyleColBandSize w:val="1"/>
      <w:tblCellMar>
        <w:top w:w="100" w:type="dxa"/>
        <w:left w:w="100" w:type="dxa"/>
        <w:bottom w:w="100" w:type="dxa"/>
        <w:right w:w="100" w:type="dxa"/>
      </w:tblCellMar>
    </w:tblPr>
  </w:style>
  <w:style w:type="table" w:styleId="afa" w:customStyle="1">
    <w:basedOn w:val="TableNormal"/>
    <w:tblPr>
      <w:tblStyleRowBandSize w:val="1"/>
      <w:tblStyleColBandSize w:val="1"/>
      <w:tblCellMar>
        <w:top w:w="100" w:type="dxa"/>
        <w:left w:w="100" w:type="dxa"/>
        <w:bottom w:w="100" w:type="dxa"/>
        <w:right w:w="100" w:type="dxa"/>
      </w:tblCellMar>
    </w:tblPr>
  </w:style>
  <w:style w:type="table" w:styleId="afb" w:customStyle="1">
    <w:basedOn w:val="TableNormal"/>
    <w:tblPr>
      <w:tblStyleRowBandSize w:val="1"/>
      <w:tblStyleColBandSize w:val="1"/>
      <w:tblCellMar>
        <w:top w:w="100" w:type="dxa"/>
        <w:left w:w="100" w:type="dxa"/>
        <w:bottom w:w="100" w:type="dxa"/>
        <w:right w:w="100" w:type="dxa"/>
      </w:tblCellMar>
    </w:tblPr>
  </w:style>
  <w:style w:type="table" w:styleId="afc" w:customStyle="1">
    <w:basedOn w:val="TableNormal"/>
    <w:tblPr>
      <w:tblStyleRowBandSize w:val="1"/>
      <w:tblStyleColBandSize w:val="1"/>
      <w:tblCellMar>
        <w:top w:w="100" w:type="dxa"/>
        <w:left w:w="100" w:type="dxa"/>
        <w:bottom w:w="100" w:type="dxa"/>
        <w:right w:w="100" w:type="dxa"/>
      </w:tblCellMar>
    </w:tblPr>
  </w:style>
  <w:style w:type="table" w:styleId="afd" w:customStyle="1">
    <w:basedOn w:val="TableNormal"/>
    <w:tblPr>
      <w:tblStyleRowBandSize w:val="1"/>
      <w:tblStyleColBandSize w:val="1"/>
      <w:tblCellMar>
        <w:top w:w="100" w:type="dxa"/>
        <w:left w:w="100" w:type="dxa"/>
        <w:bottom w:w="100" w:type="dxa"/>
        <w:right w:w="100" w:type="dxa"/>
      </w:tblCellMar>
    </w:tblPr>
  </w:style>
  <w:style w:type="table" w:styleId="afe" w:customStyle="1">
    <w:basedOn w:val="TableNormal"/>
    <w:tblPr>
      <w:tblStyleRowBandSize w:val="1"/>
      <w:tblStyleColBandSize w:val="1"/>
      <w:tblCellMar>
        <w:top w:w="100" w:type="dxa"/>
        <w:left w:w="100" w:type="dxa"/>
        <w:bottom w:w="100" w:type="dxa"/>
        <w:right w:w="100" w:type="dxa"/>
      </w:tblCellMar>
    </w:tblPr>
  </w:style>
  <w:style w:type="table" w:styleId="aff" w:customStyle="1">
    <w:basedOn w:val="TableNormal"/>
    <w:tblPr>
      <w:tblStyleRowBandSize w:val="1"/>
      <w:tblStyleColBandSize w:val="1"/>
      <w:tblCellMar>
        <w:top w:w="100" w:type="dxa"/>
        <w:left w:w="100" w:type="dxa"/>
        <w:bottom w:w="100" w:type="dxa"/>
        <w:right w:w="100" w:type="dxa"/>
      </w:tblCellMar>
    </w:tblPr>
  </w:style>
  <w:style w:type="table" w:styleId="aff0" w:customStyle="1">
    <w:basedOn w:val="TableNormal"/>
    <w:tblPr>
      <w:tblStyleRowBandSize w:val="1"/>
      <w:tblStyleColBandSize w:val="1"/>
      <w:tblCellMar>
        <w:left w:w="115" w:type="dxa"/>
        <w:right w:w="115" w:type="dxa"/>
      </w:tblCellMar>
    </w:tblPr>
  </w:style>
  <w:style w:type="character" w:styleId="normaltextrun" w:customStyle="1">
    <w:name w:val="normaltextrun"/>
    <w:basedOn w:val="DefaultParagraphFont"/>
    <w:rsid w:val="00DE14C0"/>
  </w:style>
  <w:style w:type="character" w:styleId="contentcontrolboundarysink" w:customStyle="1">
    <w:name w:val="contentcontrolboundarysink"/>
    <w:basedOn w:val="DefaultParagraphFont"/>
    <w:rsid w:val="00DE14C0"/>
  </w:style>
  <w:style w:type="character" w:styleId="eop" w:customStyle="1">
    <w:name w:val="eop"/>
    <w:basedOn w:val="DefaultParagraphFont"/>
    <w:rsid w:val="00DE14C0"/>
  </w:style>
  <w:style w:type="character" w:styleId="ui-provider" w:customStyle="1">
    <w:name w:val="ui-provider"/>
    <w:basedOn w:val="DefaultParagraphFont"/>
    <w:rsid w:val="00A34305"/>
  </w:style>
  <w:style w:type="character" w:styleId="Heading7Char" w:customStyle="1">
    <w:name w:val="Heading 7 Char"/>
    <w:basedOn w:val="DefaultParagraphFont"/>
    <w:link w:val="Heading7"/>
    <w:uiPriority w:val="9"/>
    <w:semiHidden/>
    <w:rsid w:val="00A654B6"/>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654B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654B6"/>
    <w:rPr>
      <w:rFonts w:asciiTheme="majorHAnsi" w:hAnsiTheme="majorHAnsi" w:eastAsiaTheme="majorEastAsia" w:cstheme="majorBidi"/>
      <w:i/>
      <w:iCs/>
      <w:color w:val="272727" w:themeColor="text1" w:themeTint="D8"/>
      <w:sz w:val="21"/>
      <w:szCs w:val="21"/>
    </w:rPr>
  </w:style>
  <w:style w:type="paragraph" w:styleId="TOC5">
    <w:name w:val="toc 5"/>
    <w:basedOn w:val="Normal"/>
    <w:next w:val="Normal"/>
    <w:autoRedefine/>
    <w:uiPriority w:val="39"/>
    <w:unhideWhenUsed/>
    <w:rsid w:val="006F244A"/>
    <w:pPr>
      <w:spacing w:after="100" w:line="259" w:lineRule="auto"/>
      <w:ind w:left="880"/>
    </w:pPr>
    <w:rPr>
      <w:rFonts w:asciiTheme="minorHAnsi" w:hAnsiTheme="minorHAnsi" w:eastAsiaTheme="minorEastAsia" w:cstheme="minorBidi"/>
      <w:kern w:val="2"/>
      <w:lang w:eastAsia="zh-CN"/>
      <w14:ligatures w14:val="standardContextual"/>
    </w:rPr>
  </w:style>
  <w:style w:type="paragraph" w:styleId="TOC1">
    <w:name w:val="toc 1"/>
    <w:basedOn w:val="Normal"/>
    <w:next w:val="Normal"/>
    <w:autoRedefine/>
    <w:uiPriority w:val="39"/>
    <w:unhideWhenUsed/>
    <w:rsid w:val="00674216"/>
    <w:pPr>
      <w:tabs>
        <w:tab w:val="left" w:pos="714"/>
        <w:tab w:val="right" w:leader="dot" w:pos="9350"/>
      </w:tabs>
      <w:spacing w:before="120" w:after="120" w:line="240" w:lineRule="auto"/>
      <w:ind w:left="714" w:hanging="357"/>
    </w:pPr>
    <w:rPr>
      <w:b/>
      <w:smallCaps/>
    </w:rPr>
  </w:style>
  <w:style w:type="paragraph" w:styleId="TOC2">
    <w:name w:val="toc 2"/>
    <w:basedOn w:val="Normal"/>
    <w:next w:val="Normal"/>
    <w:autoRedefine/>
    <w:uiPriority w:val="39"/>
    <w:unhideWhenUsed/>
    <w:rsid w:val="00E46EE8"/>
    <w:pPr>
      <w:tabs>
        <w:tab w:val="left" w:pos="1797"/>
        <w:tab w:val="right" w:leader="dot" w:pos="9350"/>
      </w:tabs>
      <w:spacing w:line="240" w:lineRule="auto"/>
      <w:ind w:left="1174" w:hanging="454"/>
    </w:pPr>
  </w:style>
  <w:style w:type="paragraph" w:styleId="TOC3">
    <w:name w:val="toc 3"/>
    <w:basedOn w:val="Normal"/>
    <w:next w:val="Normal"/>
    <w:autoRedefine/>
    <w:uiPriority w:val="39"/>
    <w:unhideWhenUsed/>
    <w:rsid w:val="007B1841"/>
    <w:pPr>
      <w:tabs>
        <w:tab w:val="left" w:pos="1797"/>
        <w:tab w:val="right" w:leader="dot" w:pos="9350"/>
      </w:tabs>
      <w:spacing w:line="240" w:lineRule="auto"/>
      <w:ind w:left="1843" w:hanging="709"/>
    </w:pPr>
    <w:rPr>
      <w:i/>
    </w:rPr>
  </w:style>
  <w:style w:type="paragraph" w:styleId="TOC4">
    <w:name w:val="toc 4"/>
    <w:basedOn w:val="Normal"/>
    <w:next w:val="Normal"/>
    <w:autoRedefine/>
    <w:uiPriority w:val="39"/>
    <w:unhideWhenUsed/>
    <w:rsid w:val="007B1841"/>
    <w:pPr>
      <w:tabs>
        <w:tab w:val="left" w:pos="2594"/>
        <w:tab w:val="right" w:leader="dot" w:pos="9350"/>
      </w:tabs>
      <w:spacing w:line="240" w:lineRule="auto"/>
      <w:ind w:left="2552" w:hanging="851"/>
    </w:pPr>
  </w:style>
  <w:style w:type="paragraph" w:styleId="TOC6">
    <w:name w:val="toc 6"/>
    <w:basedOn w:val="Normal"/>
    <w:next w:val="Normal"/>
    <w:autoRedefine/>
    <w:uiPriority w:val="39"/>
    <w:unhideWhenUsed/>
    <w:rsid w:val="006F244A"/>
    <w:pPr>
      <w:spacing w:after="100" w:line="259" w:lineRule="auto"/>
      <w:ind w:left="1100"/>
    </w:pPr>
    <w:rPr>
      <w:rFonts w:asciiTheme="minorHAnsi" w:hAnsiTheme="minorHAnsi" w:eastAsiaTheme="minorEastAsia" w:cstheme="minorBidi"/>
      <w:kern w:val="2"/>
      <w:lang w:eastAsia="zh-CN"/>
      <w14:ligatures w14:val="standardContextual"/>
    </w:rPr>
  </w:style>
  <w:style w:type="paragraph" w:styleId="TOC7">
    <w:name w:val="toc 7"/>
    <w:basedOn w:val="Normal"/>
    <w:next w:val="Normal"/>
    <w:autoRedefine/>
    <w:uiPriority w:val="39"/>
    <w:unhideWhenUsed/>
    <w:rsid w:val="006F244A"/>
    <w:pPr>
      <w:spacing w:after="100" w:line="259" w:lineRule="auto"/>
      <w:ind w:left="1320"/>
    </w:pPr>
    <w:rPr>
      <w:rFonts w:asciiTheme="minorHAnsi" w:hAnsiTheme="minorHAnsi" w:eastAsiaTheme="minorEastAsia" w:cstheme="minorBidi"/>
      <w:kern w:val="2"/>
      <w:lang w:eastAsia="zh-CN"/>
      <w14:ligatures w14:val="standardContextual"/>
    </w:rPr>
  </w:style>
  <w:style w:type="paragraph" w:styleId="TOC8">
    <w:name w:val="toc 8"/>
    <w:basedOn w:val="Normal"/>
    <w:next w:val="Normal"/>
    <w:autoRedefine/>
    <w:uiPriority w:val="39"/>
    <w:unhideWhenUsed/>
    <w:rsid w:val="006F244A"/>
    <w:pPr>
      <w:spacing w:after="100" w:line="259" w:lineRule="auto"/>
      <w:ind w:left="1540"/>
    </w:pPr>
    <w:rPr>
      <w:rFonts w:asciiTheme="minorHAnsi" w:hAnsiTheme="minorHAnsi" w:eastAsiaTheme="minorEastAsia" w:cstheme="minorBidi"/>
      <w:kern w:val="2"/>
      <w:lang w:eastAsia="zh-CN"/>
      <w14:ligatures w14:val="standardContextual"/>
    </w:rPr>
  </w:style>
  <w:style w:type="paragraph" w:styleId="TOC9">
    <w:name w:val="toc 9"/>
    <w:basedOn w:val="Normal"/>
    <w:next w:val="Normal"/>
    <w:autoRedefine/>
    <w:uiPriority w:val="39"/>
    <w:unhideWhenUsed/>
    <w:rsid w:val="006F244A"/>
    <w:pPr>
      <w:spacing w:after="100" w:line="259" w:lineRule="auto"/>
      <w:ind w:left="1760"/>
    </w:pPr>
    <w:rPr>
      <w:rFonts w:asciiTheme="minorHAnsi" w:hAnsiTheme="minorHAnsi" w:eastAsiaTheme="minorEastAsia" w:cstheme="minorBidi"/>
      <w:kern w:val="2"/>
      <w:lang w:eastAsia="zh-CN"/>
      <w14:ligatures w14:val="standardContextual"/>
    </w:rPr>
  </w:style>
  <w:style w:type="paragraph" w:styleId="Style1" w:customStyle="1">
    <w:name w:val="Style1"/>
    <w:basedOn w:val="Heading1"/>
    <w:link w:val="Style1Char"/>
    <w:qFormat/>
    <w:rsid w:val="00A65933"/>
    <w:rPr>
      <w:lang w:val="en-GB"/>
    </w:rPr>
  </w:style>
  <w:style w:type="paragraph" w:styleId="Style2" w:customStyle="1">
    <w:name w:val="Style2"/>
    <w:basedOn w:val="Heading2"/>
    <w:link w:val="Style2Char"/>
    <w:qFormat/>
    <w:rsid w:val="00307822"/>
    <w:pPr>
      <w:numPr>
        <w:ilvl w:val="0"/>
        <w:numId w:val="34"/>
      </w:numPr>
    </w:pPr>
    <w:rPr>
      <w:b w:val="0"/>
      <w:bCs/>
    </w:rPr>
  </w:style>
  <w:style w:type="character" w:styleId="Style1Char" w:customStyle="1">
    <w:name w:val="Style1 Char"/>
    <w:basedOn w:val="Heading1Char"/>
    <w:link w:val="Style1"/>
    <w:rsid w:val="00A65933"/>
    <w:rPr>
      <w:b/>
      <w:bCs/>
      <w:lang w:val="en-GB"/>
    </w:rPr>
  </w:style>
  <w:style w:type="paragraph" w:styleId="Style3" w:customStyle="1">
    <w:name w:val="Style3"/>
    <w:basedOn w:val="Heading3"/>
    <w:link w:val="Style3Char"/>
    <w:qFormat/>
    <w:rsid w:val="00A65933"/>
    <w:rPr>
      <w:lang w:val="en-GB"/>
    </w:rPr>
  </w:style>
  <w:style w:type="character" w:styleId="Style2Char" w:customStyle="1">
    <w:name w:val="Style2 Char"/>
    <w:basedOn w:val="Heading2Char"/>
    <w:link w:val="Style2"/>
    <w:rsid w:val="00307822"/>
    <w:rPr>
      <w:b w:val="0"/>
      <w:bCs/>
      <w:lang w:val="en-GB"/>
    </w:rPr>
  </w:style>
  <w:style w:type="character" w:styleId="Style3Char" w:customStyle="1">
    <w:name w:val="Style3 Char"/>
    <w:basedOn w:val="Heading3Char"/>
    <w:link w:val="Style3"/>
    <w:rsid w:val="00A65933"/>
    <w:rPr>
      <w:i/>
      <w:szCs w:val="28"/>
      <w:lang w:val="en-GB"/>
    </w:rPr>
  </w:style>
  <w:style w:type="numbering" w:styleId="CurrentList1" w:customStyle="1">
    <w:name w:val="Current List1"/>
    <w:uiPriority w:val="99"/>
    <w:rsid w:val="00572731"/>
    <w:pPr>
      <w:numPr>
        <w:numId w:val="35"/>
      </w:numPr>
    </w:pPr>
  </w:style>
  <w:style w:type="numbering" w:styleId="CurrentList2" w:customStyle="1">
    <w:name w:val="Current List2"/>
    <w:uiPriority w:val="99"/>
    <w:rsid w:val="00924171"/>
    <w:pPr>
      <w:numPr>
        <w:numId w:val="36"/>
      </w:numPr>
    </w:pPr>
  </w:style>
  <w:style w:type="numbering" w:styleId="CurrentList3" w:customStyle="1">
    <w:name w:val="Current List3"/>
    <w:uiPriority w:val="99"/>
    <w:rsid w:val="00924171"/>
    <w:pPr>
      <w:numPr>
        <w:numId w:val="37"/>
      </w:numPr>
    </w:pPr>
  </w:style>
  <w:style w:type="numbering" w:styleId="CurrentList4" w:customStyle="1">
    <w:name w:val="Current List4"/>
    <w:uiPriority w:val="99"/>
    <w:rsid w:val="00924171"/>
    <w:pPr>
      <w:numPr>
        <w:numId w:val="38"/>
      </w:numPr>
    </w:pPr>
  </w:style>
  <w:style w:type="paragraph" w:styleId="TOCHeading">
    <w:name w:val="TOC Heading"/>
    <w:basedOn w:val="Heading1"/>
    <w:next w:val="Normal"/>
    <w:uiPriority w:val="39"/>
    <w:unhideWhenUsed/>
    <w:qFormat/>
    <w:rsid w:val="00BA5FE9"/>
    <w:pPr>
      <w:numPr>
        <w:numId w:val="0"/>
      </w:numPr>
      <w:spacing w:before="240" w:after="0" w:line="259" w:lineRule="auto"/>
      <w:outlineLvl w:val="9"/>
    </w:pPr>
    <w:rPr>
      <w:rFonts w:asciiTheme="majorHAnsi" w:hAnsiTheme="majorHAnsi" w:eastAsiaTheme="majorEastAsia"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7002">
      <w:bodyDiv w:val="1"/>
      <w:marLeft w:val="0"/>
      <w:marRight w:val="0"/>
      <w:marTop w:val="0"/>
      <w:marBottom w:val="0"/>
      <w:divBdr>
        <w:top w:val="none" w:sz="0" w:space="0" w:color="auto"/>
        <w:left w:val="none" w:sz="0" w:space="0" w:color="auto"/>
        <w:bottom w:val="none" w:sz="0" w:space="0" w:color="auto"/>
        <w:right w:val="none" w:sz="0" w:space="0" w:color="auto"/>
      </w:divBdr>
    </w:div>
    <w:div w:id="404689249">
      <w:bodyDiv w:val="1"/>
      <w:marLeft w:val="0"/>
      <w:marRight w:val="0"/>
      <w:marTop w:val="0"/>
      <w:marBottom w:val="0"/>
      <w:divBdr>
        <w:top w:val="none" w:sz="0" w:space="0" w:color="auto"/>
        <w:left w:val="none" w:sz="0" w:space="0" w:color="auto"/>
        <w:bottom w:val="none" w:sz="0" w:space="0" w:color="auto"/>
        <w:right w:val="none" w:sz="0" w:space="0" w:color="auto"/>
      </w:divBdr>
    </w:div>
    <w:div w:id="1180851055">
      <w:bodyDiv w:val="1"/>
      <w:marLeft w:val="0"/>
      <w:marRight w:val="0"/>
      <w:marTop w:val="0"/>
      <w:marBottom w:val="0"/>
      <w:divBdr>
        <w:top w:val="none" w:sz="0" w:space="0" w:color="auto"/>
        <w:left w:val="none" w:sz="0" w:space="0" w:color="auto"/>
        <w:bottom w:val="none" w:sz="0" w:space="0" w:color="auto"/>
        <w:right w:val="none" w:sz="0" w:space="0" w:color="auto"/>
      </w:divBdr>
      <w:divsChild>
        <w:div w:id="2046639662">
          <w:marLeft w:val="0"/>
          <w:marRight w:val="0"/>
          <w:marTop w:val="0"/>
          <w:marBottom w:val="0"/>
          <w:divBdr>
            <w:top w:val="none" w:sz="0" w:space="0" w:color="auto"/>
            <w:left w:val="none" w:sz="0" w:space="0" w:color="auto"/>
            <w:bottom w:val="none" w:sz="0" w:space="0" w:color="auto"/>
            <w:right w:val="none" w:sz="0" w:space="0" w:color="auto"/>
          </w:divBdr>
          <w:divsChild>
            <w:div w:id="697386922">
              <w:marLeft w:val="0"/>
              <w:marRight w:val="0"/>
              <w:marTop w:val="0"/>
              <w:marBottom w:val="0"/>
              <w:divBdr>
                <w:top w:val="none" w:sz="0" w:space="0" w:color="auto"/>
                <w:left w:val="none" w:sz="0" w:space="0" w:color="auto"/>
                <w:bottom w:val="none" w:sz="0" w:space="0" w:color="auto"/>
                <w:right w:val="none" w:sz="0" w:space="0" w:color="auto"/>
              </w:divBdr>
            </w:div>
            <w:div w:id="1396396140">
              <w:marLeft w:val="0"/>
              <w:marRight w:val="0"/>
              <w:marTop w:val="0"/>
              <w:marBottom w:val="0"/>
              <w:divBdr>
                <w:top w:val="none" w:sz="0" w:space="0" w:color="auto"/>
                <w:left w:val="none" w:sz="0" w:space="0" w:color="auto"/>
                <w:bottom w:val="none" w:sz="0" w:space="0" w:color="auto"/>
                <w:right w:val="none" w:sz="0" w:space="0" w:color="auto"/>
              </w:divBdr>
            </w:div>
            <w:div w:id="724258828">
              <w:marLeft w:val="0"/>
              <w:marRight w:val="0"/>
              <w:marTop w:val="0"/>
              <w:marBottom w:val="0"/>
              <w:divBdr>
                <w:top w:val="none" w:sz="0" w:space="0" w:color="auto"/>
                <w:left w:val="none" w:sz="0" w:space="0" w:color="auto"/>
                <w:bottom w:val="none" w:sz="0" w:space="0" w:color="auto"/>
                <w:right w:val="none" w:sz="0" w:space="0" w:color="auto"/>
              </w:divBdr>
            </w:div>
          </w:divsChild>
        </w:div>
        <w:div w:id="2090735432">
          <w:marLeft w:val="0"/>
          <w:marRight w:val="0"/>
          <w:marTop w:val="0"/>
          <w:marBottom w:val="0"/>
          <w:divBdr>
            <w:top w:val="none" w:sz="0" w:space="0" w:color="auto"/>
            <w:left w:val="none" w:sz="0" w:space="0" w:color="auto"/>
            <w:bottom w:val="none" w:sz="0" w:space="0" w:color="auto"/>
            <w:right w:val="none" w:sz="0" w:space="0" w:color="auto"/>
          </w:divBdr>
        </w:div>
      </w:divsChild>
    </w:div>
    <w:div w:id="1369839320">
      <w:bodyDiv w:val="1"/>
      <w:marLeft w:val="0"/>
      <w:marRight w:val="0"/>
      <w:marTop w:val="0"/>
      <w:marBottom w:val="0"/>
      <w:divBdr>
        <w:top w:val="none" w:sz="0" w:space="0" w:color="auto"/>
        <w:left w:val="none" w:sz="0" w:space="0" w:color="auto"/>
        <w:bottom w:val="none" w:sz="0" w:space="0" w:color="auto"/>
        <w:right w:val="none" w:sz="0" w:space="0" w:color="auto"/>
      </w:divBdr>
    </w:div>
    <w:div w:id="1500392236">
      <w:bodyDiv w:val="1"/>
      <w:marLeft w:val="0"/>
      <w:marRight w:val="0"/>
      <w:marTop w:val="0"/>
      <w:marBottom w:val="0"/>
      <w:divBdr>
        <w:top w:val="none" w:sz="0" w:space="0" w:color="auto"/>
        <w:left w:val="none" w:sz="0" w:space="0" w:color="auto"/>
        <w:bottom w:val="none" w:sz="0" w:space="0" w:color="auto"/>
        <w:right w:val="none" w:sz="0" w:space="0" w:color="auto"/>
      </w:divBdr>
    </w:div>
    <w:div w:id="179119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gbvresponders.org/wp-content/uploads/2014/07/CCS-Guidelines-lowres.pdf" TargetMode="External" Id="rId13" /><Relationship Type="http://schemas.openxmlformats.org/officeDocument/2006/relationships/hyperlink" Target="https://www.unicef.org/documents/caring-child-survivors-sexual-abuse" TargetMode="External" Id="rId18" /><Relationship Type="http://schemas.openxmlformats.org/officeDocument/2006/relationships/hyperlink" Target="https://www.gbvims.com/gbv-case-management-guidelines/gbv-case-management-forms-tools/" TargetMode="External" Id="rId26" /><Relationship Type="http://schemas.openxmlformats.org/officeDocument/2006/relationships/customXml" Target="../customXml/item3.xml" Id="rId3" /><Relationship Type="http://schemas.openxmlformats.org/officeDocument/2006/relationships/hyperlink" Target="http://www.gbvims.com/wp/wp-content/uploads/GBVIMS-Consent-Form_v3_website1.pdf" TargetMode="External" Id="rId21" /><Relationship Type="http://schemas.openxmlformats.org/officeDocument/2006/relationships/header" Target="header1.xml" Id="rId34" /><Relationship Type="http://schemas.openxmlformats.org/officeDocument/2006/relationships/styles" Target="styles.xml" Id="rId7" /><Relationship Type="http://schemas.openxmlformats.org/officeDocument/2006/relationships/hyperlink" Target="https://www.gbvims.com/gbvims-tools/classification-tool/" TargetMode="External" Id="rId12" /><Relationship Type="http://schemas.openxmlformats.org/officeDocument/2006/relationships/hyperlink" Target="http://www.gbvims.com/wp/wp-content/uploads/Interagency-GBV-Case-Management-Guidelines_Final_2017.pdf" TargetMode="External" Id="rId17" /><Relationship Type="http://schemas.openxmlformats.org/officeDocument/2006/relationships/hyperlink" Target="https://www.gbvims.com/gbv-case-management-guidelines/gbv-case-management-forms-tools/" TargetMode="External" Id="rId25" /><Relationship Type="http://schemas.openxmlformats.org/officeDocument/2006/relationships/hyperlink" Target="https://gbvaor.net/sites/default/files/2019-07/Handbook%20for%20Coordinating%20GBV%20in%20Emergencies_fin.pdf" TargetMode="External" Id="rId33" /><Relationship Type="http://schemas.openxmlformats.org/officeDocument/2006/relationships/customXml" Target="../customXml/item2.xml" Id="rId2" /><Relationship Type="http://schemas.openxmlformats.org/officeDocument/2006/relationships/hyperlink" Target="https://www.gbvims.com/gbvims-tools/intake-form/" TargetMode="External" Id="rId16" /><Relationship Type="http://schemas.openxmlformats.org/officeDocument/2006/relationships/hyperlink" Target="https://gbvaor.net/sites/default/files/2020-02/IRC-WGSS-Toolkit-Eng.pdf" TargetMode="External" Id="rId20" /><Relationship Type="http://schemas.openxmlformats.org/officeDocument/2006/relationships/hyperlink" Target="https://drive.google.com/file/d/1MGD-i0soHvBwxYxxXpGxvzwnDquBlfWa/view?usp=sharing"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bvims.com/gbv-case-management-guidelines/gbv-case-management-forms-tools/" TargetMode="External" Id="rId24" /><Relationship Type="http://schemas.openxmlformats.org/officeDocument/2006/relationships/hyperlink" Target="https://www.publichealth.columbia.edu/sites/default/files/mhm_disposal_wm_laundrering_in_emergencies.pdf"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file:///D://Users/Miriam/Downloads/Interagency%20GBV%20Case%20Management%20Guidelines%20and%20Training%20Package%20-%20IASC%202015.pdf" TargetMode="External" Id="rId15" /><Relationship Type="http://schemas.openxmlformats.org/officeDocument/2006/relationships/hyperlink" Target="https://www.gbvims.com/gbv-case-management-guidelines/gbv-case-management-forms-tools/" TargetMode="External" Id="rId23" /><Relationship Type="http://schemas.openxmlformats.org/officeDocument/2006/relationships/hyperlink" Target="http://www.gbvims.com/wp/wp-content/uploads/Interagency-GBV-Case-Management-Guidelines_Final_2017.pdf"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s://www.cpaor.net/resources/gender-based-violence-and-child-protection-field-cooperation-framework" TargetMode="External" Id="rId19" /><Relationship Type="http://schemas.openxmlformats.org/officeDocument/2006/relationships/hyperlink" Target="https://drive.google.com/file/d/1z5ydC1kM7dA2yJLdviwbuxBCHM8NzNle/view?usp=sharing"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bvims.com/gbvims-tools/intake-form/" TargetMode="External" Id="rId14" /><Relationship Type="http://schemas.openxmlformats.org/officeDocument/2006/relationships/hyperlink" Target="https://www.gbvims.com/gbvims-tools/intake-form/" TargetMode="External" Id="rId22" /><Relationship Type="http://schemas.openxmlformats.org/officeDocument/2006/relationships/hyperlink" Target="https://www.gbvims.com/gbv-case-management-guidelines/gbv-case-management-forms-tools/" TargetMode="External" Id="rId27" /><Relationship Type="http://schemas.openxmlformats.org/officeDocument/2006/relationships/hyperlink" Target="https://drive.google.com/file/d/1b828EFfdKzQjHdixjem8b1cOzv3kWHlU/view?usp=sharing" TargetMode="External" Id="rId30" /><Relationship Type="http://schemas.openxmlformats.org/officeDocument/2006/relationships/footer" Target="footer1.xml" Id="rId35" /><Relationship Type="http://schemas.openxmlformats.org/officeDocument/2006/relationships/glossaryDocument" Target="glossary/document.xml" Id="Re1fbc6d382f54562" /></Relationships>
</file>

<file path=word/_rels/footnotes.xml.rels><?xml version="1.0" encoding="UTF-8" standalone="yes"?>
<Relationships xmlns="http://schemas.openxmlformats.org/package/2006/relationships"><Relationship Id="rId26" Type="http://schemas.openxmlformats.org/officeDocument/2006/relationships/hyperlink" Target="http://www.gbvims.com/wp/wp-content/uploads/Interagency-GBV-Case-Management-Guidelines_Final_2017.pdf" TargetMode="External"/><Relationship Id="rId21" Type="http://schemas.openxmlformats.org/officeDocument/2006/relationships/hyperlink" Target="https://www.unhcr.org/glossary/" TargetMode="External"/><Relationship Id="rId42" Type="http://schemas.openxmlformats.org/officeDocument/2006/relationships/hyperlink" Target="https://safeguardingsupporthub.org/what-safeguarding" TargetMode="External"/><Relationship Id="rId47" Type="http://schemas.openxmlformats.org/officeDocument/2006/relationships/hyperlink" Target="file:///D:/Users/Miriam/Downloads/Guidance%20Note%20of%20the%20Secretary-General_The%20United%20Nations%20and%20Statelessness.pdf" TargetMode="External"/><Relationship Id="rId63" Type="http://schemas.openxmlformats.org/officeDocument/2006/relationships/hyperlink" Target="https://gbvguidelines.org/en/pocketguide/" TargetMode="External"/><Relationship Id="rId68" Type="http://schemas.openxmlformats.org/officeDocument/2006/relationships/hyperlink" Target="https://gbvaor.net/sites/default/files/2019-11/19-200%20Minimun%20Standards%20Report%20ENGLISH-Nov%201.FINAL_.pdf" TargetMode="External"/><Relationship Id="rId84" Type="http://schemas.openxmlformats.org/officeDocument/2006/relationships/hyperlink" Target="https://www.humanitarianresponse.info/sites/www.humanitarianresponse.info/files/documents/files/dignity_kits_guidance_note_en.pdf" TargetMode="External"/><Relationship Id="rId89" Type="http://schemas.openxmlformats.org/officeDocument/2006/relationships/hyperlink" Target="https://www.womensrefugeecommission.org/research-resources/mainstreaming-gender-based-violence-considerations-cash-voucher-assistance/" TargetMode="External"/><Relationship Id="rId16" Type="http://schemas.openxmlformats.org/officeDocument/2006/relationships/hyperlink" Target="https://interagencystandingcommittee.org/system/files/2021-03/IASC%20Guidelines%20for%20Integrating%20Gender-Based%20Violence%20Interventions%20in%20Humanitarian%20Action%2C%202015.pdf" TargetMode="External"/><Relationship Id="rId107"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11" Type="http://schemas.openxmlformats.org/officeDocument/2006/relationships/hyperlink" Target="https://www.ohchr.org/en/instruments-mechanisms/instruments/convention-rights-persons-disabilities" TargetMode="External"/><Relationship Id="rId32" Type="http://schemas.openxmlformats.org/officeDocument/2006/relationships/hyperlink" Target="https://interagencystandingcommittee.org/system/files/2021-03/IASC%20Guidelines%20for%20Integrating%20Gender-Based%20Violence%20Interventions%20in%20Humanitarian%20Action%2C%202015.pdf" TargetMode="External"/><Relationship Id="rId37" Type="http://schemas.openxmlformats.org/officeDocument/2006/relationships/hyperlink" Target="https://www.unhcr.org/handbooks/ih/" TargetMode="External"/><Relationship Id="rId53" Type="http://schemas.openxmlformats.org/officeDocument/2006/relationships/hyperlink" Target="https://gbvaor.net/sites/default/files/2019-11/19-200%20Minimun%20Standards%20Report%20ENGLISH-Nov%201.FINAL_.pdf" TargetMode="External"/><Relationship Id="rId58" Type="http://schemas.openxmlformats.org/officeDocument/2006/relationships/hyperlink" Target="https://www.ohchr.org/en/instruments-mechanisms/instruments/convention-rights-child" TargetMode="External"/><Relationship Id="rId74" Type="http://schemas.openxmlformats.org/officeDocument/2006/relationships/hyperlink" Target="https://gbvaor.net/sites/default/files/2020-03/Remote%20Service%20Mapping%20Template%20GBV%20AoR%281%29.pdf" TargetMode="External"/><Relationship Id="rId79" Type="http://schemas.openxmlformats.org/officeDocument/2006/relationships/hyperlink" Target="https://www.unwomen.org/sites/default/files/Headquarters/Attachments/Sections/Library/Publications/2021/Policy-brief-From-evidence-to-action-Tackling-GBV-against-migrant-women-and-girls-en.pdf" TargetMode="External"/><Relationship Id="rId102" Type="http://schemas.openxmlformats.org/officeDocument/2006/relationships/hyperlink" Target="https://reliefweb.int/report/world/wash-market-based-programming-emergencies" TargetMode="External"/><Relationship Id="rId5" Type="http://schemas.openxmlformats.org/officeDocument/2006/relationships/hyperlink" Target="https://interagencystandingcommittee.org/system/files/2021-03/IASC%20Guidelines%20for%20Integrating%20Gender-Based%20Violence%20Interventions%20in%20Humanitarian%20Action%2C%202015.pdf" TargetMode="External"/><Relationship Id="rId90" Type="http://schemas.openxmlformats.org/officeDocument/2006/relationships/hyperlink" Target="https://interagencystandingcommittee.org/system/files/2021-03/IASC%20Guidelines%20for%20Integrating%20Gender-Based%20Violence%20Interventions%20in%20Humanitarian%20Action%2C%202015.pdf" TargetMode="External"/><Relationship Id="rId95" Type="http://schemas.openxmlformats.org/officeDocument/2006/relationships/hyperlink" Target="http://www.gbvims.com/wp/wp-content/uploads/Interagency-GBV-Case-Management-Guidelines_Final_2017.pdf" TargetMode="External"/><Relationship Id="rId22" Type="http://schemas.openxmlformats.org/officeDocument/2006/relationships/hyperlink" Target="http://www.gbvims.com/wp/wp-content/uploads/Interagency-GBV-Case-Management-Guidelines_Final_2017.pdf" TargetMode="External"/><Relationship Id="rId27" Type="http://schemas.openxmlformats.org/officeDocument/2006/relationships/hyperlink" Target="https://documents1.worldbank.org/curated/en/497961622035770181/pdf/Tools-and-Resources-for-Task-Teams.pdf" TargetMode="External"/><Relationship Id="rId43" Type="http://schemas.openxmlformats.org/officeDocument/2006/relationships/hyperlink" Target="https://interagencystandingcommittee.org/system/files/2021-03/IASC%20Guidelines%20for%20Integrating%20Gender-Based%20Violence%20Interventions%20in%20Humanitarian%20Action%2C%202015.pdf" TargetMode="External"/><Relationship Id="rId48" Type="http://schemas.openxmlformats.org/officeDocument/2006/relationships/hyperlink" Target="https://interagencystandingcommittee.org/system/files/2021-03/IASC%20Guidelines%20for%20Integrating%20Gender-Based%20Violence%20Interventions%20in%20Humanitarian%20Action%2C%202015.pdf" TargetMode="External"/><Relationship Id="rId64" Type="http://schemas.openxmlformats.org/officeDocument/2006/relationships/hyperlink" Target="http://www.gbvims.com/wp/wp-content/uploads/Interagency-GBV-Case-Management-Guidelines_Final_2017.pdf" TargetMode="External"/><Relationship Id="rId69" Type="http://schemas.openxmlformats.org/officeDocument/2006/relationships/hyperlink" Target="https://gbvaor.net/sites/default/files/2019-11/19-200%20Minimun%20Standards%20Report%20ENGLISH-Nov%201.FINAL_.pdf" TargetMode="External"/><Relationship Id="rId80" Type="http://schemas.openxmlformats.org/officeDocument/2006/relationships/hyperlink" Target="http://www.gbvims.com/wp/wp-content/uploads/Interagency-GBV-Case-Management-Guidelines_Final_2017.pdf" TargetMode="External"/><Relationship Id="rId85" Type="http://schemas.openxmlformats.org/officeDocument/2006/relationships/hyperlink" Target="https://www.unhcr.org/5bbf501b4.pdf" TargetMode="External"/><Relationship Id="rId12" Type="http://schemas.openxmlformats.org/officeDocument/2006/relationships/hyperlink" Target="https://rm.coe.int/168008482e" TargetMode="External"/><Relationship Id="rId17" Type="http://schemas.openxmlformats.org/officeDocument/2006/relationships/hyperlink" Target="https://trainingcentre.unwomen.org/mod/glossary/view.php?id=36&amp;mode=letter&amp;hook=E&amp;sortkey=&amp;sortorder" TargetMode="External"/><Relationship Id="rId33" Type="http://schemas.openxmlformats.org/officeDocument/2006/relationships/hyperlink" Target="http://www.gbvims.com/wp/wp-content/uploads/Interagency-GBV-Case-Management-Guidelines_Final_2017.pdf" TargetMode="External"/><Relationship Id="rId38" Type="http://schemas.openxmlformats.org/officeDocument/2006/relationships/hyperlink" Target="https://gbvaor.net/sites/default/files/2019-11/19-200%20Minimun%20Standards%20Report%20ENGLISH-Nov%201.FINAL_.pdf" TargetMode="External"/><Relationship Id="rId59" Type="http://schemas.openxmlformats.org/officeDocument/2006/relationships/hyperlink" Target="https://gbvaor.net/sites/default/files/2019-11/19-200%20Minimun%20Standards%20Report%20ENGLISH-Nov%201.FINAL_.pdf" TargetMode="External"/><Relationship Id="rId103" Type="http://schemas.openxmlformats.org/officeDocument/2006/relationships/hyperlink" Target="https://gbvguidelines.org/en/documents/cash-voucher-assistance-and-gbv-compendium-practical/" TargetMode="External"/><Relationship Id="rId108" Type="http://schemas.openxmlformats.org/officeDocument/2006/relationships/hyperlink" Target="https://gbvresponders.org/wp-content/uploads/2022/02/Empower-EN.pdf" TargetMode="External"/><Relationship Id="rId54" Type="http://schemas.openxmlformats.org/officeDocument/2006/relationships/hyperlink" Target="https://interagencystandingcommittee.org/system/files/2021-03/IASC%20Guidelines%20for%20Integrating%20Gender-Based%20Violence%20Interventions%20in%20Humanitarian%20Action%2C%202015.pdf" TargetMode="External"/><Relationship Id="rId70" Type="http://schemas.openxmlformats.org/officeDocument/2006/relationships/hyperlink" Target="https://gbvaor.net/sites/default/files/2019-11/19-200%20Minimun%20Standards%20Report%20ENGLISH-Nov%201.FINAL_.pdf" TargetMode="External"/><Relationship Id="rId75" Type="http://schemas.openxmlformats.org/officeDocument/2006/relationships/hyperlink" Target="https://drive.google.com/open?id=1BK6c3D0Nic_Ih5NDCIyW92Sdfp_0XVvl" TargetMode="External"/><Relationship Id="rId91" Type="http://schemas.openxmlformats.org/officeDocument/2006/relationships/hyperlink" Target="https://gbvaor.net/sites/default/files/2019-11/19-200%20Minimun%20Standards%20Report%20ENGLISH-Nov%201.FINAL_.pdf" TargetMode="External"/><Relationship Id="rId96" Type="http://schemas.openxmlformats.org/officeDocument/2006/relationships/hyperlink" Target="http://gbvims.com" TargetMode="External"/><Relationship Id="rId1" Type="http://schemas.openxmlformats.org/officeDocument/2006/relationships/hyperlink" Target="https://interagencystandingcommittee.org/system/files/2021-03/IASC%20Guidelines%20for%20Integrating%20Gender-Based%20Violence%20Interventions%20in%20Humanitarian%20Action%2C%202015.pdf" TargetMode="External"/><Relationship Id="rId6" Type="http://schemas.openxmlformats.org/officeDocument/2006/relationships/hyperlink" Target="https://www.unhcr.org/glossary/" TargetMode="External"/><Relationship Id="rId15" Type="http://schemas.openxmlformats.org/officeDocument/2006/relationships/hyperlink" Target="https://www.humanitariancoalition.ca/what-is-a-humanitarian-emergency" TargetMode="External"/><Relationship Id="rId23" Type="http://schemas.openxmlformats.org/officeDocument/2006/relationships/hyperlink" Target="https://www.refworld.org/docid/5c18d7254.html" TargetMode="External"/><Relationship Id="rId28" Type="http://schemas.openxmlformats.org/officeDocument/2006/relationships/hyperlink" Target="https://interagencystandingcommittee.org/iasc-task-force-mental-health-and-psychosocial-support-emergency-settings/iasc-guidelines-mental-health-and-psychosocial-support-emergency-settings-2007" TargetMode="External"/><Relationship Id="rId36" Type="http://schemas.openxmlformats.org/officeDocument/2006/relationships/hyperlink" Target="https://www.unhcr.org/glossary/" TargetMode="External"/><Relationship Id="rId49" Type="http://schemas.openxmlformats.org/officeDocument/2006/relationships/hyperlink" Target="http://www.osce.org/odihr/19223?%20download=true" TargetMode="External"/><Relationship Id="rId57" Type="http://schemas.openxmlformats.org/officeDocument/2006/relationships/hyperlink" Target="https://www.unhcr.org/publications/unhcr-age-gender-and-diversity-policy" TargetMode="External"/><Relationship Id="rId106"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10" Type="http://schemas.openxmlformats.org/officeDocument/2006/relationships/hyperlink" Target="http://www.gbvims.com/wp/wp-content/uploads/Interagency-GBV-Case-Management-Guidelines_Final_2017.pdf" TargetMode="External"/><Relationship Id="rId31" Type="http://schemas.openxmlformats.org/officeDocument/2006/relationships/hyperlink" Target="http://www.gbvims.com/wp/wp-content/uploads/Interagency-GBV-Case-Management-Guidelines_Final_2017.pdf" TargetMode="External"/><Relationship Id="rId44" Type="http://schemas.openxmlformats.org/officeDocument/2006/relationships/hyperlink" Target="https://www.iom.int/sites/g/files/tmzbdl486/files/documents/IOM-SOGIESC-Glossary-of-Terms.pdf" TargetMode="External"/><Relationship Id="rId52" Type="http://schemas.openxmlformats.org/officeDocument/2006/relationships/hyperlink" Target="https://gbvaor.net/sites/default/files/2019-07/190722%20GBV%20SDR%20Template%20Draft.docx" TargetMode="External"/><Relationship Id="rId60" Type="http://schemas.openxmlformats.org/officeDocument/2006/relationships/hyperlink" Target="http://www.gbvims.com/wp/wp-content/uploads/Interagency-GBV-Case-Management-Guidelines_Final_2017.pdf" TargetMode="External"/><Relationship Id="rId65" Type="http://schemas.openxmlformats.org/officeDocument/2006/relationships/hyperlink" Target="http://www.gbvims.com/wp/wp-content/uploads/Interagency-GBV-Case-Management-Guidelines_Final_2017.pdf" TargetMode="External"/><Relationship Id="rId73" Type="http://schemas.openxmlformats.org/officeDocument/2006/relationships/hyperlink" Target="https://www.gbvims.com/wp/wp-content/uploads/covid-guidance-on-remote-gbv-services-04012021.pdf" TargetMode="External"/><Relationship Id="rId78" Type="http://schemas.openxmlformats.org/officeDocument/2006/relationships/hyperlink" Target="https://www.unwomen.org/en/digital-library/publications/2021/01/handbook-gender-responsive-police-services" TargetMode="External"/><Relationship Id="rId81" Type="http://schemas.openxmlformats.org/officeDocument/2006/relationships/hyperlink" Target="https://gbvaor.net/sites/default/files/2019-11/19-200%20Minimun%20Standards%20Report%20ENGLISH-Nov%201.FINAL_.pdf" TargetMode="External"/><Relationship Id="rId86" Type="http://schemas.openxmlformats.org/officeDocument/2006/relationships/hyperlink" Target="https://www.calpnetwork.org/wp-content/uploads/2020/01/erc-guide-for-protection-in-cash-based-interventions-web.pdf" TargetMode="External"/><Relationship Id="rId94" Type="http://schemas.openxmlformats.org/officeDocument/2006/relationships/hyperlink" Target="https://www.gbvims.com/gbvims-tools/" TargetMode="External"/><Relationship Id="rId99" Type="http://schemas.openxmlformats.org/officeDocument/2006/relationships/hyperlink" Target="https://gbvaor.net/node/1560" TargetMode="External"/><Relationship Id="rId101" Type="http://schemas.openxmlformats.org/officeDocument/2006/relationships/hyperlink" Target="https://www.unhcr.org/gbv-toolkit/guidance-and-tools/" TargetMode="External"/><Relationship Id="rId4" Type="http://schemas.openxmlformats.org/officeDocument/2006/relationships/hyperlink" Target="https://www.unhcr.org/glossary/" TargetMode="External"/><Relationship Id="rId9" Type="http://schemas.openxmlformats.org/officeDocument/2006/relationships/hyperlink" Target="https://interagencystandingcommittee.org/system/files/2021-03/IASC%20Guidelines%20for%20Integrating%20Gender-Based%20Violence%20Interventions%20in%20Humanitarian%20Action%2C%202015.pdf" TargetMode="External"/><Relationship Id="rId13" Type="http://schemas.openxmlformats.org/officeDocument/2006/relationships/hyperlink" Target="https://www.undrr.org/terminology" TargetMode="External"/><Relationship Id="rId18" Type="http://schemas.openxmlformats.org/officeDocument/2006/relationships/hyperlink" Target="https://interagencystandingcommittee.org/system/files/2021-03/IASC%20Guidelines%20for%20Integrating%20Gender-Based%20Violence%20Interventions%20in%20Humanitarian%20Action%2C%202015.pdf" TargetMode="External"/><Relationship Id="rId39" Type="http://schemas.openxmlformats.org/officeDocument/2006/relationships/hyperlink" Target="https://www.unhcr.org/glossary/" TargetMode="External"/><Relationship Id="rId109" Type="http://schemas.openxmlformats.org/officeDocument/2006/relationships/hyperlink" Target="https://gbvaor.net/sites/default/files/2019-11/19-200%20Minimun%20Standards%20Report%20ENGLISH-Nov%201.FINAL_.pdf" TargetMode="External"/><Relationship Id="rId34" Type="http://schemas.openxmlformats.org/officeDocument/2006/relationships/hyperlink" Target="https://interagencystandingcommittee.org/system/files/2021-03/IASC%20Guidelines%20for%20Integrating%20Gender-Based%20Violence%20Interventions%20in%20Humanitarian%20Action%2C%202015.pdf" TargetMode="External"/><Relationship Id="rId50" Type="http://schemas.openxmlformats.org/officeDocument/2006/relationships/hyperlink" Target="https://www.un.org/en/genocideprevention/documents/atrocity-crimes/Doc.21_declaration%20elimination%20vaw.pdf" TargetMode="External"/><Relationship Id="rId55" Type="http://schemas.openxmlformats.org/officeDocument/2006/relationships/hyperlink" Target="https://www.unocha.org/sites/unocha/files/OOM_Humanitarian%20Principles_Eng.pdf" TargetMode="External"/><Relationship Id="rId76" Type="http://schemas.openxmlformats.org/officeDocument/2006/relationships/hyperlink" Target="http://www.gbvims.com/wp/wp-content/uploads/Interagency-GBV-Case-Management-Guidelines_Final_2017.pdf" TargetMode="External"/><Relationship Id="rId97" Type="http://schemas.openxmlformats.org/officeDocument/2006/relationships/hyperlink" Target="https://www.unhcr.org/gbv-toolkit/guidance-and-tools/" TargetMode="External"/><Relationship Id="rId104" Type="http://schemas.openxmlformats.org/officeDocument/2006/relationships/hyperlink" Target="https://www.humanitarianresponse.info/en/operations/stima/document/cash-and-voucher-assistance-and-gender-based-violence-standart-operating" TargetMode="External"/><Relationship Id="rId7" Type="http://schemas.openxmlformats.org/officeDocument/2006/relationships/hyperlink" Target="http://www.gbvims.com/wp/wp-content/uploads/Interagency-GBV-Case-Management-Guidelines_Final_2017.pdf" TargetMode="External"/><Relationship Id="rId71" Type="http://schemas.openxmlformats.org/officeDocument/2006/relationships/hyperlink" Target="http://www.gbvims.com/wp/wp-content/uploads/Interagency-GBV-Case-Management-Guidelines_Final_2017.pdf" TargetMode="External"/><Relationship Id="rId92" Type="http://schemas.openxmlformats.org/officeDocument/2006/relationships/hyperlink" Target="http://www.gbvims.com/wp/wp-content/uploads/Interagency-GBV-Case-Management-Guidelines_Final_2017.pdf" TargetMode="External"/><Relationship Id="rId2" Type="http://schemas.openxmlformats.org/officeDocument/2006/relationships/hyperlink" Target="https://gbvresponders.org/wp-content/uploads/2014/07/CCS-Guidelines-lowres.pdf" TargetMode="External"/><Relationship Id="rId29" Type="http://schemas.openxmlformats.org/officeDocument/2006/relationships/hyperlink" Target="https://www.unhcr.org/glossary/" TargetMode="External"/><Relationship Id="rId24" Type="http://schemas.openxmlformats.org/officeDocument/2006/relationships/hyperlink" Target="https://www.refworld.org/pdfid/5d83364a4.pdf" TargetMode="External"/><Relationship Id="rId40" Type="http://schemas.openxmlformats.org/officeDocument/2006/relationships/hyperlink" Target="https://www.unhcr.org/media/unhcr-policy-prevention-risk-mitigation-and-response-gender-based-violence-2020-pdf" TargetMode="External"/><Relationship Id="rId45" Type="http://schemas.openxmlformats.org/officeDocument/2006/relationships/hyperlink" Target="https://interagencystandingcommittee.org/system/files/2021-03/IASC%20Guidelines%20for%20Integrating%20Gender-Based%20Violence%20Interventions%20in%20Humanitarian%20Action%2C%202015.pdf" TargetMode="External"/><Relationship Id="rId66" Type="http://schemas.openxmlformats.org/officeDocument/2006/relationships/hyperlink" Target="http://www.gbvims.com/wp/wp-content/uploads/Interagency-GBV-Case-Management-Guidelines_Final_2017.pdf" TargetMode="External"/><Relationship Id="rId87" Type="http://schemas.openxmlformats.org/officeDocument/2006/relationships/hyperlink" Target="https://www.humanitarianresponse.info/en/operations/stima/document/cash-and-voucher-assistance-and-gender-based-violence-standart-operating" TargetMode="External"/><Relationship Id="rId110" Type="http://schemas.openxmlformats.org/officeDocument/2006/relationships/hyperlink" Target="https://gbvaor.net/sites/default/files/2019-07/Handbook%20for%20Coordinating%20GBV%20in%20Emergencies_fin.pdf" TargetMode="External"/><Relationship Id="rId61" Type="http://schemas.openxmlformats.org/officeDocument/2006/relationships/hyperlink" Target="http://www.gbvims.com/wp/wp-content/uploads/Interagency-GBV-Case-Management-Guidelines_Final_2017.pdf" TargetMode="External"/><Relationship Id="rId82" Type="http://schemas.openxmlformats.org/officeDocument/2006/relationships/hyperlink" Target="https://reliefweb.int/report/world/safe-haven-sheltering-displaced-persons-sexual-and-gender-based-violence" TargetMode="External"/><Relationship Id="rId19" Type="http://schemas.openxmlformats.org/officeDocument/2006/relationships/hyperlink" Target="http://www.gbvims.com/wp/wp-content/uploads/Interagency-GBV-Case-Management-Guidelines_Final_2017.pdf" TargetMode="External"/><Relationship Id="rId14" Type="http://schemas.openxmlformats.org/officeDocument/2006/relationships/hyperlink" Target="https://interagencystandingcommittee.org/system/files/2021-03/IASC%20Guidelines%20for%20Integrating%20Gender-Based%20Violence%20Interventions%20in%20Humanitarian%20Action%2C%202015.pdf" TargetMode="External"/><Relationship Id="rId30" Type="http://schemas.openxmlformats.org/officeDocument/2006/relationships/hyperlink" Target="https://reliefweb.int/report/world/humanitarian-development-peace-nexus-what-does-it-mean-multi-mandated-organizations" TargetMode="External"/><Relationship Id="rId35" Type="http://schemas.openxmlformats.org/officeDocument/2006/relationships/hyperlink" Target="https://interagencystandingcommittee.org/system/files/2021-03/IASC%20Guidelines%20for%20Integrating%20Gender-Based%20Violence%20Interventions%20in%20Humanitarian%20Action%2C%202015.pdf" TargetMode="External"/><Relationship Id="rId56" Type="http://schemas.openxmlformats.org/officeDocument/2006/relationships/hyperlink" Target="https://gbvaor.net/sites/default/files/2019-11/19-200%20Minimun%20Standards%20Report%20ENGLISH-Nov%201.FINAL_.pdf" TargetMode="External"/><Relationship Id="rId77" Type="http://schemas.openxmlformats.org/officeDocument/2006/relationships/hyperlink" Target="https://gbvaor.net/sites/default/files/2020-02/IRC-WGSS-Toolkit-Eng.pdf" TargetMode="External"/><Relationship Id="rId100" Type="http://schemas.openxmlformats.org/officeDocument/2006/relationships/hyperlink" Target="https://gbvaor.net/sites/default/files/2019-11/19-200%20Minimun%20Standards%20Report%20ENGLISH-Nov%201.FINAL_.pdf" TargetMode="External"/><Relationship Id="rId105" Type="http://schemas.openxmlformats.org/officeDocument/2006/relationships/hyperlink" Target="https://gbvaor.net/sites/default/files/2019-11/19-200%20Minimun%20Standards%20Report%20ENGLISH-Nov%201.FINAL_.pdf" TargetMode="External"/><Relationship Id="rId8" Type="http://schemas.openxmlformats.org/officeDocument/2006/relationships/hyperlink" Target="https://www.ohchr.org/en/instruments-mechanisms/instruments/convention-rights-child" TargetMode="External"/><Relationship Id="rId51" Type="http://schemas.openxmlformats.org/officeDocument/2006/relationships/hyperlink" Target="https://www.refworld.org/docid/484e58702.html" TargetMode="External"/><Relationship Id="rId72" Type="http://schemas.openxmlformats.org/officeDocument/2006/relationships/hyperlink" Target="https://gbvaor.net/sites/default/files/2019-11/19-200%20Minimun%20Standards%20Report%20ENGLISH-Nov%201.FINAL_.pdf" TargetMode="External"/><Relationship Id="rId93" Type="http://schemas.openxmlformats.org/officeDocument/2006/relationships/hyperlink" Target="http://www.gbvims.com/wp/wp-content/uploads/Interagency-GBV-Case-Management-Guidelines_Final_2017.pdf" TargetMode="External"/><Relationship Id="rId98" Type="http://schemas.openxmlformats.org/officeDocument/2006/relationships/hyperlink" Target="https://pseataskforce.org/uploads/tools/1327932869.pdf" TargetMode="External"/><Relationship Id="rId3" Type="http://schemas.openxmlformats.org/officeDocument/2006/relationships/hyperlink" Target="https://interagencystandingcommittee.org/system/files/2021-03/IASC%20Guidelines%20for%20Integrating%20Gender-Based%20Violence%20Interventions%20in%20Humanitarian%20Action%2C%202015.pdf" TargetMode="External"/><Relationship Id="rId25" Type="http://schemas.openxmlformats.org/officeDocument/2006/relationships/hyperlink" Target="https://interagencystandingcommittee.org/system/files/2021-03/IASC%20Guidelines%20for%20Integrating%20Gender-Based%20Violence%20Interventions%20in%20Humanitarian%20Action%2C%202015.pdf" TargetMode="External"/><Relationship Id="rId46" Type="http://schemas.openxmlformats.org/officeDocument/2006/relationships/hyperlink" Target="https://www.unhcr.org/ibelong/wp-content/uploads/1954-Convention-relating-to-the-Status-of-Stateless-Persons_ENG.pdf" TargetMode="External"/><Relationship Id="rId67" Type="http://schemas.openxmlformats.org/officeDocument/2006/relationships/hyperlink" Target="https://www.globalprotectioncluster.org/2020/11/26/an-introductory-guide-to-anti-trafficking-action-in-internal-displacement-contexts/" TargetMode="External"/><Relationship Id="rId20" Type="http://schemas.openxmlformats.org/officeDocument/2006/relationships/hyperlink" Target="https://interagencystandingcommittee.org/system/files/2021-03/IASC%20Guidelines%20for%20Integrating%20Gender-Based%20Violence%20Interventions%20in%20Humanitarian%20Action%2C%202015.pdf" TargetMode="External"/><Relationship Id="rId41" Type="http://schemas.openxmlformats.org/officeDocument/2006/relationships/hyperlink" Target="https://www.savethechildren.org/us/what-we-do/safeguarding-children" TargetMode="External"/><Relationship Id="rId62" Type="http://schemas.openxmlformats.org/officeDocument/2006/relationships/hyperlink" Target="https://gbvaor.net/sites/default/files/2021-11/Guidance%20Note%20Male%20Survivors_FINAL29.9.21.pdf" TargetMode="External"/><Relationship Id="rId83" Type="http://schemas.openxmlformats.org/officeDocument/2006/relationships/hyperlink" Target="https://www.unwomen.org/en/digital-library/publications/2018/5/a-practitioners-toolkit-on-womens-access-to-justice-programming" TargetMode="External"/><Relationship Id="rId88" Type="http://schemas.openxmlformats.org/officeDocument/2006/relationships/hyperlink" Target="https://gbvguidelines.org/en/documents/cash-voucher%20assistance-and-gbv-compendium%20practical/" TargetMode="External"/><Relationship Id="rId111" Type="http://schemas.openxmlformats.org/officeDocument/2006/relationships/hyperlink" Target="http://www.gbvims.com"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2e6121cd-84ab-443f-abaa-8beaf19ee77e}"/>
      </w:docPartPr>
      <w:docPartBody>
        <w:p xmlns:wp14="http://schemas.microsoft.com/office/word/2010/wordml" w14:paraId="61D7990C"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CVyDeCjHzdORrtbL+ePYr4Ywhw==">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30F73-C828-4DBE-89CD-61DE8C4E39F4}"/>
</file>

<file path=customXml/itemProps2.xml><?xml version="1.0" encoding="utf-8"?>
<ds:datastoreItem xmlns:ds="http://schemas.openxmlformats.org/officeDocument/2006/customXml" ds:itemID="{ADCCE15F-B982-49B0-B3F8-1EBA4D4ACEAD}">
  <ds:schemaRefs>
    <ds:schemaRef ds:uri="http://schemas.microsoft.com/office/2006/metadata/properties"/>
    <ds:schemaRef ds:uri="http://schemas.microsoft.com/office/infopath/2007/PartnerControls"/>
    <ds:schemaRef ds:uri="458d262f-0782-4c02-ae99-38d6040ade62"/>
    <ds:schemaRef ds:uri="a673553b-e85d-4085-989b-b167054402de"/>
  </ds:schemaRefs>
</ds:datastoreItem>
</file>

<file path=customXml/itemProps3.xml><?xml version="1.0" encoding="utf-8"?>
<ds:datastoreItem xmlns:ds="http://schemas.openxmlformats.org/officeDocument/2006/customXml" ds:itemID="{581CCAC3-7CF4-4305-A2E9-A1250F9EF8C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517D3CC-062D-47B3-ADEE-EAD64DABCA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Inbal</dc:creator>
  <keywords/>
  <lastModifiedBy>Olga Pietruchova</lastModifiedBy>
  <revision>67</revision>
  <lastPrinted>2023-05-05T14:07:00.0000000Z</lastPrinted>
  <dcterms:created xsi:type="dcterms:W3CDTF">2023-08-08T13:59:00.0000000Z</dcterms:created>
  <dcterms:modified xsi:type="dcterms:W3CDTF">2024-05-23T08:14:46.8234915Z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y fmtid="{D5CDD505-2E9C-101B-9397-08002B2CF9AE}" pid="3" name="MediaServiceImageTags">
    <vt:lpwstr/>
  </property>
</Properties>
</file>