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BFDBC8E" w:rsidR="005C643C" w:rsidRDefault="00913B65" w:rsidP="4D786D83">
      <w:pPr>
        <w:spacing w:before="120" w:after="120" w:line="240" w:lineRule="auto"/>
        <w:jc w:val="center"/>
        <w:rPr>
          <w:b/>
          <w:bCs/>
          <w:sz w:val="56"/>
          <w:szCs w:val="56"/>
        </w:rPr>
      </w:pPr>
      <w:bookmarkStart w:id="0" w:name="_heading=h.ih352w2wbi2g"/>
      <w:bookmarkEnd w:id="0"/>
      <w:r w:rsidRPr="4D786D83">
        <w:rPr>
          <w:b/>
          <w:bCs/>
          <w:sz w:val="56"/>
          <w:szCs w:val="56"/>
        </w:rPr>
        <w:t>Procédures opérationnelles Standard</w:t>
      </w:r>
      <w:r w:rsidR="6410954E" w:rsidRPr="4D786D83">
        <w:rPr>
          <w:b/>
          <w:bCs/>
          <w:sz w:val="56"/>
          <w:szCs w:val="56"/>
        </w:rPr>
        <w:t>s</w:t>
      </w:r>
      <w:r w:rsidRPr="4D786D83">
        <w:rPr>
          <w:b/>
          <w:bCs/>
          <w:sz w:val="56"/>
          <w:szCs w:val="56"/>
        </w:rPr>
        <w:t xml:space="preserve"> pour les interventions de lutte contre la violence basée sur le genre dans les situations humanitaires</w:t>
      </w:r>
    </w:p>
    <w:p w14:paraId="00000002" w14:textId="77777777" w:rsidR="005C643C" w:rsidRDefault="005C643C">
      <w:pPr>
        <w:spacing w:before="120" w:after="120" w:line="240" w:lineRule="auto"/>
        <w:jc w:val="both"/>
        <w:rPr>
          <w:b/>
        </w:rPr>
      </w:pPr>
    </w:p>
    <w:p w14:paraId="00000003" w14:textId="77777777" w:rsidR="005C643C" w:rsidRDefault="00913B65">
      <w:pPr>
        <w:spacing w:before="120" w:after="120" w:line="240" w:lineRule="auto"/>
        <w:jc w:val="center"/>
        <w:rPr>
          <w:b/>
          <w:color w:val="0070C0"/>
          <w:sz w:val="52"/>
          <w:szCs w:val="52"/>
        </w:rPr>
      </w:pPr>
      <w:r>
        <w:rPr>
          <w:b/>
          <w:color w:val="0070C0"/>
          <w:sz w:val="52"/>
          <w:szCs w:val="52"/>
        </w:rPr>
        <w:t>Kit de ressources sur les procédures opérationnelles standard en matière de violence basée sur le genre (2023)</w:t>
      </w:r>
    </w:p>
    <w:p w14:paraId="00000004" w14:textId="77777777" w:rsidR="005C643C" w:rsidRDefault="005C643C">
      <w:pPr>
        <w:spacing w:before="120" w:after="120" w:line="240" w:lineRule="auto"/>
        <w:jc w:val="both"/>
        <w:rPr>
          <w:color w:val="0070C0"/>
          <w:sz w:val="48"/>
          <w:szCs w:val="48"/>
        </w:rPr>
      </w:pPr>
    </w:p>
    <w:p w14:paraId="00000005" w14:textId="77777777" w:rsidR="005C643C" w:rsidRDefault="00913B65">
      <w:pPr>
        <w:pBdr>
          <w:top w:val="nil"/>
          <w:left w:val="nil"/>
          <w:bottom w:val="nil"/>
          <w:right w:val="nil"/>
          <w:between w:val="nil"/>
        </w:pBdr>
        <w:spacing w:before="120" w:after="120" w:line="240" w:lineRule="auto"/>
        <w:jc w:val="both"/>
        <w:rPr>
          <w:b/>
          <w:color w:val="0070C0"/>
        </w:rPr>
      </w:pPr>
      <w:r>
        <w:rPr>
          <w:b/>
          <w:color w:val="0070C0"/>
        </w:rPr>
        <w:t>REMERCIEMENTS</w:t>
      </w:r>
    </w:p>
    <w:p w14:paraId="00000006" w14:textId="7F013383" w:rsidR="005C643C" w:rsidRDefault="00913B65">
      <w:pPr>
        <w:pBdr>
          <w:top w:val="nil"/>
          <w:left w:val="nil"/>
          <w:bottom w:val="nil"/>
          <w:right w:val="nil"/>
          <w:between w:val="nil"/>
        </w:pBdr>
        <w:spacing w:before="120" w:after="120"/>
        <w:jc w:val="both"/>
        <w:rPr>
          <w:b/>
          <w:i/>
        </w:rPr>
      </w:pPr>
      <w:r>
        <w:t>Ce kit de ressources sur les procédures opérationnelles standard</w:t>
      </w:r>
      <w:r w:rsidR="00302145">
        <w:t>s</w:t>
      </w:r>
      <w:r>
        <w:t xml:space="preserve"> (POS) en matière de violence basée sur le genre (VBG) remplace le document </w:t>
      </w:r>
      <w:proofErr w:type="spellStart"/>
      <w:r>
        <w:rPr>
          <w:i/>
        </w:rPr>
        <w:t>Establishing</w:t>
      </w:r>
      <w:proofErr w:type="spellEnd"/>
      <w:r>
        <w:rPr>
          <w:i/>
        </w:rPr>
        <w:t xml:space="preserve"> </w:t>
      </w:r>
      <w:proofErr w:type="spellStart"/>
      <w:r>
        <w:rPr>
          <w:i/>
        </w:rPr>
        <w:t>gender-based</w:t>
      </w:r>
      <w:proofErr w:type="spellEnd"/>
      <w:r>
        <w:rPr>
          <w:i/>
        </w:rPr>
        <w:t xml:space="preserve"> violence standard operating </w:t>
      </w:r>
      <w:proofErr w:type="spellStart"/>
      <w:r>
        <w:rPr>
          <w:i/>
        </w:rPr>
        <w:t>procedures</w:t>
      </w:r>
      <w:proofErr w:type="spellEnd"/>
      <w:r>
        <w:rPr>
          <w:i/>
        </w:rPr>
        <w:t xml:space="preserve"> (GBV SOPs) for </w:t>
      </w:r>
      <w:proofErr w:type="spellStart"/>
      <w:r>
        <w:rPr>
          <w:i/>
        </w:rPr>
        <w:t>multisectoral</w:t>
      </w:r>
      <w:proofErr w:type="spellEnd"/>
      <w:r>
        <w:rPr>
          <w:i/>
        </w:rPr>
        <w:t xml:space="preserve"> and inter-</w:t>
      </w:r>
      <w:proofErr w:type="spellStart"/>
      <w:r>
        <w:rPr>
          <w:i/>
        </w:rPr>
        <w:t>organizational</w:t>
      </w:r>
      <w:proofErr w:type="spellEnd"/>
      <w:r>
        <w:rPr>
          <w:i/>
        </w:rPr>
        <w:t xml:space="preserve"> </w:t>
      </w:r>
      <w:proofErr w:type="spellStart"/>
      <w:r>
        <w:rPr>
          <w:i/>
        </w:rPr>
        <w:t>prevention</w:t>
      </w:r>
      <w:proofErr w:type="spellEnd"/>
      <w:r>
        <w:rPr>
          <w:i/>
        </w:rPr>
        <w:t xml:space="preserve"> and </w:t>
      </w:r>
      <w:proofErr w:type="spellStart"/>
      <w:r>
        <w:rPr>
          <w:i/>
        </w:rPr>
        <w:t>response</w:t>
      </w:r>
      <w:proofErr w:type="spellEnd"/>
      <w:r>
        <w:rPr>
          <w:i/>
        </w:rPr>
        <w:t xml:space="preserve"> to </w:t>
      </w:r>
      <w:proofErr w:type="spellStart"/>
      <w:r>
        <w:rPr>
          <w:i/>
        </w:rPr>
        <w:t>gender-based</w:t>
      </w:r>
      <w:proofErr w:type="spellEnd"/>
      <w:r>
        <w:rPr>
          <w:i/>
        </w:rPr>
        <w:t xml:space="preserve"> violence in </w:t>
      </w:r>
      <w:proofErr w:type="spellStart"/>
      <w:r>
        <w:rPr>
          <w:i/>
        </w:rPr>
        <w:t>humanitarian</w:t>
      </w:r>
      <w:proofErr w:type="spellEnd"/>
      <w:r>
        <w:rPr>
          <w:i/>
        </w:rPr>
        <w:t xml:space="preserve"> settings [Établissement de procédures opérationnelles standard</w:t>
      </w:r>
      <w:r w:rsidR="00302145">
        <w:rPr>
          <w:i/>
        </w:rPr>
        <w:t>s</w:t>
      </w:r>
      <w:r>
        <w:rPr>
          <w:i/>
        </w:rPr>
        <w:t xml:space="preserve"> en matière de violence basée sur le genre (POS VBG) pour la prévention et l’intervention multisectorielles et </w:t>
      </w:r>
      <w:proofErr w:type="spellStart"/>
      <w:r>
        <w:rPr>
          <w:i/>
        </w:rPr>
        <w:t>interorganisationnelles</w:t>
      </w:r>
      <w:proofErr w:type="spellEnd"/>
      <w:r>
        <w:rPr>
          <w:i/>
        </w:rPr>
        <w:t xml:space="preserve"> dans le domaine de la violence basée sur le genre dans les situations humanitaires],</w:t>
      </w:r>
      <w:r>
        <w:t xml:space="preserve"> daté de mai 2008, et les </w:t>
      </w:r>
      <w:r>
        <w:rPr>
          <w:i/>
        </w:rPr>
        <w:t xml:space="preserve">Standard operating </w:t>
      </w:r>
      <w:proofErr w:type="spellStart"/>
      <w:r>
        <w:rPr>
          <w:i/>
        </w:rPr>
        <w:t>procedures</w:t>
      </w:r>
      <w:proofErr w:type="spellEnd"/>
      <w:r>
        <w:rPr>
          <w:i/>
        </w:rPr>
        <w:t xml:space="preserve"> for SGBV </w:t>
      </w:r>
      <w:proofErr w:type="spellStart"/>
      <w:r>
        <w:rPr>
          <w:i/>
        </w:rPr>
        <w:t>prevention</w:t>
      </w:r>
      <w:proofErr w:type="spellEnd"/>
      <w:r>
        <w:rPr>
          <w:i/>
        </w:rPr>
        <w:t xml:space="preserve"> and </w:t>
      </w:r>
      <w:proofErr w:type="spellStart"/>
      <w:r>
        <w:rPr>
          <w:i/>
        </w:rPr>
        <w:t>response</w:t>
      </w:r>
      <w:proofErr w:type="spellEnd"/>
      <w:r>
        <w:rPr>
          <w:i/>
        </w:rPr>
        <w:t xml:space="preserve"> (procédures opérationnelles standard pour la prévention et l’intervention en matière de violence sexuelle et sexiste)</w:t>
      </w:r>
      <w:r>
        <w:t xml:space="preserve"> du HCR, datées de juillet 2006. Le processus d’élaboration des POS VBG a été coordonné dans le cadre d’un partenariat entre le HCR et le Domaine de Responsabilité en matière de violence basée sur le genre (GBV AoR).</w:t>
      </w:r>
    </w:p>
    <w:p w14:paraId="00000007" w14:textId="78B354C8" w:rsidR="005C643C" w:rsidRDefault="00913B65">
      <w:pPr>
        <w:pBdr>
          <w:top w:val="nil"/>
          <w:left w:val="nil"/>
          <w:bottom w:val="nil"/>
          <w:right w:val="nil"/>
          <w:between w:val="nil"/>
        </w:pBdr>
        <w:spacing w:before="120" w:after="120"/>
        <w:jc w:val="both"/>
      </w:pPr>
      <w:r>
        <w:t xml:space="preserve">Cette ressource est le fruit d’une collaboration </w:t>
      </w:r>
      <w:proofErr w:type="spellStart"/>
      <w:r>
        <w:t>interorganisation</w:t>
      </w:r>
      <w:proofErr w:type="spellEnd"/>
      <w:r>
        <w:t xml:space="preserve"> et d’une consultation ayant impliqué de multiples acteurs aux niveaux local, régional et </w:t>
      </w:r>
      <w:r w:rsidR="00517BA0">
        <w:t>global</w:t>
      </w:r>
      <w:r>
        <w:t>. Les changements et les ajouts apportés au kit de ressources 2023 sur les procédures opérationnelles standard</w:t>
      </w:r>
      <w:r w:rsidR="00517BA0">
        <w:t>s</w:t>
      </w:r>
      <w:r>
        <w:t xml:space="preserve"> en matière de violence basée sur le genre reflètent l’évolution de la programmation en matière de VBG sur plus d’une décennie, les résultats d’une enquête et de consultations directes auprès du personnel au niveau des pays, des régions et d</w:t>
      </w:r>
      <w:r w:rsidR="00FF7895">
        <w:t>es</w:t>
      </w:r>
      <w:r>
        <w:t xml:space="preserve"> siège</w:t>
      </w:r>
      <w:r w:rsidR="00FF7895">
        <w:t>s</w:t>
      </w:r>
      <w:r>
        <w:t xml:space="preserve">, ainsi que des projets pilotes dans quatre contextes impliquant des réfugiés, des personnes déplacées </w:t>
      </w:r>
      <w:r w:rsidRPr="006C7780">
        <w:t xml:space="preserve">internes dans </w:t>
      </w:r>
      <w:r>
        <w:t xml:space="preserve">leur propre pays et des apatrides en Moldavie, en Colombie, en Pologne et au Yémen. Les versions préliminaires de ce guide ont </w:t>
      </w:r>
      <w:r>
        <w:lastRenderedPageBreak/>
        <w:t>été révisées par des experts techniques des organismes des Nations Unies spécialisé</w:t>
      </w:r>
      <w:r w:rsidR="00D248DB">
        <w:t>e</w:t>
      </w:r>
      <w:r>
        <w:t>s dans la VBG ou dans d’autres domaines, ainsi que par des ONG locales, nationales et internationales et des organisations de la société civile (OSC). Il était essentiel de recueillir les commentaires des professionnels de la lutte contre la VBG issus de différentes opérations pour faire de ce document un outil inclusif, éclairé par les opérations et basé sur les meilleures pratiques établies ou émergentes. Le document a également bénéficié des contributions des coord</w:t>
      </w:r>
      <w:r w:rsidR="00812356">
        <w:t>i</w:t>
      </w:r>
      <w:r>
        <w:t>nateurs des sous-groupes sectoriels / sous-secteurs VBG</w:t>
      </w:r>
      <w:r w:rsidR="00812356">
        <w:t>, ainsi que ceux</w:t>
      </w:r>
      <w:r>
        <w:t xml:space="preserve"> de</w:t>
      </w:r>
      <w:r w:rsidR="00812356">
        <w:t>s</w:t>
      </w:r>
      <w:r>
        <w:t xml:space="preserve"> conseillers et spécialistes régionaux de la VBG travaillant avec le HCR et le GBV AoR. </w:t>
      </w:r>
    </w:p>
    <w:p w14:paraId="00000008" w14:textId="79C230F6" w:rsidR="005C643C" w:rsidRDefault="00913B65">
      <w:pPr>
        <w:pBdr>
          <w:top w:val="nil"/>
          <w:left w:val="nil"/>
          <w:bottom w:val="nil"/>
          <w:right w:val="nil"/>
          <w:between w:val="nil"/>
        </w:pBdr>
        <w:spacing w:before="120" w:after="120"/>
        <w:jc w:val="both"/>
      </w:pPr>
      <w:r>
        <w:t xml:space="preserve">La rédaction des POS VBG révisées a été soutenue par Inbal Sansani sous </w:t>
      </w:r>
      <w:r w:rsidR="00134D7E">
        <w:t>les directives</w:t>
      </w:r>
      <w:r w:rsidR="00C005AC">
        <w:t xml:space="preserve"> et le soutien</w:t>
      </w:r>
      <w:r>
        <w:t xml:space="preserve"> d’Amel Amirali et Kathryn McCallister (HCR) et de Tamah Murfet et Stefanie Lorin (GBV AoR).</w:t>
      </w:r>
    </w:p>
    <w:p w14:paraId="00000009" w14:textId="167A9001" w:rsidR="005C643C" w:rsidRDefault="00913B65">
      <w:pPr>
        <w:pBdr>
          <w:top w:val="nil"/>
          <w:left w:val="nil"/>
          <w:bottom w:val="nil"/>
          <w:right w:val="nil"/>
          <w:between w:val="nil"/>
        </w:pBdr>
        <w:spacing w:before="120" w:after="120"/>
        <w:jc w:val="both"/>
      </w:pPr>
      <w:r>
        <w:t xml:space="preserve">La révision des POS VBG a été soutenue par le gouvernement des États-Unis par l’intermédiaire du programme « Safe </w:t>
      </w:r>
      <w:proofErr w:type="spellStart"/>
      <w:r>
        <w:t>from</w:t>
      </w:r>
      <w:proofErr w:type="spellEnd"/>
      <w:r>
        <w:t xml:space="preserve"> the Start » du Bureau de la population, des réfugiés et des migrations (PRM).</w:t>
      </w:r>
    </w:p>
    <w:p w14:paraId="0000000A" w14:textId="77777777" w:rsidR="005C643C" w:rsidRDefault="00913B65">
      <w:pPr>
        <w:spacing w:before="120" w:after="120" w:line="240" w:lineRule="auto"/>
        <w:jc w:val="both"/>
        <w:rPr>
          <w:b/>
          <w:sz w:val="56"/>
          <w:szCs w:val="56"/>
        </w:rPr>
      </w:pPr>
      <w:r>
        <w:br w:type="page"/>
      </w:r>
    </w:p>
    <w:p w14:paraId="0000000B" w14:textId="29DD4A6D" w:rsidR="005C643C" w:rsidRDefault="00913B65">
      <w:pPr>
        <w:spacing w:before="120" w:after="120" w:line="240" w:lineRule="auto"/>
        <w:jc w:val="center"/>
        <w:rPr>
          <w:b/>
          <w:sz w:val="56"/>
          <w:szCs w:val="56"/>
        </w:rPr>
      </w:pPr>
      <w:r>
        <w:rPr>
          <w:b/>
          <w:sz w:val="56"/>
          <w:szCs w:val="56"/>
        </w:rPr>
        <w:lastRenderedPageBreak/>
        <w:t>Procédures opérationnelles standard</w:t>
      </w:r>
      <w:r w:rsidR="00C005AC">
        <w:rPr>
          <w:b/>
          <w:sz w:val="56"/>
          <w:szCs w:val="56"/>
        </w:rPr>
        <w:t>s</w:t>
      </w:r>
      <w:r>
        <w:rPr>
          <w:b/>
          <w:sz w:val="56"/>
          <w:szCs w:val="56"/>
        </w:rPr>
        <w:t xml:space="preserve"> pour les interventions de lutte contre la violence basée sur le genre dans les situations humanitaires</w:t>
      </w:r>
    </w:p>
    <w:p w14:paraId="0000000C" w14:textId="77777777" w:rsidR="005C643C" w:rsidRDefault="005C643C">
      <w:pPr>
        <w:spacing w:before="120" w:after="120" w:line="240" w:lineRule="auto"/>
        <w:jc w:val="both"/>
        <w:rPr>
          <w:b/>
        </w:rPr>
      </w:pPr>
    </w:p>
    <w:p w14:paraId="0000000D" w14:textId="77777777" w:rsidR="005C643C" w:rsidRDefault="00913B65">
      <w:pPr>
        <w:spacing w:before="120" w:after="120" w:line="240" w:lineRule="auto"/>
        <w:jc w:val="center"/>
        <w:rPr>
          <w:b/>
          <w:color w:val="0070C0"/>
          <w:sz w:val="52"/>
          <w:szCs w:val="52"/>
        </w:rPr>
      </w:pPr>
      <w:r>
        <w:rPr>
          <w:b/>
          <w:color w:val="0070C0"/>
          <w:sz w:val="52"/>
          <w:szCs w:val="52"/>
        </w:rPr>
        <w:t>Kit de ressources sur les procédures opérationnelles standard en matière de violence basée sur le genre</w:t>
      </w:r>
    </w:p>
    <w:p w14:paraId="0000000E" w14:textId="4CF563D2" w:rsidR="005C643C" w:rsidRDefault="00913B65">
      <w:pPr>
        <w:spacing w:before="120" w:after="120"/>
        <w:jc w:val="both"/>
        <w:rPr>
          <w:sz w:val="28"/>
          <w:szCs w:val="28"/>
        </w:rPr>
      </w:pPr>
      <w:r>
        <w:rPr>
          <w:b/>
          <w:sz w:val="32"/>
          <w:szCs w:val="32"/>
        </w:rPr>
        <w:t>Partie 1 : Guide d’élaboration des procédures opérationnelles standard</w:t>
      </w:r>
      <w:r w:rsidR="00CF29AE">
        <w:rPr>
          <w:b/>
          <w:sz w:val="32"/>
          <w:szCs w:val="32"/>
        </w:rPr>
        <w:t>s</w:t>
      </w:r>
      <w:r>
        <w:rPr>
          <w:b/>
          <w:sz w:val="32"/>
          <w:szCs w:val="32"/>
        </w:rPr>
        <w:t xml:space="preserve"> en matière de violence basée sur le genre (POS VBG) :</w:t>
      </w:r>
      <w:r>
        <w:rPr>
          <w:sz w:val="28"/>
          <w:szCs w:val="28"/>
        </w:rPr>
        <w:t xml:space="preserve"> comprend une vue d’ensemble des processus d’élaboration et de révision des POS. Il traite du lancement, de la coordination et de la contextualisation des processus dans divers contextes.</w:t>
      </w:r>
    </w:p>
    <w:p w14:paraId="0000000F" w14:textId="77777777" w:rsidR="005C643C" w:rsidRDefault="00913B65">
      <w:pPr>
        <w:pBdr>
          <w:top w:val="nil"/>
          <w:left w:val="nil"/>
          <w:bottom w:val="nil"/>
          <w:right w:val="nil"/>
          <w:between w:val="nil"/>
        </w:pBdr>
        <w:spacing w:before="120" w:after="120"/>
        <w:jc w:val="both"/>
        <w:rPr>
          <w:sz w:val="28"/>
          <w:szCs w:val="28"/>
        </w:rPr>
      </w:pPr>
      <w:r>
        <w:rPr>
          <w:b/>
          <w:sz w:val="32"/>
          <w:szCs w:val="32"/>
        </w:rPr>
        <w:t>Partie 2 : Modèle de procédures opérationnelles standard en matière de violence basée sur le genre (POS VBG) :</w:t>
      </w:r>
      <w:r>
        <w:rPr>
          <w:sz w:val="28"/>
          <w:szCs w:val="28"/>
        </w:rPr>
        <w:t xml:space="preserve"> le modèle de POS est le document de base à remplir dans un contexte physique spécifique. </w:t>
      </w:r>
    </w:p>
    <w:p w14:paraId="00000010" w14:textId="443EECA6" w:rsidR="005C643C" w:rsidRDefault="00913B65">
      <w:pPr>
        <w:pBdr>
          <w:top w:val="nil"/>
          <w:left w:val="nil"/>
          <w:bottom w:val="nil"/>
          <w:right w:val="nil"/>
          <w:between w:val="nil"/>
        </w:pBdr>
        <w:spacing w:before="120" w:after="120"/>
        <w:jc w:val="both"/>
        <w:rPr>
          <w:sz w:val="28"/>
          <w:szCs w:val="28"/>
        </w:rPr>
      </w:pPr>
      <w:r>
        <w:rPr>
          <w:b/>
          <w:sz w:val="32"/>
          <w:szCs w:val="32"/>
        </w:rPr>
        <w:t>Partie 3 : Annexes aux procédures opérationnelles standard en matière de violence basée sur le genre (POS VBG) :</w:t>
      </w:r>
      <w:r>
        <w:rPr>
          <w:sz w:val="28"/>
          <w:szCs w:val="28"/>
        </w:rPr>
        <w:t xml:space="preserve"> doivent être complété</w:t>
      </w:r>
      <w:r w:rsidR="00211D96">
        <w:rPr>
          <w:sz w:val="28"/>
          <w:szCs w:val="28"/>
        </w:rPr>
        <w:t>e</w:t>
      </w:r>
      <w:r>
        <w:rPr>
          <w:sz w:val="28"/>
          <w:szCs w:val="28"/>
        </w:rPr>
        <w:t>s, révisé</w:t>
      </w:r>
      <w:r w:rsidR="00211D96">
        <w:rPr>
          <w:sz w:val="28"/>
          <w:szCs w:val="28"/>
        </w:rPr>
        <w:t>e</w:t>
      </w:r>
      <w:r>
        <w:rPr>
          <w:sz w:val="28"/>
          <w:szCs w:val="28"/>
        </w:rPr>
        <w:t>s ou supprimé</w:t>
      </w:r>
      <w:r w:rsidR="00211D96">
        <w:rPr>
          <w:sz w:val="28"/>
          <w:szCs w:val="28"/>
        </w:rPr>
        <w:t>e</w:t>
      </w:r>
      <w:r>
        <w:rPr>
          <w:sz w:val="28"/>
          <w:szCs w:val="28"/>
        </w:rPr>
        <w:t xml:space="preserve">s selon les besoins. </w:t>
      </w:r>
    </w:p>
    <w:p w14:paraId="00000011" w14:textId="77777777" w:rsidR="005C643C" w:rsidRDefault="00913B65">
      <w:pPr>
        <w:pBdr>
          <w:top w:val="nil"/>
          <w:left w:val="nil"/>
          <w:bottom w:val="nil"/>
          <w:right w:val="nil"/>
          <w:between w:val="nil"/>
        </w:pBdr>
        <w:spacing w:before="120" w:after="120" w:line="240" w:lineRule="auto"/>
        <w:jc w:val="both"/>
        <w:rPr>
          <w:sz w:val="40"/>
          <w:szCs w:val="40"/>
        </w:rPr>
      </w:pPr>
      <w:r>
        <w:br w:type="page"/>
      </w:r>
    </w:p>
    <w:p w14:paraId="00000012" w14:textId="3D097DB6" w:rsidR="005C643C" w:rsidRDefault="00913B65">
      <w:pPr>
        <w:spacing w:before="120" w:after="120" w:line="240" w:lineRule="auto"/>
        <w:jc w:val="center"/>
        <w:rPr>
          <w:b/>
          <w:sz w:val="56"/>
          <w:szCs w:val="56"/>
        </w:rPr>
      </w:pPr>
      <w:r>
        <w:rPr>
          <w:b/>
          <w:sz w:val="56"/>
          <w:szCs w:val="56"/>
        </w:rPr>
        <w:lastRenderedPageBreak/>
        <w:t>Procédures opérationnelles standard</w:t>
      </w:r>
      <w:r w:rsidR="00211D96">
        <w:rPr>
          <w:b/>
          <w:sz w:val="56"/>
          <w:szCs w:val="56"/>
        </w:rPr>
        <w:t>s</w:t>
      </w:r>
      <w:r>
        <w:rPr>
          <w:b/>
          <w:sz w:val="56"/>
          <w:szCs w:val="56"/>
        </w:rPr>
        <w:t xml:space="preserve"> pour les interventions de lutte contre la violence basée sur le genre dans les situations humanitaires</w:t>
      </w:r>
    </w:p>
    <w:p w14:paraId="00000013" w14:textId="77777777" w:rsidR="005C643C" w:rsidRDefault="005C643C">
      <w:pPr>
        <w:spacing w:before="120" w:after="120" w:line="240" w:lineRule="auto"/>
        <w:jc w:val="both"/>
        <w:rPr>
          <w:b/>
        </w:rPr>
      </w:pPr>
    </w:p>
    <w:p w14:paraId="00000014" w14:textId="30288E0D" w:rsidR="005C643C" w:rsidRDefault="00913B65">
      <w:pPr>
        <w:spacing w:before="120" w:after="120" w:line="240" w:lineRule="auto"/>
        <w:jc w:val="center"/>
        <w:rPr>
          <w:b/>
          <w:color w:val="0070C0"/>
          <w:sz w:val="52"/>
          <w:szCs w:val="52"/>
        </w:rPr>
      </w:pPr>
      <w:r>
        <w:rPr>
          <w:b/>
          <w:color w:val="0070C0"/>
          <w:sz w:val="52"/>
          <w:szCs w:val="52"/>
        </w:rPr>
        <w:t>Kit de ressources sur les procédures opérationnelles standard</w:t>
      </w:r>
      <w:r w:rsidR="00211D96">
        <w:rPr>
          <w:b/>
          <w:color w:val="0070C0"/>
          <w:sz w:val="52"/>
          <w:szCs w:val="52"/>
        </w:rPr>
        <w:t>s</w:t>
      </w:r>
      <w:r>
        <w:rPr>
          <w:b/>
          <w:color w:val="0070C0"/>
          <w:sz w:val="52"/>
          <w:szCs w:val="52"/>
        </w:rPr>
        <w:t xml:space="preserve"> en matière de violence basée sur le genre</w:t>
      </w:r>
    </w:p>
    <w:p w14:paraId="00000015" w14:textId="77777777" w:rsidR="005C643C" w:rsidRDefault="005C643C">
      <w:pPr>
        <w:jc w:val="center"/>
        <w:rPr>
          <w:b/>
          <w:color w:val="0070C0"/>
          <w:sz w:val="44"/>
          <w:szCs w:val="44"/>
        </w:rPr>
      </w:pPr>
    </w:p>
    <w:p w14:paraId="00000016" w14:textId="1E4CAFEB" w:rsidR="005C643C" w:rsidRDefault="00913B65">
      <w:pPr>
        <w:jc w:val="center"/>
        <w:rPr>
          <w:b/>
          <w:color w:val="0070C0"/>
          <w:sz w:val="32"/>
          <w:szCs w:val="32"/>
        </w:rPr>
      </w:pPr>
      <w:r>
        <w:rPr>
          <w:b/>
          <w:color w:val="0070C0"/>
          <w:sz w:val="44"/>
          <w:szCs w:val="44"/>
        </w:rPr>
        <w:t>Partie 1 : Guide d’élaboration des procédures opérationnelles standard</w:t>
      </w:r>
      <w:r w:rsidR="00D05FBA">
        <w:rPr>
          <w:b/>
          <w:color w:val="0070C0"/>
          <w:sz w:val="44"/>
          <w:szCs w:val="44"/>
        </w:rPr>
        <w:t>s</w:t>
      </w:r>
      <w:r>
        <w:rPr>
          <w:b/>
          <w:color w:val="0070C0"/>
          <w:sz w:val="44"/>
          <w:szCs w:val="44"/>
        </w:rPr>
        <w:t xml:space="preserve"> en matière de violence basée sur le genre (POS VBG)</w:t>
      </w:r>
    </w:p>
    <w:p w14:paraId="00000017" w14:textId="77777777" w:rsidR="005C643C" w:rsidRDefault="00913B65">
      <w:pPr>
        <w:rPr>
          <w:b/>
        </w:rPr>
      </w:pPr>
      <w:r>
        <w:br w:type="page"/>
      </w:r>
    </w:p>
    <w:p w14:paraId="00000018" w14:textId="77777777" w:rsidR="005C643C" w:rsidRDefault="00913B65">
      <w:pPr>
        <w:keepNext/>
        <w:keepLines/>
        <w:pBdr>
          <w:top w:val="nil"/>
          <w:left w:val="nil"/>
          <w:bottom w:val="nil"/>
          <w:right w:val="nil"/>
          <w:between w:val="nil"/>
        </w:pBdr>
        <w:spacing w:before="240" w:line="259" w:lineRule="auto"/>
        <w:ind w:left="567" w:hanging="567"/>
        <w:rPr>
          <w:rFonts w:ascii="Calibri" w:eastAsia="Calibri" w:hAnsi="Calibri" w:cs="Calibri"/>
          <w:color w:val="366091"/>
          <w:sz w:val="32"/>
          <w:szCs w:val="32"/>
        </w:rPr>
      </w:pPr>
      <w:r>
        <w:rPr>
          <w:rFonts w:ascii="Calibri" w:eastAsia="Calibri" w:hAnsi="Calibri" w:cs="Calibri"/>
          <w:color w:val="366091"/>
          <w:sz w:val="32"/>
          <w:szCs w:val="32"/>
        </w:rPr>
        <w:lastRenderedPageBreak/>
        <w:t>Sommaire : POS VBG – Partie I</w:t>
      </w:r>
    </w:p>
    <w:sdt>
      <w:sdtPr>
        <w:id w:val="-869218861"/>
        <w:docPartObj>
          <w:docPartGallery w:val="Table of Contents"/>
          <w:docPartUnique/>
        </w:docPartObj>
      </w:sdtPr>
      <w:sdtEndPr/>
      <w:sdtContent>
        <w:p w14:paraId="00000019" w14:textId="77777777" w:rsidR="005C643C" w:rsidRDefault="00913B65">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d256kxefe5tr">
            <w:r>
              <w:rPr>
                <w:b/>
                <w:smallCaps/>
                <w:color w:val="000000"/>
              </w:rPr>
              <w:t>1</w:t>
            </w:r>
          </w:hyperlink>
          <w:hyperlink w:anchor="_heading=h.d256kxefe5tr">
            <w:r>
              <w:rPr>
                <w:rFonts w:ascii="Cambria" w:eastAsia="Cambria" w:hAnsi="Cambria" w:cs="Cambria"/>
                <w:color w:val="000000"/>
              </w:rPr>
              <w:tab/>
            </w:r>
          </w:hyperlink>
          <w:r>
            <w:fldChar w:fldCharType="begin"/>
          </w:r>
          <w:r>
            <w:instrText xml:space="preserve"> PAGEREF _heading=h.d256kxefe5tr \h </w:instrText>
          </w:r>
          <w:r>
            <w:fldChar w:fldCharType="separate"/>
          </w:r>
          <w:r>
            <w:rPr>
              <w:b/>
              <w:smallCaps/>
              <w:color w:val="000000"/>
            </w:rPr>
            <w:t>Introduction</w:t>
          </w:r>
          <w:r>
            <w:rPr>
              <w:b/>
              <w:smallCaps/>
              <w:color w:val="000000"/>
            </w:rPr>
            <w:tab/>
            <w:t>6</w:t>
          </w:r>
          <w:r>
            <w:fldChar w:fldCharType="end"/>
          </w:r>
        </w:p>
        <w:p w14:paraId="0000001A" w14:textId="77777777"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hk1ov7kz9l4g">
            <w:r w:rsidR="00913B65">
              <w:rPr>
                <w:b/>
                <w:smallCaps/>
                <w:color w:val="000000"/>
              </w:rPr>
              <w:t>2</w:t>
            </w:r>
          </w:hyperlink>
          <w:hyperlink w:anchor="_heading=h.hk1ov7kz9l4g">
            <w:r w:rsidR="00913B65">
              <w:rPr>
                <w:rFonts w:ascii="Cambria" w:eastAsia="Cambria" w:hAnsi="Cambria" w:cs="Cambria"/>
                <w:color w:val="000000"/>
              </w:rPr>
              <w:tab/>
            </w:r>
          </w:hyperlink>
          <w:r w:rsidR="00913B65">
            <w:fldChar w:fldCharType="begin"/>
          </w:r>
          <w:r w:rsidR="00913B65">
            <w:instrText xml:space="preserve"> PAGEREF _heading=h.hk1ov7kz9l4g \h </w:instrText>
          </w:r>
          <w:r w:rsidR="00913B65">
            <w:fldChar w:fldCharType="separate"/>
          </w:r>
          <w:r w:rsidR="00913B65">
            <w:rPr>
              <w:b/>
              <w:smallCaps/>
              <w:color w:val="000000"/>
            </w:rPr>
            <w:t>Comment utiliser le kit de ressources sur les POS VBG</w:t>
          </w:r>
          <w:r w:rsidR="00913B65">
            <w:rPr>
              <w:b/>
              <w:smallCaps/>
              <w:color w:val="000000"/>
            </w:rPr>
            <w:tab/>
            <w:t>8</w:t>
          </w:r>
          <w:r w:rsidR="00913B65">
            <w:fldChar w:fldCharType="end"/>
          </w:r>
        </w:p>
        <w:p w14:paraId="0000001B" w14:textId="77777777"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khc6lk9jjxqx">
            <w:r w:rsidR="00913B65">
              <w:rPr>
                <w:b/>
                <w:smallCaps/>
                <w:color w:val="000000"/>
              </w:rPr>
              <w:t>3</w:t>
            </w:r>
          </w:hyperlink>
          <w:hyperlink w:anchor="_heading=h.khc6lk9jjxqx">
            <w:r w:rsidR="00913B65">
              <w:rPr>
                <w:rFonts w:ascii="Cambria" w:eastAsia="Cambria" w:hAnsi="Cambria" w:cs="Cambria"/>
                <w:color w:val="000000"/>
              </w:rPr>
              <w:tab/>
            </w:r>
          </w:hyperlink>
          <w:r w:rsidR="00913B65">
            <w:fldChar w:fldCharType="begin"/>
          </w:r>
          <w:r w:rsidR="00913B65">
            <w:instrText xml:space="preserve"> PAGEREF _heading=h.khc6lk9jjxqx \h </w:instrText>
          </w:r>
          <w:r w:rsidR="00913B65">
            <w:fldChar w:fldCharType="separate"/>
          </w:r>
          <w:r w:rsidR="00913B65">
            <w:rPr>
              <w:b/>
              <w:smallCaps/>
              <w:color w:val="000000"/>
            </w:rPr>
            <w:t>Comment élaborer des POS interorganisations en matière de VBG</w:t>
          </w:r>
          <w:r w:rsidR="00913B65">
            <w:rPr>
              <w:b/>
              <w:smallCaps/>
              <w:color w:val="000000"/>
            </w:rPr>
            <w:tab/>
            <w:t>8</w:t>
          </w:r>
          <w:r w:rsidR="00913B65">
            <w:fldChar w:fldCharType="end"/>
          </w:r>
        </w:p>
        <w:p w14:paraId="0000001C"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bipjxmszpw9h">
            <w:r w:rsidR="00913B65">
              <w:rPr>
                <w:color w:val="000000"/>
              </w:rPr>
              <w:t>3.1</w:t>
            </w:r>
          </w:hyperlink>
          <w:hyperlink w:anchor="_heading=h.bipjxmszpw9h">
            <w:r w:rsidR="00913B65">
              <w:rPr>
                <w:rFonts w:ascii="Cambria" w:eastAsia="Cambria" w:hAnsi="Cambria" w:cs="Cambria"/>
                <w:color w:val="000000"/>
              </w:rPr>
              <w:tab/>
            </w:r>
          </w:hyperlink>
          <w:r w:rsidR="00913B65">
            <w:fldChar w:fldCharType="begin"/>
          </w:r>
          <w:r w:rsidR="00913B65">
            <w:instrText xml:space="preserve"> PAGEREF _heading=h.bipjxmszpw9h \h </w:instrText>
          </w:r>
          <w:r w:rsidR="00913B65">
            <w:fldChar w:fldCharType="separate"/>
          </w:r>
          <w:r w:rsidR="00913B65">
            <w:rPr>
              <w:color w:val="000000"/>
            </w:rPr>
            <w:t>Leadership et coordination de l’élaboration de POS VBG</w:t>
          </w:r>
          <w:r w:rsidR="00913B65">
            <w:rPr>
              <w:color w:val="000000"/>
            </w:rPr>
            <w:tab/>
            <w:t>9</w:t>
          </w:r>
          <w:r w:rsidR="00913B65">
            <w:fldChar w:fldCharType="end"/>
          </w:r>
        </w:p>
        <w:p w14:paraId="0000001D" w14:textId="77777777" w:rsidR="005C643C" w:rsidRDefault="00504BA0">
          <w:pPr>
            <w:pBdr>
              <w:top w:val="nil"/>
              <w:left w:val="nil"/>
              <w:bottom w:val="nil"/>
              <w:right w:val="nil"/>
              <w:between w:val="nil"/>
            </w:pBdr>
            <w:tabs>
              <w:tab w:val="left" w:pos="1797"/>
              <w:tab w:val="right" w:pos="9350"/>
            </w:tabs>
            <w:spacing w:line="240" w:lineRule="auto"/>
            <w:ind w:left="1843" w:hanging="709"/>
            <w:rPr>
              <w:rFonts w:ascii="Cambria" w:eastAsia="Cambria" w:hAnsi="Cambria" w:cs="Cambria"/>
              <w:color w:val="000000"/>
            </w:rPr>
          </w:pPr>
          <w:hyperlink w:anchor="_heading=h.s030sl9k09uq">
            <w:r w:rsidR="00913B65">
              <w:rPr>
                <w:i/>
                <w:color w:val="000000"/>
              </w:rPr>
              <w:t>3.1.1</w:t>
            </w:r>
          </w:hyperlink>
          <w:hyperlink w:anchor="_heading=h.s030sl9k09uq">
            <w:r w:rsidR="00913B65">
              <w:rPr>
                <w:rFonts w:ascii="Cambria" w:eastAsia="Cambria" w:hAnsi="Cambria" w:cs="Cambria"/>
                <w:color w:val="000000"/>
              </w:rPr>
              <w:tab/>
            </w:r>
          </w:hyperlink>
          <w:r w:rsidR="00913B65">
            <w:fldChar w:fldCharType="begin"/>
          </w:r>
          <w:r w:rsidR="00913B65">
            <w:instrText xml:space="preserve"> PAGEREF _heading=h.s030sl9k09uq \h </w:instrText>
          </w:r>
          <w:r w:rsidR="00913B65">
            <w:fldChar w:fldCharType="separate"/>
          </w:r>
          <w:r w:rsidR="00913B65">
            <w:rPr>
              <w:i/>
              <w:color w:val="000000"/>
            </w:rPr>
            <w:t>Coordination avec les gouvernements</w:t>
          </w:r>
          <w:r w:rsidR="00913B65">
            <w:rPr>
              <w:i/>
              <w:color w:val="000000"/>
            </w:rPr>
            <w:tab/>
            <w:t>9</w:t>
          </w:r>
          <w:r w:rsidR="00913B65">
            <w:fldChar w:fldCharType="end"/>
          </w:r>
        </w:p>
        <w:p w14:paraId="0000001E" w14:textId="35D5FE54" w:rsidR="005C643C" w:rsidRDefault="00504BA0">
          <w:pPr>
            <w:pBdr>
              <w:top w:val="nil"/>
              <w:left w:val="nil"/>
              <w:bottom w:val="nil"/>
              <w:right w:val="nil"/>
              <w:between w:val="nil"/>
            </w:pBdr>
            <w:tabs>
              <w:tab w:val="left" w:pos="1797"/>
              <w:tab w:val="right" w:pos="9350"/>
            </w:tabs>
            <w:spacing w:line="240" w:lineRule="auto"/>
            <w:ind w:left="1843" w:hanging="709"/>
            <w:rPr>
              <w:rFonts w:ascii="Cambria" w:eastAsia="Cambria" w:hAnsi="Cambria" w:cs="Cambria"/>
              <w:color w:val="000000"/>
            </w:rPr>
          </w:pPr>
          <w:hyperlink w:anchor="_heading=h.cgrb4nuk3dvp">
            <w:r w:rsidR="00913B65">
              <w:rPr>
                <w:i/>
                <w:color w:val="000000"/>
              </w:rPr>
              <w:t>3.1.2</w:t>
            </w:r>
          </w:hyperlink>
          <w:hyperlink w:anchor="_heading=h.cgrb4nuk3dvp">
            <w:r w:rsidR="00913B65">
              <w:rPr>
                <w:rFonts w:ascii="Cambria" w:eastAsia="Cambria" w:hAnsi="Cambria" w:cs="Cambria"/>
                <w:color w:val="000000"/>
              </w:rPr>
              <w:tab/>
            </w:r>
          </w:hyperlink>
          <w:r w:rsidR="00913B65">
            <w:fldChar w:fldCharType="begin"/>
          </w:r>
          <w:r w:rsidR="00913B65">
            <w:instrText xml:space="preserve"> PAGEREF _heading=h.cgrb4nuk3dvp \h </w:instrText>
          </w:r>
          <w:r w:rsidR="00913B65">
            <w:fldChar w:fldCharType="separate"/>
          </w:r>
          <w:r w:rsidR="00913B65">
            <w:rPr>
              <w:i/>
              <w:color w:val="000000"/>
            </w:rPr>
            <w:t>Coordination du processus d’élaboration des procédures opérationnelles standard</w:t>
          </w:r>
          <w:r w:rsidR="00E20FAE">
            <w:rPr>
              <w:i/>
              <w:color w:val="000000"/>
            </w:rPr>
            <w:t>s</w:t>
          </w:r>
          <w:r w:rsidR="00913B65">
            <w:rPr>
              <w:i/>
              <w:color w:val="000000"/>
            </w:rPr>
            <w:t xml:space="preserve"> en matière de violence basée sur le genre dans des contextes mixtes</w:t>
          </w:r>
          <w:r w:rsidR="00913B65">
            <w:rPr>
              <w:i/>
              <w:color w:val="000000"/>
            </w:rPr>
            <w:tab/>
            <w:t>10</w:t>
          </w:r>
          <w:r w:rsidR="00913B65">
            <w:fldChar w:fldCharType="end"/>
          </w:r>
        </w:p>
        <w:p w14:paraId="0000001F"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30j0zll">
            <w:r w:rsidR="00913B65">
              <w:rPr>
                <w:color w:val="000000"/>
              </w:rPr>
              <w:t>3.2</w:t>
            </w:r>
          </w:hyperlink>
          <w:hyperlink w:anchor="_heading=h.30j0zll">
            <w:r w:rsidR="00913B65">
              <w:rPr>
                <w:rFonts w:ascii="Cambria" w:eastAsia="Cambria" w:hAnsi="Cambria" w:cs="Cambria"/>
                <w:color w:val="000000"/>
              </w:rPr>
              <w:tab/>
            </w:r>
          </w:hyperlink>
          <w:r w:rsidR="00913B65">
            <w:fldChar w:fldCharType="begin"/>
          </w:r>
          <w:r w:rsidR="00913B65">
            <w:instrText xml:space="preserve"> PAGEREF _heading=h.30j0zll \h </w:instrText>
          </w:r>
          <w:r w:rsidR="00913B65">
            <w:fldChar w:fldCharType="separate"/>
          </w:r>
          <w:r w:rsidR="00913B65">
            <w:rPr>
              <w:color w:val="000000"/>
            </w:rPr>
            <w:t>Phases du processus d’élaboration des POS VBG</w:t>
          </w:r>
          <w:r w:rsidR="00913B65">
            <w:rPr>
              <w:color w:val="000000"/>
            </w:rPr>
            <w:tab/>
            <w:t>10</w:t>
          </w:r>
          <w:r w:rsidR="00913B65">
            <w:fldChar w:fldCharType="end"/>
          </w:r>
        </w:p>
        <w:p w14:paraId="00000020" w14:textId="3B55EBB2"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s3fbi99055u4">
            <w:r w:rsidR="00913B65">
              <w:rPr>
                <w:color w:val="000000"/>
              </w:rPr>
              <w:t>3.3</w:t>
            </w:r>
          </w:hyperlink>
          <w:hyperlink w:anchor="_heading=h.s3fbi99055u4">
            <w:r w:rsidR="00913B65">
              <w:rPr>
                <w:rFonts w:ascii="Cambria" w:eastAsia="Cambria" w:hAnsi="Cambria" w:cs="Cambria"/>
                <w:color w:val="000000"/>
              </w:rPr>
              <w:tab/>
            </w:r>
          </w:hyperlink>
          <w:r w:rsidR="00913B65">
            <w:fldChar w:fldCharType="begin"/>
          </w:r>
          <w:r w:rsidR="00913B65">
            <w:instrText xml:space="preserve"> PAGEREF _heading=h.s3fbi99055u4 \h </w:instrText>
          </w:r>
          <w:r w:rsidR="00913B65">
            <w:fldChar w:fldCharType="separate"/>
          </w:r>
          <w:r w:rsidR="00913B65">
            <w:rPr>
              <w:color w:val="000000"/>
            </w:rPr>
            <w:t>Participants au processus d’élaboration des procédures opérationnelles standard</w:t>
          </w:r>
          <w:r w:rsidR="00551383">
            <w:rPr>
              <w:color w:val="000000"/>
            </w:rPr>
            <w:t>s</w:t>
          </w:r>
          <w:r w:rsidR="00913B65">
            <w:rPr>
              <w:color w:val="000000"/>
            </w:rPr>
            <w:t xml:space="preserve"> en matière de violence basée sur le genre</w:t>
          </w:r>
          <w:r w:rsidR="00913B65">
            <w:rPr>
              <w:color w:val="000000"/>
            </w:rPr>
            <w:tab/>
            <w:t>15</w:t>
          </w:r>
          <w:r w:rsidR="00913B65">
            <w:fldChar w:fldCharType="end"/>
          </w:r>
        </w:p>
        <w:p w14:paraId="00000021" w14:textId="77777777" w:rsidR="005C643C" w:rsidRDefault="00504BA0">
          <w:pPr>
            <w:pBdr>
              <w:top w:val="nil"/>
              <w:left w:val="nil"/>
              <w:bottom w:val="nil"/>
              <w:right w:val="nil"/>
              <w:between w:val="nil"/>
            </w:pBdr>
            <w:tabs>
              <w:tab w:val="left" w:pos="1797"/>
              <w:tab w:val="right" w:pos="9350"/>
            </w:tabs>
            <w:spacing w:line="240" w:lineRule="auto"/>
            <w:ind w:left="1843" w:hanging="709"/>
            <w:rPr>
              <w:rFonts w:ascii="Cambria" w:eastAsia="Cambria" w:hAnsi="Cambria" w:cs="Cambria"/>
              <w:color w:val="000000"/>
            </w:rPr>
          </w:pPr>
          <w:hyperlink w:anchor="_heading=h.3dy6vkm">
            <w:r w:rsidR="00913B65">
              <w:rPr>
                <w:i/>
                <w:color w:val="000000"/>
              </w:rPr>
              <w:t>3.3.1</w:t>
            </w:r>
          </w:hyperlink>
          <w:hyperlink w:anchor="_heading=h.3dy6vkm">
            <w:r w:rsidR="00913B65">
              <w:rPr>
                <w:rFonts w:ascii="Cambria" w:eastAsia="Cambria" w:hAnsi="Cambria" w:cs="Cambria"/>
                <w:color w:val="000000"/>
              </w:rPr>
              <w:tab/>
            </w:r>
          </w:hyperlink>
          <w:r w:rsidR="00913B65">
            <w:fldChar w:fldCharType="begin"/>
          </w:r>
          <w:r w:rsidR="00913B65">
            <w:instrText xml:space="preserve"> PAGEREF _heading=h.3dy6vkm \h </w:instrText>
          </w:r>
          <w:r w:rsidR="00913B65">
            <w:fldChar w:fldCharType="separate"/>
          </w:r>
          <w:r w:rsidR="00913B65">
            <w:rPr>
              <w:i/>
              <w:color w:val="000000"/>
            </w:rPr>
            <w:t>Participation des femmes et des filles</w:t>
          </w:r>
          <w:r w:rsidR="00913B65">
            <w:rPr>
              <w:i/>
              <w:color w:val="000000"/>
            </w:rPr>
            <w:tab/>
            <w:t>19</w:t>
          </w:r>
          <w:r w:rsidR="00913B65">
            <w:fldChar w:fldCharType="end"/>
          </w:r>
        </w:p>
        <w:p w14:paraId="00000022" w14:textId="2F0406AB"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yb2qfijeoacn">
            <w:r w:rsidR="00913B65">
              <w:rPr>
                <w:b/>
                <w:smallCaps/>
                <w:color w:val="000000"/>
              </w:rPr>
              <w:t>4</w:t>
            </w:r>
          </w:hyperlink>
          <w:hyperlink w:anchor="_heading=h.yb2qfijeoacn">
            <w:r w:rsidR="00913B65">
              <w:rPr>
                <w:rFonts w:ascii="Cambria" w:eastAsia="Cambria" w:hAnsi="Cambria" w:cs="Cambria"/>
                <w:color w:val="000000"/>
              </w:rPr>
              <w:tab/>
            </w:r>
          </w:hyperlink>
          <w:r w:rsidR="00913B65">
            <w:fldChar w:fldCharType="begin"/>
          </w:r>
          <w:r w:rsidR="00913B65">
            <w:instrText xml:space="preserve"> PAGEREF _heading=h.yb2qfijeoacn \h </w:instrText>
          </w:r>
          <w:r w:rsidR="00913B65">
            <w:fldChar w:fldCharType="separate"/>
          </w:r>
          <w:r w:rsidR="00913B65">
            <w:rPr>
              <w:b/>
              <w:smallCaps/>
              <w:color w:val="000000"/>
            </w:rPr>
            <w:t>Élaboration de</w:t>
          </w:r>
          <w:r w:rsidR="00551383">
            <w:rPr>
              <w:b/>
              <w:smallCaps/>
              <w:color w:val="000000"/>
            </w:rPr>
            <w:t>s</w:t>
          </w:r>
          <w:r w:rsidR="00913B65">
            <w:rPr>
              <w:b/>
              <w:smallCaps/>
              <w:color w:val="000000"/>
            </w:rPr>
            <w:t xml:space="preserve"> procédures opérationnelles standard</w:t>
          </w:r>
          <w:r w:rsidR="00551383">
            <w:rPr>
              <w:b/>
              <w:smallCaps/>
              <w:color w:val="000000"/>
            </w:rPr>
            <w:t>s</w:t>
          </w:r>
          <w:r w:rsidR="00913B65">
            <w:rPr>
              <w:b/>
              <w:smallCaps/>
              <w:color w:val="000000"/>
            </w:rPr>
            <w:t xml:space="preserve"> en matière de violence basée sur le genre dans les situations d’urgence aiguës</w:t>
          </w:r>
          <w:r w:rsidR="00913B65">
            <w:rPr>
              <w:b/>
              <w:smallCaps/>
              <w:color w:val="000000"/>
            </w:rPr>
            <w:tab/>
            <w:t>20</w:t>
          </w:r>
          <w:r w:rsidR="00913B65">
            <w:fldChar w:fldCharType="end"/>
          </w:r>
        </w:p>
        <w:p w14:paraId="00000023" w14:textId="722F69E2"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1t3h5sf">
            <w:r w:rsidR="00913B65">
              <w:rPr>
                <w:b/>
                <w:smallCaps/>
                <w:color w:val="000000"/>
              </w:rPr>
              <w:t>5</w:t>
            </w:r>
          </w:hyperlink>
          <w:hyperlink w:anchor="_heading=h.1t3h5sf">
            <w:r w:rsidR="00913B65">
              <w:rPr>
                <w:rFonts w:ascii="Cambria" w:eastAsia="Cambria" w:hAnsi="Cambria" w:cs="Cambria"/>
                <w:color w:val="000000"/>
              </w:rPr>
              <w:tab/>
            </w:r>
          </w:hyperlink>
          <w:r w:rsidR="00913B65">
            <w:fldChar w:fldCharType="begin"/>
          </w:r>
          <w:r w:rsidR="00913B65">
            <w:instrText xml:space="preserve"> PAGEREF _heading=h.1t3h5sf \h </w:instrText>
          </w:r>
          <w:r w:rsidR="00913B65">
            <w:fldChar w:fldCharType="separate"/>
          </w:r>
          <w:r w:rsidR="00913B65">
            <w:rPr>
              <w:b/>
              <w:smallCaps/>
              <w:color w:val="000000"/>
            </w:rPr>
            <w:t>Élaboration de</w:t>
          </w:r>
          <w:r w:rsidR="007562C8">
            <w:rPr>
              <w:b/>
              <w:smallCaps/>
              <w:color w:val="000000"/>
            </w:rPr>
            <w:t>s</w:t>
          </w:r>
          <w:r w:rsidR="00913B65">
            <w:rPr>
              <w:b/>
              <w:smallCaps/>
              <w:color w:val="000000"/>
            </w:rPr>
            <w:t xml:space="preserve"> procédures opérationnelles standar</w:t>
          </w:r>
          <w:r w:rsidR="007562C8">
            <w:rPr>
              <w:b/>
              <w:smallCaps/>
              <w:color w:val="000000"/>
            </w:rPr>
            <w:t>ds</w:t>
          </w:r>
          <w:r w:rsidR="00913B65">
            <w:rPr>
              <w:b/>
              <w:smallCaps/>
              <w:color w:val="000000"/>
            </w:rPr>
            <w:t xml:space="preserve"> en matière de violence basée sur le genre dans les </w:t>
          </w:r>
          <w:r w:rsidR="007562C8">
            <w:rPr>
              <w:b/>
              <w:smallCaps/>
              <w:color w:val="000000"/>
            </w:rPr>
            <w:t>situations</w:t>
          </w:r>
          <w:r w:rsidR="00913B65">
            <w:rPr>
              <w:b/>
              <w:smallCaps/>
              <w:color w:val="000000"/>
            </w:rPr>
            <w:t xml:space="preserve"> de réfugiés</w:t>
          </w:r>
          <w:r w:rsidR="00913B65">
            <w:rPr>
              <w:b/>
              <w:smallCaps/>
              <w:color w:val="000000"/>
            </w:rPr>
            <w:tab/>
            <w:t>21</w:t>
          </w:r>
          <w:r w:rsidR="00913B65">
            <w:fldChar w:fldCharType="end"/>
          </w:r>
        </w:p>
        <w:p w14:paraId="00000024" w14:textId="77777777"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bupqdqpcrjpc">
            <w:r w:rsidR="00913B65">
              <w:rPr>
                <w:b/>
                <w:smallCaps/>
                <w:color w:val="000000"/>
              </w:rPr>
              <w:t>6</w:t>
            </w:r>
          </w:hyperlink>
          <w:hyperlink w:anchor="_heading=h.bupqdqpcrjpc">
            <w:r w:rsidR="00913B65">
              <w:rPr>
                <w:rFonts w:ascii="Cambria" w:eastAsia="Cambria" w:hAnsi="Cambria" w:cs="Cambria"/>
                <w:color w:val="000000"/>
              </w:rPr>
              <w:tab/>
            </w:r>
          </w:hyperlink>
          <w:r w:rsidR="00913B65">
            <w:fldChar w:fldCharType="begin"/>
          </w:r>
          <w:r w:rsidR="00913B65">
            <w:instrText xml:space="preserve"> PAGEREF _heading=h.bupqdqpcrjpc \h </w:instrText>
          </w:r>
          <w:r w:rsidR="00913B65">
            <w:fldChar w:fldCharType="separate"/>
          </w:r>
          <w:r w:rsidR="00913B65">
            <w:rPr>
              <w:b/>
              <w:smallCaps/>
              <w:color w:val="000000"/>
            </w:rPr>
            <w:t>Groupes confrontés à une discrimination accrue et à des obstacles à l’accès</w:t>
          </w:r>
          <w:r w:rsidR="00913B65">
            <w:rPr>
              <w:b/>
              <w:smallCaps/>
              <w:color w:val="000000"/>
            </w:rPr>
            <w:tab/>
            <w:t>22</w:t>
          </w:r>
          <w:r w:rsidR="00913B65">
            <w:fldChar w:fldCharType="end"/>
          </w:r>
        </w:p>
        <w:p w14:paraId="00000025"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1ksv4uv">
            <w:r w:rsidR="00913B65">
              <w:rPr>
                <w:color w:val="000000"/>
              </w:rPr>
              <w:t>6.1</w:t>
            </w:r>
          </w:hyperlink>
          <w:hyperlink w:anchor="_heading=h.1ksv4uv">
            <w:r w:rsidR="00913B65">
              <w:rPr>
                <w:rFonts w:ascii="Cambria" w:eastAsia="Cambria" w:hAnsi="Cambria" w:cs="Cambria"/>
                <w:color w:val="000000"/>
              </w:rPr>
              <w:tab/>
            </w:r>
          </w:hyperlink>
          <w:r w:rsidR="00913B65">
            <w:fldChar w:fldCharType="begin"/>
          </w:r>
          <w:r w:rsidR="00913B65">
            <w:instrText xml:space="preserve"> PAGEREF _heading=h.1ksv4uv \h </w:instrText>
          </w:r>
          <w:r w:rsidR="00913B65">
            <w:fldChar w:fldCharType="separate"/>
          </w:r>
          <w:r w:rsidR="00913B65">
            <w:rPr>
              <w:color w:val="000000"/>
            </w:rPr>
            <w:t>Adolescentes</w:t>
          </w:r>
          <w:r w:rsidR="00913B65">
            <w:rPr>
              <w:color w:val="000000"/>
            </w:rPr>
            <w:tab/>
            <w:t>23</w:t>
          </w:r>
          <w:r w:rsidR="00913B65">
            <w:fldChar w:fldCharType="end"/>
          </w:r>
        </w:p>
        <w:p w14:paraId="00000026" w14:textId="65AE575E"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3j2qqm3">
            <w:r w:rsidR="00913B65">
              <w:rPr>
                <w:color w:val="000000"/>
              </w:rPr>
              <w:t>6.2</w:t>
            </w:r>
          </w:hyperlink>
          <w:hyperlink w:anchor="_heading=h.3j2qqm3">
            <w:r w:rsidR="00913B65">
              <w:rPr>
                <w:rFonts w:ascii="Cambria" w:eastAsia="Cambria" w:hAnsi="Cambria" w:cs="Cambria"/>
                <w:color w:val="000000"/>
              </w:rPr>
              <w:tab/>
            </w:r>
          </w:hyperlink>
          <w:r w:rsidR="00913B65">
            <w:fldChar w:fldCharType="begin"/>
          </w:r>
          <w:r w:rsidR="00913B65">
            <w:instrText xml:space="preserve"> PAGEREF _heading=h.3j2qqm3 \h </w:instrText>
          </w:r>
          <w:r w:rsidR="00913B65">
            <w:fldChar w:fldCharType="separate"/>
          </w:r>
          <w:r w:rsidR="00913B65">
            <w:rPr>
              <w:color w:val="000000"/>
            </w:rPr>
            <w:t xml:space="preserve">Femmes et filles </w:t>
          </w:r>
          <w:r w:rsidR="00760750">
            <w:rPr>
              <w:color w:val="000000"/>
            </w:rPr>
            <w:t>vivants avec handicap</w:t>
          </w:r>
          <w:r w:rsidR="00913B65">
            <w:rPr>
              <w:color w:val="000000"/>
            </w:rPr>
            <w:tab/>
            <w:t>23</w:t>
          </w:r>
          <w:r w:rsidR="00913B65">
            <w:fldChar w:fldCharType="end"/>
          </w:r>
        </w:p>
        <w:p w14:paraId="00000027"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qsh70q">
            <w:r w:rsidR="00913B65">
              <w:rPr>
                <w:color w:val="000000"/>
              </w:rPr>
              <w:t>6.3</w:t>
            </w:r>
          </w:hyperlink>
          <w:hyperlink w:anchor="_heading=h.qsh70q">
            <w:r w:rsidR="00913B65">
              <w:rPr>
                <w:rFonts w:ascii="Cambria" w:eastAsia="Cambria" w:hAnsi="Cambria" w:cs="Cambria"/>
                <w:color w:val="000000"/>
              </w:rPr>
              <w:tab/>
            </w:r>
          </w:hyperlink>
          <w:r w:rsidR="00913B65">
            <w:fldChar w:fldCharType="begin"/>
          </w:r>
          <w:r w:rsidR="00913B65">
            <w:instrText xml:space="preserve"> PAGEREF _heading=h.qsh70q \h </w:instrText>
          </w:r>
          <w:r w:rsidR="00913B65">
            <w:fldChar w:fldCharType="separate"/>
          </w:r>
          <w:r w:rsidR="00913B65">
            <w:rPr>
              <w:color w:val="000000"/>
            </w:rPr>
            <w:t>Femmes et filles déplacées de force et apatrides</w:t>
          </w:r>
          <w:r w:rsidR="00913B65">
            <w:rPr>
              <w:color w:val="000000"/>
            </w:rPr>
            <w:tab/>
            <w:t>24</w:t>
          </w:r>
          <w:r w:rsidR="00913B65">
            <w:fldChar w:fldCharType="end"/>
          </w:r>
        </w:p>
        <w:p w14:paraId="00000028"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1pxezwc">
            <w:r w:rsidR="00913B65">
              <w:rPr>
                <w:color w:val="000000"/>
              </w:rPr>
              <w:t>6.4</w:t>
            </w:r>
          </w:hyperlink>
          <w:hyperlink w:anchor="_heading=h.1pxezwc">
            <w:r w:rsidR="00913B65">
              <w:rPr>
                <w:rFonts w:ascii="Cambria" w:eastAsia="Cambria" w:hAnsi="Cambria" w:cs="Cambria"/>
                <w:color w:val="000000"/>
              </w:rPr>
              <w:tab/>
            </w:r>
          </w:hyperlink>
          <w:r w:rsidR="00913B65">
            <w:fldChar w:fldCharType="begin"/>
          </w:r>
          <w:r w:rsidR="00913B65">
            <w:instrText xml:space="preserve"> PAGEREF _heading=h.1pxezwc \h </w:instrText>
          </w:r>
          <w:r w:rsidR="00913B65">
            <w:fldChar w:fldCharType="separate"/>
          </w:r>
          <w:r w:rsidR="00913B65">
            <w:rPr>
              <w:color w:val="000000"/>
            </w:rPr>
            <w:t>Personnes ayant une orientation sexuelle, une identité de genre, une expression de genre et des caractéristiques sexuelles différentes (OSIEGCS)</w:t>
          </w:r>
          <w:r w:rsidR="00913B65">
            <w:rPr>
              <w:color w:val="000000"/>
            </w:rPr>
            <w:tab/>
            <w:t>24</w:t>
          </w:r>
          <w:r w:rsidR="00913B65">
            <w:fldChar w:fldCharType="end"/>
          </w:r>
        </w:p>
        <w:p w14:paraId="00000029" w14:textId="7777777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49x2ik5">
            <w:r w:rsidR="00913B65">
              <w:rPr>
                <w:color w:val="000000"/>
              </w:rPr>
              <w:t>6.5</w:t>
            </w:r>
          </w:hyperlink>
          <w:hyperlink w:anchor="_heading=h.49x2ik5">
            <w:r w:rsidR="00913B65">
              <w:rPr>
                <w:rFonts w:ascii="Cambria" w:eastAsia="Cambria" w:hAnsi="Cambria" w:cs="Cambria"/>
                <w:color w:val="000000"/>
              </w:rPr>
              <w:tab/>
            </w:r>
          </w:hyperlink>
          <w:r w:rsidR="00913B65">
            <w:fldChar w:fldCharType="begin"/>
          </w:r>
          <w:r w:rsidR="00913B65">
            <w:instrText xml:space="preserve"> PAGEREF _heading=h.49x2ik5 \h </w:instrText>
          </w:r>
          <w:r w:rsidR="00913B65">
            <w:fldChar w:fldCharType="separate"/>
          </w:r>
          <w:r w:rsidR="00913B65">
            <w:rPr>
              <w:color w:val="000000"/>
            </w:rPr>
            <w:t>Femmes âgées</w:t>
          </w:r>
          <w:r w:rsidR="00913B65">
            <w:rPr>
              <w:color w:val="000000"/>
            </w:rPr>
            <w:tab/>
            <w:t>24</w:t>
          </w:r>
          <w:r w:rsidR="00913B65">
            <w:fldChar w:fldCharType="end"/>
          </w:r>
        </w:p>
        <w:p w14:paraId="0000002A" w14:textId="4357010D"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2p2csry">
            <w:r w:rsidR="00913B65">
              <w:rPr>
                <w:color w:val="000000"/>
              </w:rPr>
              <w:t>6.6</w:t>
            </w:r>
          </w:hyperlink>
          <w:hyperlink w:anchor="_heading=h.2p2csry">
            <w:r w:rsidR="00913B65">
              <w:rPr>
                <w:rFonts w:ascii="Cambria" w:eastAsia="Cambria" w:hAnsi="Cambria" w:cs="Cambria"/>
                <w:color w:val="000000"/>
              </w:rPr>
              <w:tab/>
            </w:r>
          </w:hyperlink>
          <w:r w:rsidR="00913B65">
            <w:fldChar w:fldCharType="begin"/>
          </w:r>
          <w:r w:rsidR="00913B65">
            <w:instrText xml:space="preserve"> PAGEREF _heading=h.2p2csry \h </w:instrText>
          </w:r>
          <w:r w:rsidR="00913B65">
            <w:fldChar w:fldCharType="separate"/>
          </w:r>
          <w:r w:rsidR="00913B65">
            <w:rPr>
              <w:color w:val="000000"/>
            </w:rPr>
            <w:t xml:space="preserve">Garçons adolescents et hommes adultes </w:t>
          </w:r>
          <w:r w:rsidR="00893C50">
            <w:rPr>
              <w:color w:val="000000"/>
            </w:rPr>
            <w:t>survivan</w:t>
          </w:r>
          <w:r w:rsidR="006341ED">
            <w:rPr>
              <w:color w:val="000000"/>
            </w:rPr>
            <w:t>t</w:t>
          </w:r>
          <w:r w:rsidR="00893C50">
            <w:rPr>
              <w:color w:val="000000"/>
            </w:rPr>
            <w:t>s</w:t>
          </w:r>
          <w:r w:rsidR="00913B65">
            <w:rPr>
              <w:color w:val="000000"/>
            </w:rPr>
            <w:t xml:space="preserve"> </w:t>
          </w:r>
          <w:r w:rsidR="006341ED">
            <w:rPr>
              <w:color w:val="000000"/>
            </w:rPr>
            <w:t xml:space="preserve">de </w:t>
          </w:r>
          <w:r w:rsidR="00913B65">
            <w:rPr>
              <w:color w:val="000000"/>
            </w:rPr>
            <w:t>violences sexuelles</w:t>
          </w:r>
          <w:r w:rsidR="00913B65">
            <w:rPr>
              <w:color w:val="000000"/>
            </w:rPr>
            <w:tab/>
            <w:t>25</w:t>
          </w:r>
          <w:r w:rsidR="00913B65">
            <w:fldChar w:fldCharType="end"/>
          </w:r>
        </w:p>
        <w:p w14:paraId="0000002B" w14:textId="30DEACA7" w:rsidR="005C643C" w:rsidRDefault="00504BA0">
          <w:pPr>
            <w:pBdr>
              <w:top w:val="nil"/>
              <w:left w:val="nil"/>
              <w:bottom w:val="nil"/>
              <w:right w:val="nil"/>
              <w:between w:val="nil"/>
            </w:pBdr>
            <w:tabs>
              <w:tab w:val="left" w:pos="1797"/>
              <w:tab w:val="right" w:pos="9350"/>
            </w:tabs>
            <w:spacing w:line="240" w:lineRule="auto"/>
            <w:ind w:left="1174" w:hanging="454"/>
            <w:rPr>
              <w:rFonts w:ascii="Cambria" w:eastAsia="Cambria" w:hAnsi="Cambria" w:cs="Cambria"/>
              <w:color w:val="000000"/>
            </w:rPr>
          </w:pPr>
          <w:hyperlink w:anchor="_heading=h.147n2zr">
            <w:r w:rsidR="00913B65">
              <w:rPr>
                <w:color w:val="000000"/>
              </w:rPr>
              <w:t>6.7</w:t>
            </w:r>
          </w:hyperlink>
          <w:hyperlink w:anchor="_heading=h.147n2zr">
            <w:r w:rsidR="00913B65">
              <w:rPr>
                <w:rFonts w:ascii="Cambria" w:eastAsia="Cambria" w:hAnsi="Cambria" w:cs="Cambria"/>
                <w:color w:val="000000"/>
              </w:rPr>
              <w:tab/>
            </w:r>
          </w:hyperlink>
          <w:r w:rsidR="00913B65">
            <w:fldChar w:fldCharType="begin"/>
          </w:r>
          <w:r w:rsidR="00913B65">
            <w:instrText xml:space="preserve"> PAGEREF _heading=h.147n2zr \h </w:instrText>
          </w:r>
          <w:r w:rsidR="00913B65">
            <w:fldChar w:fldCharType="separate"/>
          </w:r>
          <w:r w:rsidR="00913B65">
            <w:rPr>
              <w:color w:val="000000"/>
            </w:rPr>
            <w:t xml:space="preserve">Enfants </w:t>
          </w:r>
          <w:r w:rsidR="006341ED">
            <w:rPr>
              <w:color w:val="000000"/>
            </w:rPr>
            <w:t>survivants de</w:t>
          </w:r>
          <w:r w:rsidR="00913B65">
            <w:rPr>
              <w:color w:val="000000"/>
            </w:rPr>
            <w:t xml:space="preserve"> violence basée sur le genre</w:t>
          </w:r>
          <w:r w:rsidR="00913B65">
            <w:rPr>
              <w:color w:val="000000"/>
            </w:rPr>
            <w:tab/>
            <w:t>25</w:t>
          </w:r>
          <w:r w:rsidR="00913B65">
            <w:fldChar w:fldCharType="end"/>
          </w:r>
        </w:p>
        <w:p w14:paraId="0000002C" w14:textId="77777777" w:rsidR="005C643C" w:rsidRDefault="00504BA0">
          <w:pPr>
            <w:pBdr>
              <w:top w:val="nil"/>
              <w:left w:val="nil"/>
              <w:bottom w:val="nil"/>
              <w:right w:val="nil"/>
              <w:between w:val="nil"/>
            </w:pBdr>
            <w:tabs>
              <w:tab w:val="left" w:pos="714"/>
              <w:tab w:val="right" w:pos="9350"/>
            </w:tabs>
            <w:spacing w:before="120" w:after="120" w:line="240" w:lineRule="auto"/>
            <w:ind w:left="714" w:hanging="357"/>
            <w:rPr>
              <w:rFonts w:ascii="Cambria" w:eastAsia="Cambria" w:hAnsi="Cambria" w:cs="Cambria"/>
              <w:color w:val="000000"/>
            </w:rPr>
          </w:pPr>
          <w:hyperlink w:anchor="_heading=h.3o7alnk">
            <w:r w:rsidR="00913B65">
              <w:rPr>
                <w:b/>
                <w:smallCaps/>
                <w:color w:val="000000"/>
              </w:rPr>
              <w:t>7</w:t>
            </w:r>
          </w:hyperlink>
          <w:hyperlink w:anchor="_heading=h.3o7alnk">
            <w:r w:rsidR="00913B65">
              <w:rPr>
                <w:rFonts w:ascii="Cambria" w:eastAsia="Cambria" w:hAnsi="Cambria" w:cs="Cambria"/>
                <w:color w:val="000000"/>
              </w:rPr>
              <w:tab/>
            </w:r>
          </w:hyperlink>
          <w:r w:rsidR="00913B65">
            <w:fldChar w:fldCharType="begin"/>
          </w:r>
          <w:r w:rsidR="00913B65">
            <w:instrText xml:space="preserve"> PAGEREF _heading=h.3o7alnk \h </w:instrText>
          </w:r>
          <w:r w:rsidR="00913B65">
            <w:fldChar w:fldCharType="separate"/>
          </w:r>
          <w:r w:rsidR="00913B65">
            <w:rPr>
              <w:b/>
              <w:smallCaps/>
              <w:color w:val="000000"/>
            </w:rPr>
            <w:t>Directives techniques</w:t>
          </w:r>
          <w:r w:rsidR="00913B65">
            <w:rPr>
              <w:b/>
              <w:smallCaps/>
              <w:color w:val="000000"/>
            </w:rPr>
            <w:tab/>
            <w:t>26</w:t>
          </w:r>
          <w:r w:rsidR="00913B65">
            <w:fldChar w:fldCharType="end"/>
          </w:r>
        </w:p>
        <w:p w14:paraId="0000002D" w14:textId="77777777" w:rsidR="005C643C" w:rsidRDefault="00913B65">
          <w:r>
            <w:fldChar w:fldCharType="end"/>
          </w:r>
        </w:p>
      </w:sdtContent>
    </w:sdt>
    <w:p w14:paraId="0000002E" w14:textId="77777777" w:rsidR="005C643C" w:rsidRDefault="00913B65">
      <w:pPr>
        <w:rPr>
          <w:b/>
          <w:color w:val="0070C0"/>
        </w:rPr>
      </w:pPr>
      <w:r>
        <w:br w:type="page"/>
      </w:r>
    </w:p>
    <w:p w14:paraId="0000002F" w14:textId="77777777" w:rsidR="005C643C" w:rsidRDefault="00913B65">
      <w:pPr>
        <w:pStyle w:val="Heading1"/>
        <w:numPr>
          <w:ilvl w:val="0"/>
          <w:numId w:val="1"/>
        </w:numPr>
      </w:pPr>
      <w:bookmarkStart w:id="1" w:name="bookmark=id.gjdgxs" w:colFirst="0" w:colLast="0"/>
      <w:bookmarkStart w:id="2" w:name="_heading=h.d256kxefe5tr" w:colFirst="0" w:colLast="0"/>
      <w:bookmarkEnd w:id="1"/>
      <w:bookmarkEnd w:id="2"/>
      <w:r>
        <w:lastRenderedPageBreak/>
        <w:t>Introduction</w:t>
      </w:r>
    </w:p>
    <w:p w14:paraId="00000030" w14:textId="0560E869" w:rsidR="005C643C" w:rsidRDefault="00913B65">
      <w:pPr>
        <w:spacing w:before="120" w:after="120"/>
        <w:jc w:val="both"/>
      </w:pPr>
      <w:r>
        <w:t>L’objectif de ce kit de ressources sur les procédures opérationnelles standard</w:t>
      </w:r>
      <w:r w:rsidR="005A39E0">
        <w:t>s</w:t>
      </w:r>
      <w:r>
        <w:t xml:space="preserve"> en matière de violence basée sur le genre est de soutenir l’élaboration de procédures opérationnelles standard</w:t>
      </w:r>
      <w:r w:rsidR="00794955">
        <w:t>s</w:t>
      </w:r>
      <w:r>
        <w:t xml:space="preserve"> (POS) pour les interventions de lutte contre la violence basée sur le genre (VBG) dans les situations humanitaires. </w:t>
      </w:r>
    </w:p>
    <w:p w14:paraId="00000031" w14:textId="126629EA" w:rsidR="005C643C" w:rsidRDefault="00913B65">
      <w:pPr>
        <w:spacing w:before="120" w:after="120"/>
        <w:jc w:val="both"/>
        <w:rPr>
          <w:b/>
        </w:rPr>
      </w:pPr>
      <w:r>
        <w:rPr>
          <w:b/>
        </w:rPr>
        <w:t>Pourquoi élaborer des procédures opérationnelles standard</w:t>
      </w:r>
      <w:r w:rsidR="00725898">
        <w:rPr>
          <w:b/>
        </w:rPr>
        <w:t>s</w:t>
      </w:r>
      <w:r>
        <w:rPr>
          <w:b/>
        </w:rPr>
        <w:t xml:space="preserve"> </w:t>
      </w:r>
      <w:proofErr w:type="spellStart"/>
      <w:r>
        <w:rPr>
          <w:b/>
        </w:rPr>
        <w:t>interorganisations</w:t>
      </w:r>
      <w:proofErr w:type="spellEnd"/>
      <w:r>
        <w:rPr>
          <w:b/>
        </w:rPr>
        <w:t> ?</w:t>
      </w:r>
    </w:p>
    <w:p w14:paraId="00000032" w14:textId="64E5E551" w:rsidR="005C643C" w:rsidRDefault="00913B65">
      <w:pPr>
        <w:spacing w:before="120" w:after="120"/>
        <w:jc w:val="both"/>
      </w:pPr>
      <w:r>
        <w:t>Lorsque plusieurs organisations fournissent des services de prévention</w:t>
      </w:r>
      <w:r w:rsidR="006202D4">
        <w:t xml:space="preserve"> et de réponse</w:t>
      </w:r>
      <w:r>
        <w:t xml:space="preserve">, en matière de VBG dans une situation de crise humanitaire, il est essentiel d’adopter une approche coordonnée. Les POS VBG sont des procédures spécifiques convenues entre les organisations dans un contexte particulier, qui décrivent les rôles et les responsabilités de chaque acteur dans la prévention, l’atténuation des risques et les interventions ciblant la VBG. Les POS VBG aident les acteurs de la lutte contre la VBG et les autres acteurs humanitaires à coordonner et à mettre en œuvre des interventions sûres et accessibles de </w:t>
      </w:r>
      <w:r w:rsidR="00581B73">
        <w:t>prévention, atténuation des risques et réponse à</w:t>
      </w:r>
      <w:r>
        <w:t xml:space="preserve"> la violence basée sur le genre. Les POS VBG peuvent être un outil puissant pour créer un sentiment commun d’appropriation entre les acteurs locaux, nationaux et internationaux, en s’accordant sur des normes éthiques et des cadres juridiques et en décrivant la responsabilité spécifique de chaque acteur.</w:t>
      </w:r>
    </w:p>
    <w:p w14:paraId="00000033" w14:textId="66CC5E61" w:rsidR="005C643C" w:rsidRDefault="00913B65">
      <w:pPr>
        <w:spacing w:before="120" w:after="120"/>
        <w:jc w:val="both"/>
      </w:pPr>
      <w:r>
        <w:t>Les acteurs de lutte contre la VBG dans un contexte donné se réunissent pour élaborer des POS nationales</w:t>
      </w:r>
      <w:r w:rsidR="007654E5">
        <w:t xml:space="preserve"> </w:t>
      </w:r>
      <w:r>
        <w:t xml:space="preserve">ou </w:t>
      </w:r>
      <w:sdt>
        <w:sdtPr>
          <w:tag w:val="goog_rdk_3"/>
          <w:id w:val="2138449461"/>
        </w:sdtPr>
        <w:sdtEndPr/>
        <w:sdtContent>
          <w:r>
            <w:t>locales</w:t>
          </w:r>
        </w:sdtContent>
      </w:sdt>
      <w:r>
        <w:t xml:space="preserve"> uniques dans le domaine de la VBG. Les POS VBG </w:t>
      </w:r>
      <w:sdt>
        <w:sdtPr>
          <w:tag w:val="goog_rdk_5"/>
          <w:id w:val="100614029"/>
        </w:sdtPr>
        <w:sdtEndPr/>
        <w:sdtContent>
          <w:r>
            <w:t>locales</w:t>
          </w:r>
        </w:sdtContent>
      </w:sdt>
      <w:r>
        <w:t xml:space="preserve"> portant sur un contexte physique ou </w:t>
      </w:r>
      <w:r w:rsidR="005069D8">
        <w:t>un lieu spécifique</w:t>
      </w:r>
      <w:r>
        <w:t xml:space="preserve"> doivent être fondées sur le document principal des procédures opérationnelles standard</w:t>
      </w:r>
      <w:r w:rsidR="00B32DBA">
        <w:t>s</w:t>
      </w:r>
      <w:r>
        <w:t xml:space="preserve"> nationales.</w:t>
      </w:r>
    </w:p>
    <w:p w14:paraId="00000034" w14:textId="494D90CB" w:rsidR="005C643C" w:rsidRDefault="00913B65">
      <w:pPr>
        <w:spacing w:before="120" w:after="120"/>
        <w:jc w:val="both"/>
      </w:pPr>
      <w:r>
        <w:t xml:space="preserve">Les organisations individuelles qui fournissent des services de gestion des cas complètent les POS </w:t>
      </w:r>
      <w:proofErr w:type="spellStart"/>
      <w:r>
        <w:t>interorganisations</w:t>
      </w:r>
      <w:proofErr w:type="spellEnd"/>
      <w:r>
        <w:t xml:space="preserve"> par des POS internes de gestion des cas de VBG. Toutefois, il est important de veiller à ce qu’il n’y ait qu’un seul document de procédures opérationnelles standard</w:t>
      </w:r>
      <w:r w:rsidR="00B32DBA">
        <w:t>s</w:t>
      </w:r>
      <w:r>
        <w:t xml:space="preserve"> </w:t>
      </w:r>
      <w:proofErr w:type="spellStart"/>
      <w:r>
        <w:t>interorganisations</w:t>
      </w:r>
      <w:proofErr w:type="spellEnd"/>
      <w:r>
        <w:t xml:space="preserve"> dans chaque contexte, qui définisse les procédures relatives aux services multisectoriels de lutte contre la VBG, y compris les services de gestion des cas de VBG.</w:t>
      </w:r>
    </w:p>
    <w:p w14:paraId="00000035" w14:textId="16EF1220" w:rsidR="005C643C" w:rsidRDefault="00913B65">
      <w:pPr>
        <w:spacing w:before="120" w:after="120"/>
        <w:jc w:val="both"/>
      </w:pPr>
      <w:r>
        <w:t>Le présent kit de ressources sur les procédures opérationnelles standard</w:t>
      </w:r>
      <w:r w:rsidR="00CD2716">
        <w:t>s</w:t>
      </w:r>
      <w:r>
        <w:t xml:space="preserve"> en matière de violence basée sur le genre reflète la nature de plus en plus multisectorielle des interventions en matière de VBG</w:t>
      </w:r>
      <w:r w:rsidR="00E810DD">
        <w:t xml:space="preserve"> </w:t>
      </w:r>
      <w:r>
        <w:t>et aborde les liens entre les secteurs qui vont au-delà de la simple intervention de lutte contre la VBG</w:t>
      </w:r>
      <w:r w:rsidR="00B41048">
        <w:t>,</w:t>
      </w:r>
      <w:r>
        <w:t xml:space="preserve"> et s’orientent vers une programmation </w:t>
      </w:r>
      <w:r w:rsidR="00C81C5A">
        <w:t>exhaustive</w:t>
      </w:r>
      <w:r>
        <w:t xml:space="preserve"> dans le domaine de la VBG. </w:t>
      </w:r>
    </w:p>
    <w:p w14:paraId="00000036" w14:textId="77777777" w:rsidR="005C643C" w:rsidRDefault="005C643C">
      <w:pPr>
        <w:spacing w:before="120" w:after="120"/>
        <w:jc w:val="both"/>
      </w:pPr>
    </w:p>
    <w:p w14:paraId="00000037" w14:textId="77777777" w:rsidR="005C643C" w:rsidRDefault="00913B65">
      <w:pPr>
        <w:spacing w:before="120" w:after="120"/>
        <w:jc w:val="both"/>
        <w:rPr>
          <w:b/>
        </w:rPr>
      </w:pPr>
      <w:r>
        <w:br w:type="page"/>
      </w:r>
    </w:p>
    <w:p w14:paraId="00000038" w14:textId="6C971CCE" w:rsidR="005C643C" w:rsidRDefault="00913B65">
      <w:pPr>
        <w:spacing w:before="120" w:after="240" w:line="228" w:lineRule="auto"/>
        <w:jc w:val="both"/>
        <w:rPr>
          <w:sz w:val="24"/>
          <w:szCs w:val="24"/>
        </w:rPr>
      </w:pPr>
      <w:r>
        <w:rPr>
          <w:b/>
        </w:rPr>
        <w:lastRenderedPageBreak/>
        <w:t>Tableau 1 : Aperçu des procédures opérationnelles standard</w:t>
      </w:r>
      <w:r w:rsidR="00C81C5A">
        <w:rPr>
          <w:b/>
        </w:rPr>
        <w:t>s</w:t>
      </w:r>
      <w:r>
        <w:rPr>
          <w:b/>
        </w:rPr>
        <w:t xml:space="preserve"> en matière de violence basée sur le genre </w:t>
      </w:r>
    </w:p>
    <w:tbl>
      <w:tblPr>
        <w:tblW w:w="912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66"/>
        <w:gridCol w:w="7854"/>
      </w:tblGrid>
      <w:tr w:rsidR="005C643C" w14:paraId="2240F72B" w14:textId="77777777">
        <w:trPr>
          <w:trHeight w:val="437"/>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9" w14:textId="77777777" w:rsidR="005C643C" w:rsidRDefault="00913B65">
            <w:pPr>
              <w:spacing w:before="120" w:after="120"/>
              <w:jc w:val="both"/>
              <w:rPr>
                <w:b/>
              </w:rPr>
            </w:pPr>
            <w:r>
              <w:rPr>
                <w:b/>
              </w:rPr>
              <w:t>Quoi</w:t>
            </w:r>
          </w:p>
        </w:tc>
        <w:tc>
          <w:tcPr>
            <w:tcW w:w="785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03A" w14:textId="77777777" w:rsidR="005C643C" w:rsidRDefault="00913B65">
            <w:pPr>
              <w:spacing w:before="120" w:after="120"/>
              <w:jc w:val="both"/>
            </w:pPr>
            <w:r>
              <w:t>Procédures opérationnelles standard pour les interventions de lutte contre la violence basée sur le genre (POS VBG)</w:t>
            </w:r>
          </w:p>
        </w:tc>
      </w:tr>
      <w:tr w:rsidR="005C643C" w14:paraId="36447C63" w14:textId="77777777">
        <w:trPr>
          <w:trHeight w:val="1077"/>
        </w:trPr>
        <w:tc>
          <w:tcPr>
            <w:tcW w:w="126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3B" w14:textId="77777777" w:rsidR="005C643C" w:rsidRDefault="00913B65">
            <w:pPr>
              <w:spacing w:before="120" w:after="120"/>
              <w:jc w:val="both"/>
              <w:rPr>
                <w:b/>
              </w:rPr>
            </w:pPr>
            <w:r>
              <w:rPr>
                <w:b/>
              </w:rPr>
              <w:t>Qui</w:t>
            </w:r>
          </w:p>
        </w:tc>
        <w:tc>
          <w:tcPr>
            <w:tcW w:w="7854" w:type="dxa"/>
            <w:tcBorders>
              <w:bottom w:val="single" w:sz="8" w:space="0" w:color="000000"/>
              <w:right w:val="single" w:sz="8" w:space="0" w:color="000000"/>
            </w:tcBorders>
            <w:tcMar>
              <w:top w:w="100" w:type="dxa"/>
              <w:left w:w="100" w:type="dxa"/>
              <w:bottom w:w="100" w:type="dxa"/>
              <w:right w:w="100" w:type="dxa"/>
            </w:tcMar>
          </w:tcPr>
          <w:p w14:paraId="0000003C" w14:textId="1165A526" w:rsidR="005C643C" w:rsidRDefault="00913B65">
            <w:pPr>
              <w:spacing w:before="120" w:after="120"/>
              <w:jc w:val="both"/>
            </w:pPr>
            <w:r>
              <w:t>Coord</w:t>
            </w:r>
            <w:r w:rsidR="00F71CAE">
              <w:t>i</w:t>
            </w:r>
            <w:r>
              <w:t xml:space="preserve">nateurs de la lutte contre la VBG, membres du groupe de coordination de la lutte contre la VBG </w:t>
            </w:r>
            <w:sdt>
              <w:sdtPr>
                <w:tag w:val="goog_rdk_8"/>
                <w:id w:val="1179935146"/>
              </w:sdtPr>
              <w:sdtEndPr/>
              <w:sdtContent>
                <w:r>
                  <w:t>et</w:t>
                </w:r>
              </w:sdtContent>
            </w:sdt>
            <w:r>
              <w:t xml:space="preserve"> acteurs et secteurs extérieurs à la lutte contre la VBG. Voir la section 3.3 pour une liste complète des acteurs pouvant participer au processus d’élaboration des POS VBG.</w:t>
            </w:r>
          </w:p>
        </w:tc>
      </w:tr>
      <w:tr w:rsidR="005C643C" w14:paraId="7C64B49B" w14:textId="77777777">
        <w:trPr>
          <w:trHeight w:val="1065"/>
        </w:trPr>
        <w:tc>
          <w:tcPr>
            <w:tcW w:w="126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3D" w14:textId="77777777" w:rsidR="005C643C" w:rsidRDefault="00913B65">
            <w:pPr>
              <w:spacing w:before="120" w:after="120"/>
              <w:jc w:val="both"/>
              <w:rPr>
                <w:b/>
              </w:rPr>
            </w:pPr>
            <w:r>
              <w:rPr>
                <w:b/>
              </w:rPr>
              <w:t>Quand</w:t>
            </w:r>
          </w:p>
        </w:tc>
        <w:tc>
          <w:tcPr>
            <w:tcW w:w="7854" w:type="dxa"/>
            <w:tcBorders>
              <w:bottom w:val="single" w:sz="8" w:space="0" w:color="000000"/>
              <w:right w:val="single" w:sz="8" w:space="0" w:color="000000"/>
            </w:tcBorders>
            <w:tcMar>
              <w:top w:w="100" w:type="dxa"/>
              <w:left w:w="100" w:type="dxa"/>
              <w:bottom w:w="100" w:type="dxa"/>
              <w:right w:w="100" w:type="dxa"/>
            </w:tcMar>
          </w:tcPr>
          <w:p w14:paraId="0000003E" w14:textId="60B0A089" w:rsidR="005C643C" w:rsidRDefault="00913B65">
            <w:pPr>
              <w:spacing w:before="120" w:after="120"/>
              <w:jc w:val="both"/>
            </w:pPr>
            <w:r>
              <w:t>Dès que possible dans une situation d’urgence ; en tant que pratique courante standard dans toutes les situations d’urgence humanitaire ; lorsque le contexte change dans les situations de développement ; dans le cadre de la planification de la préparation</w:t>
            </w:r>
            <w:r w:rsidR="00BD239C">
              <w:t xml:space="preserve"> (</w:t>
            </w:r>
            <w:proofErr w:type="spellStart"/>
            <w:r w:rsidR="00BD239C">
              <w:t>prepardness</w:t>
            </w:r>
            <w:proofErr w:type="spellEnd"/>
            <w:r w:rsidR="00BD239C">
              <w:t>)</w:t>
            </w:r>
            <w:r>
              <w:t>, si possible.</w:t>
            </w:r>
          </w:p>
        </w:tc>
      </w:tr>
      <w:tr w:rsidR="005C643C" w14:paraId="3E71ABEC" w14:textId="77777777">
        <w:trPr>
          <w:trHeight w:val="780"/>
        </w:trPr>
        <w:tc>
          <w:tcPr>
            <w:tcW w:w="126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3F" w14:textId="77777777" w:rsidR="005C643C" w:rsidRDefault="00913B65">
            <w:pPr>
              <w:spacing w:before="120" w:after="120"/>
              <w:jc w:val="both"/>
              <w:rPr>
                <w:b/>
              </w:rPr>
            </w:pPr>
            <w:r>
              <w:rPr>
                <w:b/>
              </w:rPr>
              <w:t>Pourquoi</w:t>
            </w:r>
          </w:p>
        </w:tc>
        <w:tc>
          <w:tcPr>
            <w:tcW w:w="7854" w:type="dxa"/>
            <w:tcBorders>
              <w:bottom w:val="single" w:sz="8" w:space="0" w:color="000000"/>
              <w:right w:val="single" w:sz="8" w:space="0" w:color="000000"/>
            </w:tcBorders>
            <w:tcMar>
              <w:top w:w="100" w:type="dxa"/>
              <w:left w:w="100" w:type="dxa"/>
              <w:bottom w:w="100" w:type="dxa"/>
              <w:right w:w="100" w:type="dxa"/>
            </w:tcMar>
          </w:tcPr>
          <w:p w14:paraId="00000040" w14:textId="4097FBFF" w:rsidR="005C643C" w:rsidRDefault="00913B65">
            <w:pPr>
              <w:spacing w:before="120" w:after="120"/>
              <w:jc w:val="both"/>
            </w:pPr>
            <w:r>
              <w:t xml:space="preserve">Des efforts coordonnés sont essentiels pour promouvoir des services sûrs et accessibles en matière de VBG, ainsi que pour prévenir et atténuer </w:t>
            </w:r>
            <w:r w:rsidR="00615AFF">
              <w:t>le</w:t>
            </w:r>
            <w:r w:rsidR="00504BA0">
              <w:t>s</w:t>
            </w:r>
            <w:r w:rsidR="00615AFF">
              <w:t xml:space="preserve"> risque</w:t>
            </w:r>
            <w:r w:rsidR="00504BA0">
              <w:t>s</w:t>
            </w:r>
            <w:r>
              <w:t xml:space="preserve"> de VBG.</w:t>
            </w:r>
          </w:p>
        </w:tc>
      </w:tr>
      <w:tr w:rsidR="005C643C" w14:paraId="37CC04B2" w14:textId="77777777">
        <w:trPr>
          <w:trHeight w:val="1920"/>
        </w:trPr>
        <w:tc>
          <w:tcPr>
            <w:tcW w:w="126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5C643C" w:rsidRDefault="00913B65">
            <w:pPr>
              <w:spacing w:before="120" w:after="120"/>
              <w:jc w:val="both"/>
              <w:rPr>
                <w:b/>
              </w:rPr>
            </w:pPr>
            <w:r>
              <w:rPr>
                <w:b/>
              </w:rPr>
              <w:t>Où</w:t>
            </w:r>
          </w:p>
        </w:tc>
        <w:tc>
          <w:tcPr>
            <w:tcW w:w="7854" w:type="dxa"/>
            <w:tcBorders>
              <w:bottom w:val="single" w:sz="8" w:space="0" w:color="000000"/>
              <w:right w:val="single" w:sz="8" w:space="0" w:color="000000"/>
            </w:tcBorders>
            <w:tcMar>
              <w:top w:w="100" w:type="dxa"/>
              <w:left w:w="100" w:type="dxa"/>
              <w:bottom w:w="100" w:type="dxa"/>
              <w:right w:w="100" w:type="dxa"/>
            </w:tcMar>
          </w:tcPr>
          <w:p w14:paraId="00000042" w14:textId="05147626" w:rsidR="005C643C" w:rsidRDefault="00913B65">
            <w:pPr>
              <w:spacing w:before="120" w:after="120"/>
              <w:jc w:val="both"/>
            </w:pPr>
            <w:r>
              <w:t>Dans toutes les situations humanitaires dans lesquelles des programmes de lutte contre la violence basée sur le genre sont mis en œuvre, y compris dans les contextes impliquant des réfugiés, des personnes déplacées</w:t>
            </w:r>
            <w:sdt>
              <w:sdtPr>
                <w:tag w:val="goog_rdk_10"/>
                <w:id w:val="1404721694"/>
              </w:sdtPr>
              <w:sdtEndPr/>
              <w:sdtContent>
                <w:r>
                  <w:t xml:space="preserve"> internes</w:t>
                </w:r>
              </w:sdtContent>
            </w:sdt>
            <w:r>
              <w:t>, des migrants et dans les contextes mixtes. Dans les contextes « nexus »</w:t>
            </w:r>
            <w:r w:rsidR="00BE0190">
              <w:t xml:space="preserve"> </w:t>
            </w:r>
            <w:r>
              <w:t>et de développement, lorsque les cadres, les plans d’action et les procédures existants ne couvrent pas de manière adéquate les besoins des survivantes et des personnes exposées au</w:t>
            </w:r>
            <w:r w:rsidR="00BE0190">
              <w:t>x</w:t>
            </w:r>
            <w:r>
              <w:t xml:space="preserve"> risque</w:t>
            </w:r>
            <w:r w:rsidR="00BE0190">
              <w:t>s</w:t>
            </w:r>
            <w:r>
              <w:t xml:space="preserve"> de VBG parmi les personnes touchées</w:t>
            </w:r>
            <w:sdt>
              <w:sdtPr>
                <w:tag w:val="goog_rdk_12"/>
                <w:id w:val="-1820268506"/>
              </w:sdtPr>
              <w:sdtEndPr/>
              <w:sdtContent>
                <w:r>
                  <w:t xml:space="preserve"> par la situation humanitaire</w:t>
                </w:r>
              </w:sdtContent>
            </w:sdt>
            <w:r>
              <w:t xml:space="preserve">, il convient d’identifier en premier lieu les processus et procédures existants afin de les harmoniser et d’éviter les </w:t>
            </w:r>
            <w:r w:rsidR="00EE4D40">
              <w:t>duplications</w:t>
            </w:r>
            <w:r>
              <w:t xml:space="preserve">. </w:t>
            </w:r>
          </w:p>
        </w:tc>
      </w:tr>
    </w:tbl>
    <w:p w14:paraId="00000043" w14:textId="77777777" w:rsidR="005C643C" w:rsidRDefault="00913B65">
      <w:pPr>
        <w:spacing w:before="120" w:after="120"/>
        <w:jc w:val="both"/>
      </w:pPr>
      <w:r>
        <w:t>Quelles sont les nouveautés de la version actualisée du kit de ressources sur les procédures opérationnelles standard en matière de violence basée sur le genre ?</w:t>
      </w:r>
    </w:p>
    <w:p w14:paraId="00000044" w14:textId="2465EACB" w:rsidR="005C643C" w:rsidRDefault="00913B65">
      <w:pPr>
        <w:numPr>
          <w:ilvl w:val="0"/>
          <w:numId w:val="8"/>
        </w:numPr>
        <w:spacing w:before="120" w:after="120"/>
        <w:jc w:val="both"/>
      </w:pPr>
      <w:r>
        <w:t xml:space="preserve">Ce kit de ressources sur les POS VBG est destiné à être utilisé dans tout un éventail de contextes d’intervention humanitaire, notamment ceux qui </w:t>
      </w:r>
      <w:r>
        <w:rPr>
          <w:b/>
        </w:rPr>
        <w:t xml:space="preserve">soutiennent les réfugiés, les personnes déplacées </w:t>
      </w:r>
      <w:sdt>
        <w:sdtPr>
          <w:tag w:val="goog_rdk_13"/>
          <w:id w:val="1371112455"/>
        </w:sdtPr>
        <w:sdtEndPr/>
        <w:sdtContent>
          <w:r>
            <w:rPr>
              <w:b/>
            </w:rPr>
            <w:t xml:space="preserve">internes </w:t>
          </w:r>
        </w:sdtContent>
      </w:sdt>
      <w:r>
        <w:rPr>
          <w:b/>
        </w:rPr>
        <w:t>(PDI), les apatrides et les populations mixtes</w:t>
      </w:r>
      <w:r>
        <w:t>. Bien qu’il se concentre sur les situations humanitaires, son contenu peut être utilisé dans des contextes conjuguant interventions humanitaires et interventions de développement.</w:t>
      </w:r>
    </w:p>
    <w:p w14:paraId="00000045" w14:textId="77777777" w:rsidR="005C643C" w:rsidRDefault="00913B65">
      <w:pPr>
        <w:numPr>
          <w:ilvl w:val="0"/>
          <w:numId w:val="8"/>
        </w:numPr>
        <w:spacing w:before="120" w:after="120"/>
        <w:jc w:val="both"/>
      </w:pPr>
      <w:r>
        <w:t xml:space="preserve">Il comprend des sections sur l’atténuation des risques, la préparation et la coordination. Celles-ci y sont incluses pour décrire les attentes et les engagements des différents acteurs. Le processus d’élaboration des POS VBG est l’occasion de s’assurer que </w:t>
      </w:r>
      <w:r>
        <w:lastRenderedPageBreak/>
        <w:t xml:space="preserve">l’ensemble des acteurs et des parties prenantes sont informés des mécanismes de coordination, des ressources disponibles et des responsabilités. </w:t>
      </w:r>
    </w:p>
    <w:p w14:paraId="00000046" w14:textId="77777777" w:rsidR="005C643C" w:rsidRDefault="00913B65">
      <w:pPr>
        <w:spacing w:before="120" w:after="120"/>
        <w:jc w:val="both"/>
      </w:pPr>
      <w:r>
        <w:t xml:space="preserve">Le kit de ressources sur les POS VBG n’est pas un manuel pratique pour tous les programmes de lutte contre la VBG. Il doit plutôt être utilisé en complément des ressources techniques existantes. Chaque section du modèle comprend des références à des ressources techniques pertinentes. </w:t>
      </w:r>
    </w:p>
    <w:p w14:paraId="00000047" w14:textId="2B0D977C" w:rsidR="005C643C" w:rsidRDefault="00913B65">
      <w:pPr>
        <w:spacing w:before="120" w:after="120"/>
        <w:jc w:val="both"/>
        <w:rPr>
          <w:sz w:val="24"/>
          <w:szCs w:val="24"/>
        </w:rPr>
      </w:pPr>
      <w:r>
        <w:t xml:space="preserve">Pour que les POS VBG restent </w:t>
      </w:r>
      <w:r w:rsidR="00207524">
        <w:t>accessibles et conviviaux</w:t>
      </w:r>
      <w:r>
        <w:t xml:space="preserve">, les informations contenues dans le document doivent être réduites au minimum. Par exemple, si le groupe de coordination de la lutte contre la VBG a rédigé un mandat et un plan de travail, il est préférable de fournir un lien vers ces documents dans les POS VBG plutôt que d’en inclure le texte intégral. </w:t>
      </w:r>
    </w:p>
    <w:p w14:paraId="00000048" w14:textId="77777777" w:rsidR="005C643C" w:rsidRDefault="00913B65">
      <w:pPr>
        <w:spacing w:before="120" w:after="120"/>
        <w:jc w:val="both"/>
        <w:rPr>
          <w:sz w:val="24"/>
          <w:szCs w:val="24"/>
        </w:rPr>
      </w:pPr>
      <w:r>
        <w:t>Les POS VBG placent les femmes et les filles au centre, en réponse à l’inégalité et à la discrimination structurelles et systémiques qui les exposent à un risque plus élevé de VBG et les empêchent d’avoir un accès sûr et équitable à l’aide humanitaire. C’est pourquoi les POS VBG utilisent des pronoms féminins, sauf dans les sections qui s’appliquent spécifiquement aux hommes et aux garçons.</w:t>
      </w:r>
    </w:p>
    <w:p w14:paraId="00000049" w14:textId="77777777" w:rsidR="005C643C" w:rsidRDefault="00913B65">
      <w:pPr>
        <w:pStyle w:val="Heading1"/>
        <w:numPr>
          <w:ilvl w:val="0"/>
          <w:numId w:val="1"/>
        </w:numPr>
      </w:pPr>
      <w:bookmarkStart w:id="3" w:name="_heading=h.hk1ov7kz9l4g" w:colFirst="0" w:colLast="0"/>
      <w:bookmarkEnd w:id="3"/>
      <w:r>
        <w:t>Comment utiliser le kit de ressources sur les POS VBG</w:t>
      </w:r>
    </w:p>
    <w:p w14:paraId="0000004A" w14:textId="733048E4" w:rsidR="005C643C" w:rsidRDefault="00913B65">
      <w:pPr>
        <w:spacing w:before="120" w:after="120"/>
        <w:jc w:val="both"/>
      </w:pPr>
      <w:bookmarkStart w:id="4" w:name="_heading=h.2s8eyo1" w:colFirst="0" w:colLast="0"/>
      <w:bookmarkEnd w:id="4"/>
      <w:r>
        <w:t xml:space="preserve">Ce kit de ressources sur les POS VBG se divise en trois </w:t>
      </w:r>
      <w:r w:rsidR="00207524">
        <w:t>parties :</w:t>
      </w:r>
      <w:r>
        <w:t xml:space="preserve"> </w:t>
      </w:r>
    </w:p>
    <w:p w14:paraId="0000004B" w14:textId="77777777" w:rsidR="005C643C" w:rsidRDefault="00913B65">
      <w:pPr>
        <w:spacing w:before="120" w:after="120"/>
        <w:jc w:val="both"/>
      </w:pPr>
      <w:bookmarkStart w:id="5" w:name="_heading=h.4zk254l71jvb" w:colFirst="0" w:colLast="0"/>
      <w:bookmarkEnd w:id="5"/>
      <w:r>
        <w:t>La</w:t>
      </w:r>
      <w:r>
        <w:rPr>
          <w:b/>
        </w:rPr>
        <w:t xml:space="preserve"> partie 1</w:t>
      </w:r>
      <w:r>
        <w:t xml:space="preserve">, le </w:t>
      </w:r>
      <w:r>
        <w:rPr>
          <w:b/>
        </w:rPr>
        <w:t>guide d’élaboration des POS VBG</w:t>
      </w:r>
      <w:r>
        <w:t>, présente une vue d’ensemble du processus d’élaboration ou de révision des procédures opérationnelles standard en matière de violence basée sur le genre, ainsi que les aspects essentiels à prendre en compte à chaque phase de l’élaboration.</w:t>
      </w:r>
    </w:p>
    <w:p w14:paraId="0000004C" w14:textId="77777777" w:rsidR="005C643C" w:rsidRDefault="00913B65">
      <w:pPr>
        <w:spacing w:before="120" w:after="120"/>
        <w:jc w:val="both"/>
      </w:pPr>
      <w:r>
        <w:t xml:space="preserve">La </w:t>
      </w:r>
      <w:r>
        <w:rPr>
          <w:b/>
        </w:rPr>
        <w:t>partie 2</w:t>
      </w:r>
      <w:r>
        <w:t xml:space="preserve"> est le </w:t>
      </w:r>
      <w:r>
        <w:rPr>
          <w:b/>
        </w:rPr>
        <w:t>modèle de POS VBG</w:t>
      </w:r>
      <w:r>
        <w:t>. Il s’agit du document principal à compléter et à replacer dans le contexte pertinent.</w:t>
      </w:r>
    </w:p>
    <w:p w14:paraId="0000004D" w14:textId="77777777" w:rsidR="005C643C" w:rsidRDefault="00913B65">
      <w:pPr>
        <w:spacing w:before="120" w:after="120"/>
        <w:jc w:val="both"/>
        <w:rPr>
          <w:b/>
        </w:rPr>
      </w:pPr>
      <w:r>
        <w:t xml:space="preserve">La </w:t>
      </w:r>
      <w:r>
        <w:rPr>
          <w:b/>
        </w:rPr>
        <w:t>partie 3</w:t>
      </w:r>
      <w:r>
        <w:t xml:space="preserve">, les </w:t>
      </w:r>
      <w:r>
        <w:rPr>
          <w:b/>
        </w:rPr>
        <w:t>annexes</w:t>
      </w:r>
      <w:r>
        <w:t>, comprend des formulaires et des indications destinés à appuyer l’élaboration des procédures opérationnelles standard en matière de violence basée sur le genre et la programmation dans ce domaine. Ces parties doivent être complétées (par exemple, le plan de travail des POS VBG), adaptées (par exemple, les formulaires) ou supprimées, le cas échéant.</w:t>
      </w:r>
    </w:p>
    <w:p w14:paraId="0000004E" w14:textId="77777777" w:rsidR="005C643C" w:rsidRDefault="00913B65">
      <w:pPr>
        <w:pStyle w:val="Heading1"/>
        <w:numPr>
          <w:ilvl w:val="0"/>
          <w:numId w:val="1"/>
        </w:numPr>
      </w:pPr>
      <w:bookmarkStart w:id="6" w:name="_heading=h.khc6lk9jjxqx" w:colFirst="0" w:colLast="0"/>
      <w:bookmarkEnd w:id="6"/>
      <w:r>
        <w:t xml:space="preserve">Comment élaborer des POS </w:t>
      </w:r>
      <w:proofErr w:type="spellStart"/>
      <w:r>
        <w:t>interorganisations</w:t>
      </w:r>
      <w:proofErr w:type="spellEnd"/>
      <w:r>
        <w:t xml:space="preserve"> en matière de VBG</w:t>
      </w:r>
    </w:p>
    <w:p w14:paraId="0000004F" w14:textId="2C0FB5B7" w:rsidR="005C643C" w:rsidRDefault="00913B65">
      <w:pPr>
        <w:spacing w:before="120" w:after="120"/>
        <w:jc w:val="both"/>
      </w:pPr>
      <w:r>
        <w:t xml:space="preserve">L’élaboration des POS VBG exige une collaboration, une coordination, des échanges </w:t>
      </w:r>
      <w:proofErr w:type="spellStart"/>
      <w:r>
        <w:t>interorganisationnels</w:t>
      </w:r>
      <w:proofErr w:type="spellEnd"/>
      <w:r>
        <w:t xml:space="preserve"> et intersectoriels,</w:t>
      </w:r>
      <w:sdt>
        <w:sdtPr>
          <w:tag w:val="goog_rdk_15"/>
          <w:id w:val="212781110"/>
        </w:sdtPr>
        <w:sdtEndPr/>
        <w:sdtContent>
          <w:r>
            <w:t xml:space="preserve"> des négociations </w:t>
          </w:r>
        </w:sdtContent>
      </w:sdt>
      <w:r>
        <w:t xml:space="preserve"> ainsi que la participation de la communauté</w:t>
      </w:r>
      <w:sdt>
        <w:sdtPr>
          <w:tag w:val="goog_rdk_16"/>
          <w:id w:val="631452197"/>
        </w:sdtPr>
        <w:sdtEndPr/>
        <w:sdtContent>
          <w:r>
            <w:t xml:space="preserve">. </w:t>
          </w:r>
        </w:sdtContent>
      </w:sdt>
      <w:sdt>
        <w:sdtPr>
          <w:tag w:val="goog_rdk_17"/>
          <w:id w:val="364180017"/>
          <w:showingPlcHdr/>
        </w:sdtPr>
        <w:sdtEndPr/>
        <w:sdtContent>
          <w:r w:rsidR="00646998">
            <w:t xml:space="preserve">     </w:t>
          </w:r>
        </w:sdtContent>
      </w:sdt>
      <w:r>
        <w:t xml:space="preserve">. L’objectif d’un processus collaboratif est de permettre à tous les participants de mieux comprendre comment répondre à la violence basée sur le genre, l’atténuer et la prévenir dans un contexte particulier, convenir de procédures communes et créer un sentiment d’appropriation. Le </w:t>
      </w:r>
      <w:r>
        <w:rPr>
          <w:b/>
        </w:rPr>
        <w:t>processus</w:t>
      </w:r>
      <w:r>
        <w:t xml:space="preserve"> d’élaboration des POS est donc une intervention importante.</w:t>
      </w:r>
    </w:p>
    <w:p w14:paraId="00000050" w14:textId="77777777" w:rsidR="005C643C" w:rsidRDefault="00913B65">
      <w:pPr>
        <w:pStyle w:val="Heading2"/>
        <w:numPr>
          <w:ilvl w:val="1"/>
          <w:numId w:val="1"/>
        </w:numPr>
      </w:pPr>
      <w:bookmarkStart w:id="7" w:name="_heading=h.bipjxmszpw9h" w:colFirst="0" w:colLast="0"/>
      <w:bookmarkEnd w:id="7"/>
      <w:r>
        <w:t xml:space="preserve">Leadership et coordination de l’élaboration de POS VBG </w:t>
      </w:r>
    </w:p>
    <w:p w14:paraId="00000051" w14:textId="77777777" w:rsidR="005C643C" w:rsidRDefault="00913B65">
      <w:pPr>
        <w:spacing w:before="120" w:after="120"/>
        <w:jc w:val="both"/>
      </w:pPr>
      <w:r>
        <w:t xml:space="preserve">Le(s) coordonnateur(s) de la lutte contre la VBG (ou la ou les personnes assurant cette fonction) est (sont) responsable(s) d’initier l’élaboration des POS VBG au nom du mécanisme de </w:t>
      </w:r>
      <w:r>
        <w:lastRenderedPageBreak/>
        <w:t xml:space="preserve">coordination de la lutte contre la VBG et de ses membres, de gérer les négociations et les révisions des POS VBG et d’en suivre le fonctionnement au fil du temps. </w:t>
      </w:r>
    </w:p>
    <w:p w14:paraId="00000052" w14:textId="0B1AC2FB" w:rsidR="005C643C" w:rsidRDefault="00913B65">
      <w:pPr>
        <w:spacing w:before="120" w:after="120"/>
        <w:jc w:val="both"/>
        <w:rPr>
          <w:highlight w:val="white"/>
        </w:rPr>
      </w:pPr>
      <w:r>
        <w:rPr>
          <w:highlight w:val="white"/>
        </w:rPr>
        <w:t xml:space="preserve">Le FNUAP est l’organisme principal du Domaine de Responsabilité sur la VBG (GBV AoR), au sein du Global Protection Cluster dirigé par le HCR, dans le cadre de la structure de coordination du Comité </w:t>
      </w:r>
      <w:r w:rsidR="00FC3310">
        <w:rPr>
          <w:highlight w:val="white"/>
        </w:rPr>
        <w:t>P</w:t>
      </w:r>
      <w:r>
        <w:rPr>
          <w:highlight w:val="white"/>
        </w:rPr>
        <w:t xml:space="preserve">ermanent </w:t>
      </w:r>
      <w:proofErr w:type="spellStart"/>
      <w:r w:rsidR="00FC3310">
        <w:rPr>
          <w:highlight w:val="white"/>
        </w:rPr>
        <w:t>I</w:t>
      </w:r>
      <w:r>
        <w:rPr>
          <w:highlight w:val="white"/>
        </w:rPr>
        <w:t>nterorganisations</w:t>
      </w:r>
      <w:proofErr w:type="spellEnd"/>
      <w:r>
        <w:rPr>
          <w:highlight w:val="white"/>
        </w:rPr>
        <w:t xml:space="preserve"> (CPI). Le HCR conduit la mise en œuvre du modèle de coordination des réfugiés dans les camps de réfugiés, en collaboration avec les autorités nationales (voir à ce sujet la section 9 du modèle de POS). Les modalités de coordination pour les contextes mixtes sont définies dans la</w:t>
      </w:r>
      <w:hyperlink r:id="rId11">
        <w:r>
          <w:rPr>
            <w:color w:val="0000FF"/>
          </w:rPr>
          <w:t xml:space="preserve"> Note conjointe sur les situations mixtes</w:t>
        </w:r>
      </w:hyperlink>
      <w:hyperlink r:id="rId12">
        <w:r>
          <w:rPr>
            <w:highlight w:val="white"/>
          </w:rPr>
          <w:t>.</w:t>
        </w:r>
      </w:hyperlink>
    </w:p>
    <w:p w14:paraId="00000053" w14:textId="77777777" w:rsidR="005C643C" w:rsidRDefault="00913B65">
      <w:pPr>
        <w:spacing w:before="120" w:after="120"/>
        <w:jc w:val="both"/>
      </w:pPr>
      <w:r>
        <w:t xml:space="preserve">S’il n’existe pas de système opérationnel de coordination de la lutte contre la VBG dans le contexte, les acteurs de la lutte contre la VBG peuvent lancer le processus d’élaboration des POS VBG. Un groupe d’organismes et/ou d’organisations axés sur la prestation de services de lutte contre la VBG peut se former avant qu’un « organe de coordination » en matière de VBG ne soit officiellement désigné, en particulier au début d’une situation d’urgence. </w:t>
      </w:r>
    </w:p>
    <w:p w14:paraId="00000054" w14:textId="57DF3C91" w:rsidR="005C643C" w:rsidRDefault="00913B65">
      <w:pPr>
        <w:spacing w:before="120" w:after="120"/>
        <w:jc w:val="both"/>
      </w:pPr>
      <w:r>
        <w:t xml:space="preserve">Lorsqu’il existe un mécanisme de coordination national avec des structures locales décentralisées, il convient d’envisager l’élaboration d’un ensemble de procédures opérationnelles standard en matière de VBG au niveau national, puis de contextualiser les parcours d’orientation locaux dans chaque lieu au niveau </w:t>
      </w:r>
      <w:sdt>
        <w:sdtPr>
          <w:tag w:val="goog_rdk_18"/>
          <w:id w:val="-1290970100"/>
        </w:sdtPr>
        <w:sdtEndPr/>
        <w:sdtContent>
          <w:r>
            <w:t>local</w:t>
          </w:r>
        </w:sdtContent>
      </w:sdt>
      <w:r>
        <w:t xml:space="preserve">. Dans ce cas, il est important que les coordonnateurs de la lutte contre la VBG fassent participer des structures décentralisées et des acteurs locaux de l’action humanitaire et du développement à la rédaction des POS VBG nationales. Dans certains cas, les contextes </w:t>
      </w:r>
      <w:sdt>
        <w:sdtPr>
          <w:tag w:val="goog_rdk_21"/>
          <w:id w:val="2105614891"/>
        </w:sdtPr>
        <w:sdtEndPr/>
        <w:sdtContent>
          <w:r>
            <w:t>infranationaux</w:t>
          </w:r>
        </w:sdtContent>
      </w:sdt>
      <w:r>
        <w:t xml:space="preserve"> peuvent être suffisamment différents pour nécessiter leurs propres procédures opérationnelles standard en matière de lutte contre la violence basée sur le genre.</w:t>
      </w:r>
    </w:p>
    <w:p w14:paraId="00000055" w14:textId="77777777" w:rsidR="005C643C" w:rsidRDefault="00913B65">
      <w:pPr>
        <w:pStyle w:val="Heading3"/>
        <w:numPr>
          <w:ilvl w:val="2"/>
          <w:numId w:val="1"/>
        </w:numPr>
      </w:pPr>
      <w:bookmarkStart w:id="8" w:name="_heading=h.s030sl9k09uq" w:colFirst="0" w:colLast="0"/>
      <w:bookmarkEnd w:id="8"/>
      <w:r>
        <w:t>Coordination avec les gouvernements</w:t>
      </w:r>
    </w:p>
    <w:p w14:paraId="00000056" w14:textId="18F36AB4" w:rsidR="005C643C" w:rsidRDefault="00913B65">
      <w:pPr>
        <w:spacing w:before="120" w:after="120"/>
        <w:jc w:val="both"/>
      </w:pPr>
      <w:r>
        <w:t>Il est important d’impliquer les acteurs gouvernementaux concernés dès le début de l’élaboration ou de la révision des POS VBG. Si le gouvernement ne dirige pas la coordination de la lutte contre la VBG, l’implication dans la rédaction des POS peut varier d’un contexte à l’autre, allant d’une participation active au processus de rédaction à l’approbation du document final. Il est important de partager les informations avec les acteurs gouvernementaux concernés afin de faire comprendre l’importance des POS, leurs conséquences pour les différents acteurs et le soutien à leur</w:t>
      </w:r>
      <w:sdt>
        <w:sdtPr>
          <w:tag w:val="goog_rdk_22"/>
          <w:id w:val="161593900"/>
          <w:showingPlcHdr/>
        </w:sdtPr>
        <w:sdtEndPr/>
        <w:sdtContent>
          <w:r w:rsidR="00392648">
            <w:t xml:space="preserve">     </w:t>
          </w:r>
        </w:sdtContent>
      </w:sdt>
      <w:r>
        <w:t xml:space="preserve"> mise en œuvre. </w:t>
      </w:r>
    </w:p>
    <w:p w14:paraId="00000057" w14:textId="77777777" w:rsidR="005C643C" w:rsidRDefault="00913B65">
      <w:pPr>
        <w:spacing w:before="120" w:after="120"/>
        <w:jc w:val="both"/>
      </w:pPr>
      <w:r>
        <w:t>Dans les contextes où les autorités nationales n’adhèrent pas aux principes humanitaires et font obstacle à la protection ou perpétuent les abus, il peut être difficile ou préjudiciable d’impliquer les autorités dans l’élaboration des POS. L’approche de la collaboration avec les acteurs gouvernementaux est décidée au cas par cas, sur la base d’une compréhension approfondie du contexte, afin de s’assurer que l’assistance est fournie conformément aux principes humanitaires et à l’approche « Ne pas nuire ».</w:t>
      </w:r>
    </w:p>
    <w:p w14:paraId="00000058" w14:textId="77777777" w:rsidR="005C643C" w:rsidRDefault="005C643C">
      <w:pPr>
        <w:spacing w:before="120" w:after="120" w:line="240" w:lineRule="auto"/>
        <w:jc w:val="both"/>
        <w:rPr>
          <w:highlight w:val="yellow"/>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9350"/>
      </w:tblGrid>
      <w:tr w:rsidR="005C643C" w14:paraId="505D8002" w14:textId="77777777">
        <w:tc>
          <w:tcPr>
            <w:tcW w:w="9350" w:type="dxa"/>
          </w:tcPr>
          <w:p w14:paraId="00000059" w14:textId="77777777" w:rsidR="005C643C" w:rsidRDefault="00913B65">
            <w:pPr>
              <w:spacing w:before="120" w:after="120"/>
              <w:jc w:val="both"/>
              <w:rPr>
                <w:b/>
              </w:rPr>
            </w:pPr>
            <w:r>
              <w:rPr>
                <w:b/>
              </w:rPr>
              <w:t>Point clé : titre alternatif pour les POS</w:t>
            </w:r>
          </w:p>
          <w:p w14:paraId="0000005A" w14:textId="77777777" w:rsidR="005C643C" w:rsidRDefault="00913B65">
            <w:pPr>
              <w:spacing w:before="120" w:after="120"/>
              <w:jc w:val="both"/>
            </w:pPr>
            <w:r>
              <w:lastRenderedPageBreak/>
              <w:t>Dans certains contextes, l’utilisation des termes « procédures opérationnelles standard en matière de violence basée sur le genre » dans le titre peut créer de la confusion ou susciter des réactions négatives de la part d’homologues gouvernementaux, en particulier lorsque la terminologie et les interventions liées à la VBG sont mal acceptées. Dans de telles situations, des titres différents ont été utilisés pour favoriser l’acceptation, par exemple « Indications à l’intention des acteurs humanitaires » plutôt que POS.</w:t>
            </w:r>
          </w:p>
        </w:tc>
      </w:tr>
    </w:tbl>
    <w:p w14:paraId="0000005B" w14:textId="77777777" w:rsidR="005C643C" w:rsidRDefault="00913B65">
      <w:pPr>
        <w:pStyle w:val="Heading3"/>
        <w:numPr>
          <w:ilvl w:val="2"/>
          <w:numId w:val="1"/>
        </w:numPr>
      </w:pPr>
      <w:bookmarkStart w:id="9" w:name="_heading=h.cgrb4nuk3dvp" w:colFirst="0" w:colLast="0"/>
      <w:bookmarkEnd w:id="9"/>
      <w:r>
        <w:lastRenderedPageBreak/>
        <w:t>Coordination du processus d’élaboration des procédures opérationnelles standard en matière de violence basée sur le genre dans des contextes mixtes</w:t>
      </w:r>
    </w:p>
    <w:p w14:paraId="0000005C" w14:textId="77777777" w:rsidR="005C643C" w:rsidRDefault="00913B65">
      <w:pPr>
        <w:pBdr>
          <w:top w:val="nil"/>
          <w:left w:val="nil"/>
          <w:bottom w:val="nil"/>
          <w:right w:val="nil"/>
          <w:between w:val="nil"/>
        </w:pBdr>
        <w:spacing w:before="120" w:after="120"/>
        <w:jc w:val="both"/>
      </w:pPr>
      <w:r>
        <w:t>Dans les « contextes mixtes » – c’est-à-dire lorsque différentes catégories de populations sont touchées (par exemple, à la fois des réfugiés et des PDI ou des migrants et des membres de la communauté d’accueil) –, il est recommandé d’élaborer un seul ensemble de procédures opérationnelles standard en matière de violence basée sur le genre pour couvrir toutes les populations.</w:t>
      </w:r>
    </w:p>
    <w:p w14:paraId="0000005D" w14:textId="77777777" w:rsidR="005C643C" w:rsidRDefault="00913B65">
      <w:pPr>
        <w:pBdr>
          <w:top w:val="nil"/>
          <w:left w:val="nil"/>
          <w:bottom w:val="nil"/>
          <w:right w:val="nil"/>
          <w:between w:val="nil"/>
        </w:pBdr>
        <w:spacing w:before="120" w:after="120"/>
        <w:jc w:val="both"/>
      </w:pPr>
      <w:bookmarkStart w:id="10" w:name="_heading=h.tlztpls5cr3p" w:colFirst="0" w:colLast="0"/>
      <w:bookmarkEnd w:id="10"/>
      <w:r>
        <w:t>Lorsque plusieurs structures de coordination sont opérationnelles, les organes de coordination concernés décident ensemble qui est le mieux placé pour (</w:t>
      </w:r>
      <w:proofErr w:type="spellStart"/>
      <w:r>
        <w:t>co</w:t>
      </w:r>
      <w:proofErr w:type="spellEnd"/>
      <w:r>
        <w:t>)diriger l’élaboration des POS VBG. Cette décision doit tenir compte du mandat et des capacités de chaque acteur (y compris les capacités techniques, le financement, le personnel, etc.) et garantir un accès égal et sûr à toutes les populations. Dans la mesure du possible, il convient d’envisager une coordination et un leadership conjoints de ce processus.</w:t>
      </w:r>
    </w:p>
    <w:p w14:paraId="0000005E" w14:textId="77777777" w:rsidR="005C643C" w:rsidRDefault="00913B65">
      <w:pPr>
        <w:pStyle w:val="Heading2"/>
        <w:numPr>
          <w:ilvl w:val="1"/>
          <w:numId w:val="1"/>
        </w:numPr>
      </w:pPr>
      <w:bookmarkStart w:id="11" w:name="_heading=h.30j0zll" w:colFirst="0" w:colLast="0"/>
      <w:bookmarkEnd w:id="11"/>
      <w:r>
        <w:t>Phases du processus d’élaboration des POS VBG</w:t>
      </w:r>
    </w:p>
    <w:p w14:paraId="0000005F" w14:textId="77777777" w:rsidR="005C643C" w:rsidRDefault="00913B65">
      <w:pPr>
        <w:spacing w:before="120" w:after="120"/>
        <w:jc w:val="both"/>
      </w:pPr>
      <w:r>
        <w:t xml:space="preserve">Les POS VBG sont </w:t>
      </w:r>
      <w:proofErr w:type="gramStart"/>
      <w:r>
        <w:t>élaborées</w:t>
      </w:r>
      <w:proofErr w:type="gramEnd"/>
      <w:r>
        <w:t xml:space="preserve"> en coordination avec un groupe diversifié d’acteurs et d’organismes </w:t>
      </w:r>
      <w:r>
        <w:br/>
        <w:t xml:space="preserve">(voir section 3.3 Participants au processus d’élaboration des POS VBG). Le processus d’élaboration des POS peut être dirigé par les coordonnateurs de la lutte contre la VBG dans le contexte ou délégué à une organisation membre du groupe de coordination de la lutte contre la VBG. Cette section présente une approche progressive de l’élaboration des POS VBG. </w:t>
      </w:r>
    </w:p>
    <w:p w14:paraId="00000060" w14:textId="77777777" w:rsidR="005C643C" w:rsidRDefault="00913B65">
      <w:pPr>
        <w:spacing w:before="120" w:after="120"/>
        <w:ind w:firstLine="720"/>
        <w:jc w:val="both"/>
        <w:rPr>
          <w:color w:val="0070C0"/>
        </w:rPr>
      </w:pPr>
      <w:bookmarkStart w:id="12" w:name="_heading=h.7x1ug0i21kyf" w:colFirst="0" w:colLast="0"/>
      <w:bookmarkEnd w:id="12"/>
      <w:r>
        <w:rPr>
          <w:color w:val="0070C0"/>
        </w:rPr>
        <w:t xml:space="preserve">Étape 1 : Préparer l’élaboration des procédures opérationnelles standard en matière de violence basée sur le genre </w:t>
      </w:r>
    </w:p>
    <w:p w14:paraId="00000061" w14:textId="77777777" w:rsidR="005C643C" w:rsidRDefault="00913B65">
      <w:pPr>
        <w:spacing w:before="120" w:after="120"/>
        <w:jc w:val="both"/>
        <w:rPr>
          <w:b/>
          <w:i/>
        </w:rPr>
      </w:pPr>
      <w:r>
        <w:t>Pour préparer le processus d’élaboration des POS, les coordonnateurs de la lutte contre la VBG</w:t>
      </w:r>
      <w:r>
        <w:rPr>
          <w:vertAlign w:val="superscript"/>
        </w:rPr>
        <w:footnoteReference w:id="2"/>
      </w:r>
      <w:r>
        <w:t> :</w:t>
      </w:r>
    </w:p>
    <w:p w14:paraId="00000062" w14:textId="6DA7C83D" w:rsidR="005C643C" w:rsidRDefault="00913B65">
      <w:pPr>
        <w:numPr>
          <w:ilvl w:val="0"/>
          <w:numId w:val="10"/>
        </w:numPr>
        <w:spacing w:before="120" w:after="120"/>
        <w:jc w:val="both"/>
      </w:pPr>
      <w:r>
        <w:t xml:space="preserve">Recueillent toutes les </w:t>
      </w:r>
      <w:sdt>
        <w:sdtPr>
          <w:tag w:val="goog_rdk_23"/>
          <w:id w:val="-360596209"/>
        </w:sdtPr>
        <w:sdtEndPr/>
        <w:sdtContent/>
      </w:sdt>
      <w:r>
        <w:t xml:space="preserve">POS, </w:t>
      </w:r>
      <w:r w:rsidR="00392648">
        <w:t>guides</w:t>
      </w:r>
      <w:r>
        <w:t xml:space="preserve">, stratégies nationales ou plans d’action existants qui traitent de la prévention de la violence basée sur le genre, de l’atténuation des risques ou de l’intervention dans le contexte donné. </w:t>
      </w:r>
    </w:p>
    <w:p w14:paraId="00000063" w14:textId="6CE5758B" w:rsidR="005C643C" w:rsidRDefault="00913B65">
      <w:pPr>
        <w:numPr>
          <w:ilvl w:val="0"/>
          <w:numId w:val="10"/>
        </w:numPr>
        <w:spacing w:before="120" w:after="120"/>
        <w:jc w:val="both"/>
      </w:pPr>
      <w:r>
        <w:t>Dans les contextes où la collaboration avec les autorités nationales est possible, sûre et éthique, et lorsqu’il existe une stratégie nationale, un plan d’action ou d’autres documents relatifs à la VBG :</w:t>
      </w:r>
    </w:p>
    <w:p w14:paraId="00000064" w14:textId="3B008643" w:rsidR="005C643C" w:rsidRDefault="00913B65">
      <w:pPr>
        <w:numPr>
          <w:ilvl w:val="0"/>
          <w:numId w:val="7"/>
        </w:numPr>
        <w:spacing w:before="120" w:after="120"/>
        <w:jc w:val="both"/>
      </w:pPr>
      <w:r>
        <w:lastRenderedPageBreak/>
        <w:t>Entame</w:t>
      </w:r>
      <w:r w:rsidR="00D832F0">
        <w:t>z</w:t>
      </w:r>
      <w:r>
        <w:t xml:space="preserve"> des discussions avec les autorités sur l’élaboration ou la révision des POS le plus tôt possible.</w:t>
      </w:r>
    </w:p>
    <w:p w14:paraId="00000065" w14:textId="334D27C3" w:rsidR="005C643C" w:rsidRDefault="00913B65">
      <w:pPr>
        <w:numPr>
          <w:ilvl w:val="0"/>
          <w:numId w:val="7"/>
        </w:numPr>
        <w:spacing w:before="120" w:after="120"/>
        <w:jc w:val="both"/>
      </w:pPr>
      <w:r>
        <w:t>Clarifi</w:t>
      </w:r>
      <w:r w:rsidR="00D832F0">
        <w:t>ez</w:t>
      </w:r>
      <w:r>
        <w:t xml:space="preserve"> les différences et les similitudes entre les documents existants sur la VBG et le présent kit de ressources. </w:t>
      </w:r>
    </w:p>
    <w:p w14:paraId="00000066" w14:textId="372EAAC3" w:rsidR="005C643C" w:rsidRDefault="00913B65">
      <w:pPr>
        <w:numPr>
          <w:ilvl w:val="0"/>
          <w:numId w:val="7"/>
        </w:numPr>
        <w:spacing w:before="120" w:after="120"/>
        <w:jc w:val="both"/>
      </w:pPr>
      <w:r>
        <w:t>Détermine</w:t>
      </w:r>
      <w:r w:rsidR="00D832F0">
        <w:t>z</w:t>
      </w:r>
      <w:r>
        <w:t xml:space="preserve"> dans quelle mesure les POS VBG existantes ou d’autres documents sont alignés sur les normes minimales en matière de VBG, reflètent avec précision le contexte et les capacités actuels et incluent les différents aspects des services d’intervention.</w:t>
      </w:r>
    </w:p>
    <w:p w14:paraId="00000067" w14:textId="42B45DD6" w:rsidR="005C643C" w:rsidRDefault="00913B65">
      <w:pPr>
        <w:numPr>
          <w:ilvl w:val="0"/>
          <w:numId w:val="7"/>
        </w:numPr>
        <w:shd w:val="clear" w:color="auto" w:fill="FFFFFF"/>
        <w:spacing w:before="120" w:after="120"/>
        <w:jc w:val="both"/>
      </w:pPr>
      <w:proofErr w:type="gramStart"/>
      <w:r>
        <w:t>Détermine</w:t>
      </w:r>
      <w:r w:rsidR="00D832F0">
        <w:t>z</w:t>
      </w:r>
      <w:r>
        <w:t xml:space="preserve"> s’il</w:t>
      </w:r>
      <w:proofErr w:type="gramEnd"/>
      <w:r>
        <w:t xml:space="preserve"> convient de réviser, d’adapter ou de développer les POS ou les documents existants, y compris en ce qui concerne les obstacles à l’égalité d’accès et à l’inclusion, notamment pour les personnes déplacées de force et les apatrides. </w:t>
      </w:r>
    </w:p>
    <w:p w14:paraId="00000068" w14:textId="1B462D94" w:rsidR="005C643C" w:rsidRDefault="00913B65">
      <w:pPr>
        <w:numPr>
          <w:ilvl w:val="0"/>
          <w:numId w:val="7"/>
        </w:numPr>
        <w:shd w:val="clear" w:color="auto" w:fill="FFFFFF"/>
        <w:spacing w:before="120" w:after="120"/>
        <w:jc w:val="both"/>
      </w:pPr>
      <w:r>
        <w:t xml:space="preserve">Si la révision des documents existants nécessite un investissement à long terme en matière de ressources, de temps et de négociation, </w:t>
      </w:r>
      <w:r w:rsidR="00DE4AED">
        <w:t>discutez</w:t>
      </w:r>
      <w:r>
        <w:t xml:space="preserve"> avec les autorités de la possibilité d’élaborer des POS VBG pratiques provisoires sur la base de ce kit de ressources.</w:t>
      </w:r>
    </w:p>
    <w:p w14:paraId="00000069" w14:textId="77777777" w:rsidR="005C643C" w:rsidRDefault="00913B65">
      <w:pPr>
        <w:spacing w:before="120" w:after="120"/>
        <w:ind w:firstLine="720"/>
        <w:jc w:val="both"/>
        <w:rPr>
          <w:color w:val="0070C0"/>
        </w:rPr>
      </w:pPr>
      <w:bookmarkStart w:id="13" w:name="_heading=h.d3h0lk8e3vd5" w:colFirst="0" w:colLast="0"/>
      <w:bookmarkEnd w:id="13"/>
      <w:r>
        <w:rPr>
          <w:color w:val="0070C0"/>
        </w:rPr>
        <w:t>Étape 2 : Convoquer un groupe de référence sur les POS VBG et élaborer un plan de travail</w:t>
      </w:r>
    </w:p>
    <w:p w14:paraId="0000006A" w14:textId="7665D0AA" w:rsidR="005C643C" w:rsidRDefault="00913B65">
      <w:pPr>
        <w:spacing w:before="120" w:after="120"/>
        <w:jc w:val="both"/>
      </w:pPr>
      <w:r>
        <w:t xml:space="preserve">Les </w:t>
      </w:r>
      <w:proofErr w:type="spellStart"/>
      <w:r>
        <w:t>coordnnateurs</w:t>
      </w:r>
      <w:proofErr w:type="spellEnd"/>
      <w:r>
        <w:t xml:space="preserve"> de la lutte contre la VBG convoquent un petit groupe de base – le groupe de référence des POS VBG – pour faciliter l’élaboration de POS VBG et les faire progresser.</w:t>
      </w:r>
    </w:p>
    <w:p w14:paraId="0000006B" w14:textId="77777777" w:rsidR="005C643C" w:rsidRDefault="00913B65">
      <w:pPr>
        <w:spacing w:before="120" w:after="120"/>
        <w:jc w:val="both"/>
      </w:pPr>
      <w:r>
        <w:t>Les coordonnateurs de la lutte contre la VBG réunissent un groupe de participants divers en fonction des rôles et des profils des acteurs et évaluent la manière de maximiser la participation en toute sécurité des organisations et des représentants de la communauté. Le groupe de référence pour les POS VBG doit être composé d’environ 5 à 10 personnes.</w:t>
      </w:r>
    </w:p>
    <w:p w14:paraId="0000006C" w14:textId="77777777" w:rsidR="005C643C" w:rsidRDefault="00913B65">
      <w:pPr>
        <w:spacing w:before="120" w:after="120"/>
        <w:jc w:val="both"/>
      </w:pPr>
      <w:r>
        <w:t>Le groupe de référence (GR) rédige un plan</w:t>
      </w:r>
      <w:r>
        <w:rPr>
          <w:vertAlign w:val="superscript"/>
        </w:rPr>
        <w:footnoteReference w:id="3"/>
      </w:r>
      <w:r>
        <w:t xml:space="preserve"> de travail et identifie les personnes à impliquer dans l’élaboration des POS VBG (voir la section 3.3 pour des indications sur les personnes à impliquer au cours des différentes étapes). Le plan de travail devrait inclure une formation pour les acteurs VBG et non-VBG sur les concepts de base de la VBG, y compris l’utilisation des principes directeurs de la lutte contre la VBG, des Normes minimales sur la VBG (2019) et des Directives du CPI sur la VBG (CPI 2015),</w:t>
      </w:r>
      <w:r>
        <w:rPr>
          <w:vertAlign w:val="superscript"/>
        </w:rPr>
        <w:footnoteReference w:id="4"/>
      </w:r>
      <w:r>
        <w:t xml:space="preserve"> si nécessaire.</w:t>
      </w:r>
    </w:p>
    <w:p w14:paraId="0000006D" w14:textId="77777777" w:rsidR="005C643C" w:rsidRDefault="00913B65">
      <w:pPr>
        <w:spacing w:before="120" w:after="120"/>
        <w:jc w:val="both"/>
      </w:pPr>
      <w:r>
        <w:t>Le groupe de référence assure la coordination avec toutes les parties prenantes identifiées et les conseille sur l’élaboration ou la révision prochaine des procédures opérationnelles standard en matière de violence basée sur le genre, ainsi que sur l’importance de leur participation.</w:t>
      </w:r>
    </w:p>
    <w:p w14:paraId="0000006E" w14:textId="77777777" w:rsidR="005C643C" w:rsidRDefault="00913B65">
      <w:pPr>
        <w:spacing w:before="120" w:after="120"/>
        <w:ind w:firstLine="720"/>
        <w:jc w:val="both"/>
        <w:rPr>
          <w:color w:val="0070C0"/>
        </w:rPr>
      </w:pPr>
      <w:bookmarkStart w:id="14" w:name="_heading=h.cxdqde1zpshz" w:colFirst="0" w:colLast="0"/>
      <w:bookmarkEnd w:id="14"/>
      <w:r>
        <w:rPr>
          <w:color w:val="0070C0"/>
        </w:rPr>
        <w:t>Étape 3 : Effectuer une analyse de la situation et/ou une cartographie des services</w:t>
      </w:r>
    </w:p>
    <w:p w14:paraId="0000006F" w14:textId="77777777" w:rsidR="005C643C" w:rsidRDefault="00913B65">
      <w:pPr>
        <w:spacing w:before="120" w:after="120"/>
        <w:jc w:val="both"/>
      </w:pPr>
      <w:r>
        <w:lastRenderedPageBreak/>
        <w:t>Les coordonnateurs de la lutte contre la VBG examinent les études et la documentation disponibles pour recueillir des informations sur les besoins, les risques, les ressources disponibles, les services et les lacunes en matière de violence basée sur le genre.</w:t>
      </w:r>
    </w:p>
    <w:p w14:paraId="00000070" w14:textId="77777777" w:rsidR="005C643C" w:rsidRDefault="00913B65">
      <w:pPr>
        <w:spacing w:before="120" w:after="120"/>
        <w:jc w:val="both"/>
      </w:pPr>
      <w:r>
        <w:t>Ceci peut inclure :</w:t>
      </w:r>
    </w:p>
    <w:p w14:paraId="00000071" w14:textId="77777777" w:rsidR="005C643C" w:rsidRDefault="00913B65">
      <w:pPr>
        <w:numPr>
          <w:ilvl w:val="0"/>
          <w:numId w:val="2"/>
        </w:numPr>
        <w:spacing w:before="120" w:after="120"/>
        <w:jc w:val="both"/>
      </w:pPr>
      <w:proofErr w:type="gramStart"/>
      <w:r>
        <w:t>des</w:t>
      </w:r>
      <w:proofErr w:type="gramEnd"/>
      <w:r>
        <w:t xml:space="preserve"> informations provenant des rapports d’évaluation </w:t>
      </w:r>
      <w:proofErr w:type="spellStart"/>
      <w:r>
        <w:t>interorganisations</w:t>
      </w:r>
      <w:proofErr w:type="spellEnd"/>
      <w:r>
        <w:t xml:space="preserve"> et propres à une organisation [par exemple, l’évaluation initiale rapide multisectorielle, les données du système de gestion de l’information sur la violence basée sur le genre (GBVIMS), les audits de sécurité et les discussions de groupe] ;</w:t>
      </w:r>
    </w:p>
    <w:p w14:paraId="00000072" w14:textId="77777777" w:rsidR="005C643C" w:rsidRDefault="00913B65">
      <w:pPr>
        <w:numPr>
          <w:ilvl w:val="0"/>
          <w:numId w:val="2"/>
        </w:numPr>
        <w:spacing w:before="120" w:after="120"/>
        <w:jc w:val="both"/>
      </w:pPr>
      <w:proofErr w:type="gramStart"/>
      <w:r>
        <w:t>la</w:t>
      </w:r>
      <w:proofErr w:type="gramEnd"/>
      <w:r>
        <w:t xml:space="preserve"> cartographie des services, l’analyse de la situation ou l’examen des données secondaires.</w:t>
      </w:r>
    </w:p>
    <w:p w14:paraId="00000073" w14:textId="77777777" w:rsidR="005C643C" w:rsidRDefault="00913B65">
      <w:pPr>
        <w:spacing w:before="120" w:after="120"/>
        <w:jc w:val="both"/>
      </w:pPr>
      <w:r>
        <w:t xml:space="preserve">Si les informations disponibles ne sont pas suffisantes, les coordonnateurs de la lutte contre la VBG supervisent une analyse rapide de la situation, y compris, si nécessaire et possible, des audits de sécurité et des discussions de groupe. </w:t>
      </w:r>
    </w:p>
    <w:p w14:paraId="00000074" w14:textId="77777777" w:rsidR="005C643C" w:rsidRDefault="00913B65">
      <w:pPr>
        <w:spacing w:before="120" w:after="120"/>
        <w:ind w:firstLine="720"/>
        <w:jc w:val="both"/>
        <w:rPr>
          <w:color w:val="0070C0"/>
        </w:rPr>
      </w:pPr>
      <w:bookmarkStart w:id="15" w:name="_heading=h.6sqidevq4b58" w:colFirst="0" w:colLast="0"/>
      <w:bookmarkEnd w:id="15"/>
      <w:r>
        <w:rPr>
          <w:color w:val="0070C0"/>
        </w:rPr>
        <w:t>Étape 4 : Partager le plan de travail, l’analyse de la situation et la cartographie des services.</w:t>
      </w:r>
    </w:p>
    <w:p w14:paraId="00000075" w14:textId="77777777" w:rsidR="005C643C" w:rsidRDefault="00913B65">
      <w:pPr>
        <w:spacing w:before="120" w:after="120"/>
        <w:jc w:val="both"/>
        <w:rPr>
          <w:sz w:val="24"/>
          <w:szCs w:val="24"/>
        </w:rPr>
      </w:pPr>
      <w:r>
        <w:t>Les coordonnateurs de la lutte contre la VBG invitent d’autres acteurs clés impliqués dans les efforts d’intervention, d’atténuation et de prévention en matière de VBG à une réunion ou à un atelier afin d’examiner le projet de plan du groupe de référence pour l’élaboration des POS VBG et d’y apporter leur contribution.</w:t>
      </w:r>
      <w:r>
        <w:rPr>
          <w:sz w:val="24"/>
          <w:szCs w:val="24"/>
        </w:rPr>
        <w:t xml:space="preserve"> </w:t>
      </w:r>
    </w:p>
    <w:p w14:paraId="00000076" w14:textId="77777777" w:rsidR="005C643C" w:rsidRDefault="00913B65">
      <w:pPr>
        <w:spacing w:before="120" w:after="120"/>
        <w:jc w:val="both"/>
      </w:pPr>
      <w:r>
        <w:t>Les coordonnateurs de la lutte contre la VBG partagent l’analyse de la situation et le présent kit de ressources sur les POS (guide, modèle et annexes) avec les acteurs qui participeront à l’élaboration des POS VBG. Les coordonnateurs de la lutte contre la VBG ou le groupe de référence entament des discussions individuelles ou collectives afin d’impliquer les acteurs et d’encourager leur participation.</w:t>
      </w:r>
    </w:p>
    <w:p w14:paraId="00000077" w14:textId="77777777" w:rsidR="005C643C" w:rsidRDefault="00913B65">
      <w:pPr>
        <w:spacing w:before="120" w:after="120"/>
        <w:ind w:firstLine="720"/>
        <w:jc w:val="both"/>
        <w:rPr>
          <w:color w:val="0070C0"/>
        </w:rPr>
      </w:pPr>
      <w:bookmarkStart w:id="16" w:name="_heading=h.wp09hze1wqwo" w:colFirst="0" w:colLast="0"/>
      <w:bookmarkEnd w:id="16"/>
      <w:r>
        <w:rPr>
          <w:color w:val="0070C0"/>
        </w:rPr>
        <w:t>Étape 5 : Faciliter les réunions d’examen et de révision des modèles de procédures opérationnelles standard en matière de violence basée sur le genre</w:t>
      </w:r>
    </w:p>
    <w:p w14:paraId="00000078" w14:textId="77777777" w:rsidR="005C643C" w:rsidRDefault="00913B65">
      <w:pPr>
        <w:spacing w:before="120" w:after="120"/>
        <w:jc w:val="both"/>
        <w:rPr>
          <w:sz w:val="24"/>
          <w:szCs w:val="24"/>
        </w:rPr>
      </w:pPr>
      <w:r>
        <w:t>Les coordonnateurs de la lutte contre la VBG organisent une série de réunions pour passer en revue le modèle des POS VBG, section par section. Cette démarche doit être inclusive, participative et transparente afin d’établir des relations et de susciter l’engagement des acteurs.</w:t>
      </w:r>
    </w:p>
    <w:p w14:paraId="00000079" w14:textId="77777777" w:rsidR="005C643C" w:rsidRDefault="00913B65">
      <w:pPr>
        <w:spacing w:before="120" w:after="120"/>
        <w:jc w:val="both"/>
        <w:rPr>
          <w:sz w:val="24"/>
          <w:szCs w:val="24"/>
        </w:rPr>
      </w:pPr>
      <w:r>
        <w:t>Ces discussions doivent être facilitées avec soin pour rester sur la bonne voie et maintenir l’équilibre entre l’élaboration en temps voulu des POS VBG et l’engagement adéquat de tous les acteurs concernés. Les réunions et le processus doivent être axés sur les résultats et engageants en vue de garantir une participation durable.</w:t>
      </w:r>
    </w:p>
    <w:p w14:paraId="0000007A" w14:textId="77777777" w:rsidR="005C643C" w:rsidRDefault="00913B65">
      <w:pPr>
        <w:spacing w:before="120" w:after="120"/>
        <w:jc w:val="both"/>
      </w:pPr>
      <w:r>
        <w:t xml:space="preserve">À ce stade, les coordonnateurs de la lutte contre la VBG partagent les informations relatives à l’élaboration des POS VBG avec les groupes sectoriels / secteurs concernés, en particulier la santé et la protection de l’enfance, afin d’assurer l’harmonisation des procédures entre les acteurs. </w:t>
      </w:r>
    </w:p>
    <w:p w14:paraId="0000007B" w14:textId="77777777" w:rsidR="005C643C" w:rsidRDefault="00913B65">
      <w:pPr>
        <w:spacing w:before="120" w:after="120"/>
        <w:jc w:val="both"/>
      </w:pPr>
      <w:r>
        <w:t xml:space="preserve">Le recours à la technologie peut améliorer l’accès au processus d’élaboration des POS VBG et le rendre plus inclusif, par exemple par le biais de discussions à distance ou virtuelles, en ligne </w:t>
      </w:r>
      <w:r>
        <w:lastRenderedPageBreak/>
        <w:t>ou par téléphone. Les coordonnateurs de la lutte contre la VBG doivent prêter attention aux parties prenantes qui n’ont pas accès à la technologie et utiliser plusieurs méthodes de communication et de réunion pour élargir la participation. Il peut également s’avérer nécessaire de soutenir les personnes ayant moins accès à la technologie, par exemple en leur permettant d’utiliser le bureau d’une organisation ou d’un organisme disposant d’un accès à Internet ou au téléphone.</w:t>
      </w:r>
    </w:p>
    <w:p w14:paraId="0000007C" w14:textId="77777777" w:rsidR="005C643C" w:rsidRDefault="00913B65">
      <w:pPr>
        <w:spacing w:before="120" w:after="120"/>
        <w:jc w:val="both"/>
      </w:pPr>
      <w:r>
        <w:t>Le groupe de référence ou un membre désigné résume et documente les décisions clés et révise le modèle de POS VBG après chaque réunion afin de refléter les décisions et les procédures convenues.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9350"/>
      </w:tblGrid>
      <w:tr w:rsidR="005C643C" w14:paraId="0493CC39" w14:textId="77777777">
        <w:tc>
          <w:tcPr>
            <w:tcW w:w="9350" w:type="dxa"/>
          </w:tcPr>
          <w:p w14:paraId="0000007D" w14:textId="77777777" w:rsidR="005C643C" w:rsidRDefault="00913B65">
            <w:pPr>
              <w:spacing w:before="120" w:after="120"/>
              <w:jc w:val="both"/>
              <w:rPr>
                <w:b/>
              </w:rPr>
            </w:pPr>
            <w:r>
              <w:rPr>
                <w:b/>
              </w:rPr>
              <w:t xml:space="preserve">Étude de cas : Participation des acteurs locaux au processus d’élaboration des POS </w:t>
            </w:r>
          </w:p>
          <w:p w14:paraId="0000007E" w14:textId="77777777" w:rsidR="005C643C" w:rsidRDefault="00913B65">
            <w:pPr>
              <w:spacing w:before="120" w:after="120"/>
              <w:jc w:val="both"/>
            </w:pPr>
            <w:r>
              <w:t>En Libye, le sous-groupe sectoriel sur la VBG a conçu un exercice participatif de consultation / collecte de données pour compléter les informations disponibles sur les services de lutte contre la VBG et clarifier les pratiques et réglementations en matière de signalement obligatoire et de prise en charge clinique du viol afin de guider l’élaboration des POS VBG. Les acteurs locaux de la lutte contre la VBG qui fournissent des services d’intervention en matière de VBG en Libye faisaient partie de l’équipe spéciale sur les POS VBG. Dans le but de renforcer la participation significative des principales parties prenantes dans le domaine de la VBG et de tirer parti de l’empreinte opérationnelle et de la connaissance du contexte des acteurs sur le terrain, l’équipe spéciale sur les POS VBG a élaboré collectivement plusieurs questionnaires afin d’éclairer les différentes sections des POS VBG et a désigné les membres des sous-groupes sectoriels locaux comme points focaux pour entreprendre la collecte de données. Les points focaux ont consulté les principales parties prenantes, telles que les fonctionnaires des ministères compétents, les OSC et les organisations non gouvernementales internationales (ONGI), et ont présenté les résultats au sous-groupe sectoriel lors d’un atelier de validation, qui a réuni toutes les parties prenantes concernées. Cette approche participative a permis de clarifier les procédures entre les membres des sous-groupes sectoriels et de renforcer l’engagement des parties prenantes externes. Elle a permis aux membres du sous-groupe sectoriel sur la VBG de s’approprier davantage les POS et a fourni des occasions aux acteurs locaux d’assumer un leadership.</w:t>
            </w:r>
          </w:p>
        </w:tc>
      </w:tr>
    </w:tbl>
    <w:p w14:paraId="0000007F" w14:textId="77777777" w:rsidR="005C643C" w:rsidRDefault="00913B65">
      <w:pPr>
        <w:spacing w:before="120" w:after="120"/>
        <w:ind w:firstLine="720"/>
        <w:jc w:val="both"/>
        <w:rPr>
          <w:color w:val="0070C0"/>
        </w:rPr>
      </w:pPr>
      <w:bookmarkStart w:id="17" w:name="_heading=h.waiux8is9i8" w:colFirst="0" w:colLast="0"/>
      <w:bookmarkEnd w:id="17"/>
      <w:r>
        <w:rPr>
          <w:color w:val="0070C0"/>
        </w:rPr>
        <w:t>Étape 6 : Finaliser les procédures opérationnelles standard en matière de violence basée sur le genre</w:t>
      </w:r>
    </w:p>
    <w:p w14:paraId="00000080" w14:textId="77777777" w:rsidR="005C643C" w:rsidRDefault="00913B65">
      <w:pPr>
        <w:spacing w:before="120" w:after="120"/>
        <w:jc w:val="both"/>
      </w:pPr>
      <w:r>
        <w:t>Le groupe de référence complète les POS VBG sur la base de l’ensemble des discussions et des commentaires reçus en retour. Lorsque toutes les sections sont achevées, les coordonnateurs de la lutte contre la VBG distribuent la version préliminaire à tous les acteurs participants et les invitent à une réunion finale pour examiner cette ébauche.</w:t>
      </w:r>
    </w:p>
    <w:p w14:paraId="00000081" w14:textId="77777777" w:rsidR="005C643C" w:rsidRDefault="00913B65">
      <w:pPr>
        <w:spacing w:before="120" w:after="120"/>
        <w:ind w:firstLine="720"/>
        <w:jc w:val="both"/>
        <w:rPr>
          <w:color w:val="0070C0"/>
        </w:rPr>
      </w:pPr>
      <w:bookmarkStart w:id="18" w:name="_heading=h.jdqv0t7snz4n" w:colFirst="0" w:colLast="0"/>
      <w:bookmarkEnd w:id="18"/>
      <w:r>
        <w:rPr>
          <w:color w:val="0070C0"/>
        </w:rPr>
        <w:t>Étape 7 : Signer les procédures opérationnelles standard en matière de violence basée sur le genre</w:t>
      </w:r>
    </w:p>
    <w:p w14:paraId="00000082" w14:textId="77777777" w:rsidR="005C643C" w:rsidRDefault="00913B65">
      <w:pPr>
        <w:spacing w:before="120" w:after="120"/>
        <w:jc w:val="both"/>
      </w:pPr>
      <w:r>
        <w:t xml:space="preserve">Les coordonnateurs de la lutte contre la VBG veillent à ce que des procédures appropriées et inclusives soient mises en place pour la signature des POS, en fonction du contexte. Il peut s’agir d’une réception ou d’un autre événement au cours duquel les responsables d’organismes et </w:t>
      </w:r>
      <w:r>
        <w:lastRenderedPageBreak/>
        <w:t>d’organisations signent le document au nom de leur organisme/organisation afin de démontrer leur engagement à l’égard des POS VBG.</w:t>
      </w:r>
    </w:p>
    <w:p w14:paraId="00000083" w14:textId="77777777" w:rsidR="005C643C" w:rsidRDefault="00913B65">
      <w:pPr>
        <w:spacing w:before="120" w:after="120"/>
        <w:ind w:firstLine="720"/>
        <w:jc w:val="both"/>
        <w:rPr>
          <w:color w:val="0070C0"/>
        </w:rPr>
      </w:pPr>
      <w:bookmarkStart w:id="19" w:name="_heading=h.9wnwxojmrj6u" w:colFirst="0" w:colLast="0"/>
      <w:bookmarkEnd w:id="19"/>
      <w:r>
        <w:rPr>
          <w:color w:val="0070C0"/>
        </w:rPr>
        <w:t>Étape 8 : Partager les procédures opérationnelles standard en matière de violence basée sur le genre</w:t>
      </w:r>
    </w:p>
    <w:p w14:paraId="00000084" w14:textId="77777777" w:rsidR="005C643C" w:rsidRDefault="00913B65">
      <w:pPr>
        <w:spacing w:before="120" w:after="120"/>
        <w:jc w:val="both"/>
      </w:pPr>
      <w:r>
        <w:t>Les coordonnateurs de la lutte contre la VBG présentent et partagent les POS VBG définitives avec les membres du groupe de coordination sur la VBG. Chaque organisme signataire présente et diffuse les POS VBG auprès de son personnel afin de soutenir le rôle de l’organisme dans le respect des procédures décrites dans les POS VBG.</w:t>
      </w:r>
    </w:p>
    <w:p w14:paraId="00000085" w14:textId="77777777" w:rsidR="005C643C" w:rsidRDefault="00913B65">
      <w:pPr>
        <w:spacing w:before="120" w:after="120"/>
        <w:jc w:val="both"/>
      </w:pPr>
      <w:r>
        <w:t>Dans le cadre du processus de diffusion, les coordonnateurs de la lutte contre la VBG doivent :</w:t>
      </w:r>
    </w:p>
    <w:p w14:paraId="00000086" w14:textId="77777777" w:rsidR="005C643C" w:rsidRDefault="00913B65">
      <w:pPr>
        <w:numPr>
          <w:ilvl w:val="0"/>
          <w:numId w:val="6"/>
        </w:numPr>
        <w:spacing w:before="120" w:after="120"/>
        <w:jc w:val="both"/>
      </w:pPr>
      <w:proofErr w:type="gramStart"/>
      <w:r>
        <w:t>faciliter</w:t>
      </w:r>
      <w:proofErr w:type="gramEnd"/>
      <w:r>
        <w:t xml:space="preserve"> les séances d’orientation ou la formation des acteurs de la lutte contre la VBG et d’autres acteurs sur le terrain en ce qui concerne les POS VBG, y compris les parcours d’orientation ;</w:t>
      </w:r>
    </w:p>
    <w:p w14:paraId="00000087" w14:textId="77777777" w:rsidR="005C643C" w:rsidRDefault="00913B65">
      <w:pPr>
        <w:numPr>
          <w:ilvl w:val="0"/>
          <w:numId w:val="6"/>
        </w:numPr>
        <w:spacing w:before="120" w:after="120"/>
        <w:jc w:val="both"/>
      </w:pPr>
      <w:proofErr w:type="gramStart"/>
      <w:r>
        <w:t>organiser</w:t>
      </w:r>
      <w:proofErr w:type="gramEnd"/>
      <w:r>
        <w:t xml:space="preserve"> des formations périodiques pour répondre aux nouveaux besoins et priorités des prestataires de services et de tout autre acteur dont les organismes sont signataires des POS VBG ;</w:t>
      </w:r>
    </w:p>
    <w:p w14:paraId="00000088" w14:textId="77777777" w:rsidR="005C643C" w:rsidRDefault="00913B65">
      <w:pPr>
        <w:numPr>
          <w:ilvl w:val="0"/>
          <w:numId w:val="6"/>
        </w:numPr>
        <w:spacing w:before="120" w:after="120"/>
        <w:jc w:val="both"/>
      </w:pPr>
      <w:proofErr w:type="gramStart"/>
      <w:r>
        <w:t>partager</w:t>
      </w:r>
      <w:proofErr w:type="gramEnd"/>
      <w:r>
        <w:t xml:space="preserve"> les POS VBG définitives avec les acteurs humanitaires, y compris les responsables humanitaires et les chefs de file des groupes sectoriels / secteurs concernés ;</w:t>
      </w:r>
    </w:p>
    <w:p w14:paraId="00000089" w14:textId="77777777" w:rsidR="005C643C" w:rsidRDefault="00913B65">
      <w:pPr>
        <w:numPr>
          <w:ilvl w:val="0"/>
          <w:numId w:val="6"/>
        </w:numPr>
        <w:spacing w:before="120" w:after="120"/>
        <w:jc w:val="both"/>
      </w:pPr>
      <w:proofErr w:type="gramStart"/>
      <w:r>
        <w:t>partager</w:t>
      </w:r>
      <w:proofErr w:type="gramEnd"/>
      <w:r>
        <w:t xml:space="preserve"> les POS VBG définitives ou les éléments clés, le cas échéant, avec les représentants de la communauté, les organisations dirigées par des femmes et les organisations de défense des droits des femmes, ainsi qu’avec les organisations dirigées par des jeunes, dans le format le plus adapté au public ;</w:t>
      </w:r>
    </w:p>
    <w:p w14:paraId="0000008A" w14:textId="77777777" w:rsidR="005C643C" w:rsidRDefault="00913B65">
      <w:pPr>
        <w:numPr>
          <w:ilvl w:val="0"/>
          <w:numId w:val="6"/>
        </w:numPr>
        <w:spacing w:before="120" w:after="120"/>
        <w:jc w:val="both"/>
      </w:pPr>
      <w:proofErr w:type="gramStart"/>
      <w:r>
        <w:t>partager</w:t>
      </w:r>
      <w:proofErr w:type="gramEnd"/>
      <w:r>
        <w:t xml:space="preserve"> des informations sur l’accès aux services de lutte contre la VBG par le biais d’activités de sensibilisation de la communauté (voir section 3.7). </w:t>
      </w:r>
    </w:p>
    <w:p w14:paraId="0000008B" w14:textId="77777777" w:rsidR="005C643C" w:rsidRDefault="00913B65">
      <w:pPr>
        <w:spacing w:before="120" w:after="120"/>
        <w:ind w:firstLine="360"/>
        <w:jc w:val="both"/>
        <w:rPr>
          <w:color w:val="0070C0"/>
        </w:rPr>
      </w:pPr>
      <w:bookmarkStart w:id="20" w:name="_heading=h.4tx1lo5paloi" w:colFirst="0" w:colLast="0"/>
      <w:bookmarkEnd w:id="20"/>
      <w:r>
        <w:rPr>
          <w:color w:val="0070C0"/>
        </w:rPr>
        <w:t>Étape 9 : Réaliser des mises à jour périodiques des procédures opérationnelles standard en matière de violence basée sur le genre</w:t>
      </w:r>
    </w:p>
    <w:p w14:paraId="0000008C" w14:textId="77777777" w:rsidR="005C643C" w:rsidRDefault="00913B65">
      <w:pPr>
        <w:spacing w:before="120" w:after="120"/>
        <w:jc w:val="both"/>
      </w:pPr>
      <w:r>
        <w:t xml:space="preserve">Les coordonnateurs de la lutte contre la VBG procèdent à des révisions régulières des POS VBG, y compris la cartographie des services et les </w:t>
      </w:r>
      <w:sdt>
        <w:sdtPr>
          <w:tag w:val="goog_rdk_26"/>
          <w:id w:val="1780222543"/>
        </w:sdtPr>
        <w:sdtEndPr/>
        <w:sdtContent/>
      </w:sdt>
      <w:r>
        <w:t>parcours d’orientation, le cas échéant, afin de s’assurer qu’elles restent à jour, précises et complètes.</w:t>
      </w:r>
    </w:p>
    <w:p w14:paraId="0000008D" w14:textId="77777777" w:rsidR="005C643C" w:rsidRDefault="00913B65">
      <w:pPr>
        <w:spacing w:before="120" w:after="120"/>
        <w:jc w:val="both"/>
      </w:pPr>
      <w:r>
        <w:t xml:space="preserve">Les coordonnateurs de la lutte contre la VBG révisent les POS VBG entre six et neuf mois après leur élaboration. Par la suite, les examens sont généralement effectués chaque année ou sur une base ad hoc en cas de changements significatifs dans le contexte ou la capacité des acteurs à intervenir (par exemple, une nouvelle situation d’urgence, une forte diminution du financement, l’arrivée de nouveaux acteurs). Ces révisions suivent dans les grandes lignes les étapes décrites ci-dessus. Toutefois, elles peuvent être moins étendues en l’absence de changements significatifs dans le contexte et l’intervention. </w:t>
      </w:r>
    </w:p>
    <w:p w14:paraId="0000008E" w14:textId="2F9CFD2E" w:rsidR="005C643C" w:rsidRDefault="00913B65">
      <w:pPr>
        <w:spacing w:before="120" w:after="120"/>
        <w:jc w:val="both"/>
      </w:pPr>
      <w:r>
        <w:t>Les parcours d’orientation</w:t>
      </w:r>
      <w:sdt>
        <w:sdtPr>
          <w:tag w:val="goog_rdk_27"/>
          <w:id w:val="-62880352"/>
        </w:sdtPr>
        <w:sdtEndPr/>
        <w:sdtContent>
          <w:r>
            <w:t xml:space="preserve"> ou les systèmes de référencement </w:t>
          </w:r>
        </w:sdtContent>
      </w:sdt>
      <w:sdt>
        <w:sdtPr>
          <w:tag w:val="goog_rdk_28"/>
          <w:id w:val="-1546972664"/>
          <w:showingPlcHdr/>
        </w:sdtPr>
        <w:sdtEndPr/>
        <w:sdtContent>
          <w:r w:rsidR="007512C2">
            <w:t xml:space="preserve">     </w:t>
          </w:r>
        </w:sdtContent>
      </w:sdt>
      <w:r>
        <w:t>des victimes</w:t>
      </w:r>
      <w:sdt>
        <w:sdtPr>
          <w:tag w:val="goog_rdk_29"/>
          <w:id w:val="-11770359"/>
        </w:sdtPr>
        <w:sdtEndPr/>
        <w:sdtContent>
          <w:r>
            <w:t>/survivantes</w:t>
          </w:r>
        </w:sdtContent>
      </w:sdt>
      <w:r>
        <w:t xml:space="preserve"> de la violence basée sur le genre doivent être régulièrement mis à jour (sur la base d’une cartographie actualisée des services) afin de refléter les changements survenus dans la disponibilité des </w:t>
      </w:r>
      <w:r>
        <w:lastRenderedPageBreak/>
        <w:t>services ou d’améliorer la convivialité, indépendamment de la révision du reste des POS VBG. La rétroaction des communautés, en particulier des femmes et des filles, devrait être incluse dans ce processus, de même que la rétroaction sur l’accessibilité et l’efficacité des parcours d’orientation.</w:t>
      </w:r>
    </w:p>
    <w:p w14:paraId="0000008F" w14:textId="77777777" w:rsidR="005C643C" w:rsidRDefault="00913B65">
      <w:pPr>
        <w:pStyle w:val="Heading2"/>
        <w:numPr>
          <w:ilvl w:val="1"/>
          <w:numId w:val="1"/>
        </w:numPr>
      </w:pPr>
      <w:bookmarkStart w:id="21" w:name="_heading=h.s3fbi99055u4" w:colFirst="0" w:colLast="0"/>
      <w:bookmarkEnd w:id="21"/>
      <w:r>
        <w:t>Participants au processus d’élaboration des procédures opérationnelles standard en matière de violence basée sur le genre</w:t>
      </w:r>
    </w:p>
    <w:p w14:paraId="00000090" w14:textId="77777777" w:rsidR="005C643C" w:rsidRDefault="00913B65">
      <w:pPr>
        <w:pBdr>
          <w:top w:val="nil"/>
          <w:left w:val="nil"/>
          <w:bottom w:val="nil"/>
          <w:right w:val="nil"/>
          <w:between w:val="nil"/>
        </w:pBdr>
        <w:spacing w:before="120" w:after="120"/>
        <w:jc w:val="both"/>
      </w:pPr>
      <w:r>
        <w:t xml:space="preserve">Les POS VBG sont </w:t>
      </w:r>
      <w:proofErr w:type="gramStart"/>
      <w:r>
        <w:t>élaborées</w:t>
      </w:r>
      <w:proofErr w:type="gramEnd"/>
      <w:r>
        <w:t xml:space="preserve"> dans le cadre d’un processus consultatif qui doit inclure un groupe diversifié d’acteurs et d’organismes, allant de ceux qui fournissent des services directs aux survivantes ou des organisations qui représentent divers groupes de personnes aux acteurs qui se concentrent sur les activités d’atténuation des risques ou de prévention.</w:t>
      </w:r>
    </w:p>
    <w:p w14:paraId="00000091" w14:textId="34A9939F" w:rsidR="005C643C" w:rsidRDefault="00913B65">
      <w:pPr>
        <w:pBdr>
          <w:top w:val="nil"/>
          <w:left w:val="nil"/>
          <w:bottom w:val="nil"/>
          <w:right w:val="nil"/>
          <w:between w:val="nil"/>
        </w:pBdr>
        <w:spacing w:before="120" w:after="120"/>
        <w:jc w:val="both"/>
        <w:rPr>
          <w:sz w:val="24"/>
          <w:szCs w:val="24"/>
        </w:rPr>
      </w:pPr>
      <w:r>
        <w:t xml:space="preserve">Certaines réunions impliquent tous les acteurs, par exemple lors des discussions sur la gestion des cas de violence basée sur le genre, les parcours d’orientation et les mécanismes de coordination. D’autres réunions se concentrent sur des groupes sectoriels et/ou des participants impliqués dans certaines activités liées à </w:t>
      </w:r>
      <w:sdt>
        <w:sdtPr>
          <w:tag w:val="goog_rdk_30"/>
          <w:id w:val="-1085065953"/>
        </w:sdtPr>
        <w:sdtEndPr/>
        <w:sdtContent>
          <w:r>
            <w:t xml:space="preserve">la réponse </w:t>
          </w:r>
        </w:sdtContent>
      </w:sdt>
      <w:sdt>
        <w:sdtPr>
          <w:tag w:val="goog_rdk_31"/>
          <w:id w:val="1055585082"/>
          <w:showingPlcHdr/>
        </w:sdtPr>
        <w:sdtEndPr/>
        <w:sdtContent>
          <w:r w:rsidR="007512C2">
            <w:t xml:space="preserve">     </w:t>
          </w:r>
        </w:sdtContent>
      </w:sdt>
      <w:r>
        <w:t>, à l’atténuation des risques ou à la prévention. Toutefois, les informations sur le processus doivent être communiquées régulièrement à tous les participants afin de garantir la transparence.</w:t>
      </w:r>
    </w:p>
    <w:p w14:paraId="00000092" w14:textId="77777777" w:rsidR="005C643C" w:rsidRDefault="00913B65">
      <w:pPr>
        <w:pBdr>
          <w:top w:val="nil"/>
          <w:left w:val="nil"/>
          <w:bottom w:val="nil"/>
          <w:right w:val="nil"/>
          <w:between w:val="nil"/>
        </w:pBdr>
        <w:spacing w:before="120" w:after="120"/>
        <w:jc w:val="both"/>
      </w:pPr>
      <w:r>
        <w:t>Le processus d’élaboration des POS VBG doit inclure les types d’acteurs suivants :</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415"/>
        <w:gridCol w:w="2160"/>
        <w:gridCol w:w="2055"/>
        <w:gridCol w:w="1365"/>
        <w:gridCol w:w="1785"/>
      </w:tblGrid>
      <w:tr w:rsidR="005C643C" w14:paraId="356E7DD2" w14:textId="77777777">
        <w:trPr>
          <w:jc w:val="center"/>
        </w:trPr>
        <w:tc>
          <w:tcPr>
            <w:tcW w:w="2415" w:type="dxa"/>
          </w:tcPr>
          <w:p w14:paraId="00000093" w14:textId="77777777" w:rsidR="005C643C" w:rsidRDefault="00913B65">
            <w:pPr>
              <w:spacing w:before="120" w:after="120"/>
              <w:jc w:val="center"/>
              <w:rPr>
                <w:b/>
              </w:rPr>
            </w:pPr>
            <w:r>
              <w:rPr>
                <w:b/>
              </w:rPr>
              <w:t>Type d’acteur</w:t>
            </w:r>
          </w:p>
        </w:tc>
        <w:tc>
          <w:tcPr>
            <w:tcW w:w="2160" w:type="dxa"/>
          </w:tcPr>
          <w:p w14:paraId="00000094" w14:textId="77777777" w:rsidR="005C643C" w:rsidRDefault="00913B65">
            <w:pPr>
              <w:spacing w:before="120" w:after="120"/>
              <w:jc w:val="center"/>
              <w:rPr>
                <w:b/>
              </w:rPr>
            </w:pPr>
            <w:r>
              <w:rPr>
                <w:b/>
              </w:rPr>
              <w:t>Objet de l’engagement</w:t>
            </w:r>
          </w:p>
        </w:tc>
        <w:tc>
          <w:tcPr>
            <w:tcW w:w="2055" w:type="dxa"/>
          </w:tcPr>
          <w:p w14:paraId="00000095" w14:textId="77777777" w:rsidR="005C643C" w:rsidRDefault="00913B65">
            <w:pPr>
              <w:spacing w:before="120" w:after="120"/>
              <w:jc w:val="center"/>
              <w:rPr>
                <w:b/>
              </w:rPr>
            </w:pPr>
            <w:r>
              <w:rPr>
                <w:b/>
              </w:rPr>
              <w:t>Exemple</w:t>
            </w:r>
          </w:p>
        </w:tc>
        <w:tc>
          <w:tcPr>
            <w:tcW w:w="1365" w:type="dxa"/>
          </w:tcPr>
          <w:p w14:paraId="00000096" w14:textId="77777777" w:rsidR="005C643C" w:rsidRDefault="00913B65">
            <w:pPr>
              <w:spacing w:before="120" w:after="120"/>
              <w:jc w:val="center"/>
              <w:rPr>
                <w:b/>
              </w:rPr>
            </w:pPr>
            <w:r>
              <w:rPr>
                <w:b/>
              </w:rPr>
              <w:t>Partie suggérée du groupe de référence (O/N)</w:t>
            </w:r>
          </w:p>
        </w:tc>
        <w:tc>
          <w:tcPr>
            <w:tcW w:w="1785" w:type="dxa"/>
          </w:tcPr>
          <w:p w14:paraId="00000097" w14:textId="77777777" w:rsidR="005C643C" w:rsidRDefault="00913B65">
            <w:pPr>
              <w:spacing w:before="120" w:after="120"/>
              <w:jc w:val="center"/>
              <w:rPr>
                <w:b/>
              </w:rPr>
            </w:pPr>
            <w:r>
              <w:rPr>
                <w:b/>
              </w:rPr>
              <w:t>Notes</w:t>
            </w:r>
          </w:p>
        </w:tc>
      </w:tr>
      <w:tr w:rsidR="005C643C" w14:paraId="6ADDBBBA" w14:textId="77777777">
        <w:trPr>
          <w:jc w:val="center"/>
        </w:trPr>
        <w:tc>
          <w:tcPr>
            <w:tcW w:w="2415" w:type="dxa"/>
          </w:tcPr>
          <w:p w14:paraId="00000098" w14:textId="77777777" w:rsidR="005C643C" w:rsidRDefault="00913B65">
            <w:pPr>
              <w:spacing w:before="120" w:after="120"/>
            </w:pPr>
            <w:r>
              <w:t>Acteurs spécialisés dans la lutte contre la VBG</w:t>
            </w:r>
          </w:p>
        </w:tc>
        <w:tc>
          <w:tcPr>
            <w:tcW w:w="2160" w:type="dxa"/>
          </w:tcPr>
          <w:p w14:paraId="00000099" w14:textId="77777777" w:rsidR="005C643C" w:rsidRDefault="00913B65">
            <w:pPr>
              <w:spacing w:before="120" w:after="120"/>
            </w:pPr>
            <w:r>
              <w:t>Fourniture de services aux survivantes de VBG et activités ciblées de prévention de la VBG (au-delà de l’atténuation des risques).</w:t>
            </w:r>
          </w:p>
        </w:tc>
        <w:tc>
          <w:tcPr>
            <w:tcW w:w="2055" w:type="dxa"/>
          </w:tcPr>
          <w:p w14:paraId="0000009A" w14:textId="77777777" w:rsidR="005C643C" w:rsidRDefault="00913B65">
            <w:pPr>
              <w:spacing w:before="120" w:after="120"/>
            </w:pPr>
            <w:r>
              <w:t>Gestion des cas, aspects psychosociaux, sûreté et sécurité, aide juridique, prise en charge clinique du viol dans le secteur de la santé, acteurs mettant en œuvre des activités de prévention de la VBG.</w:t>
            </w:r>
          </w:p>
        </w:tc>
        <w:tc>
          <w:tcPr>
            <w:tcW w:w="1365" w:type="dxa"/>
          </w:tcPr>
          <w:p w14:paraId="0000009B" w14:textId="77777777" w:rsidR="005C643C" w:rsidRDefault="00913B65">
            <w:pPr>
              <w:spacing w:before="120" w:after="120"/>
              <w:jc w:val="both"/>
            </w:pPr>
            <w:r>
              <w:t>O</w:t>
            </w:r>
          </w:p>
        </w:tc>
        <w:tc>
          <w:tcPr>
            <w:tcW w:w="1785" w:type="dxa"/>
          </w:tcPr>
          <w:p w14:paraId="0000009C" w14:textId="77777777" w:rsidR="005C643C" w:rsidRDefault="00913B65">
            <w:pPr>
              <w:spacing w:before="120" w:after="120"/>
            </w:pPr>
            <w:r>
              <w:t xml:space="preserve">Ces acteurs sont ceux qui contribuent le plus directement au processus d’élaboration des POS ; un représentant de chaque type de service de lutte contre la VBG participe au groupe de référence. </w:t>
            </w:r>
          </w:p>
        </w:tc>
      </w:tr>
      <w:tr w:rsidR="005C643C" w14:paraId="5777B1A0" w14:textId="77777777">
        <w:trPr>
          <w:trHeight w:val="5419"/>
          <w:jc w:val="center"/>
        </w:trPr>
        <w:tc>
          <w:tcPr>
            <w:tcW w:w="2415" w:type="dxa"/>
          </w:tcPr>
          <w:p w14:paraId="0000009D" w14:textId="77777777" w:rsidR="005C643C" w:rsidRDefault="00913B65">
            <w:pPr>
              <w:spacing w:before="120" w:after="120"/>
            </w:pPr>
            <w:r>
              <w:lastRenderedPageBreak/>
              <w:t>Organisations et/ou organismes qui assurent la représentation, les services et/ou la défense des intérêts des groupes confrontés à des obstacles accrus en matière d’accès aux services.</w:t>
            </w:r>
          </w:p>
        </w:tc>
        <w:tc>
          <w:tcPr>
            <w:tcW w:w="2160" w:type="dxa"/>
          </w:tcPr>
          <w:p w14:paraId="0000009E" w14:textId="77777777" w:rsidR="005C643C" w:rsidRDefault="00913B65">
            <w:pPr>
              <w:spacing w:before="120"/>
              <w:jc w:val="both"/>
            </w:pPr>
            <w:r>
              <w:t>Représentation, inclusion, plaidoyer.</w:t>
            </w:r>
          </w:p>
          <w:p w14:paraId="0000009F" w14:textId="77777777" w:rsidR="005C643C" w:rsidRDefault="005C643C">
            <w:pPr>
              <w:jc w:val="both"/>
            </w:pPr>
          </w:p>
          <w:p w14:paraId="000000A0" w14:textId="77777777" w:rsidR="005C643C" w:rsidRDefault="005C643C">
            <w:pPr>
              <w:spacing w:after="120"/>
              <w:jc w:val="both"/>
            </w:pPr>
          </w:p>
        </w:tc>
        <w:tc>
          <w:tcPr>
            <w:tcW w:w="2055" w:type="dxa"/>
          </w:tcPr>
          <w:p w14:paraId="000000A1" w14:textId="77777777" w:rsidR="005C643C" w:rsidRDefault="00913B65">
            <w:pPr>
              <w:spacing w:before="120" w:after="120"/>
            </w:pPr>
            <w:r>
              <w:t>Organisations de personnes handicapées, organisations soutenant les personnes ayant une orientation sexuelle, une identité de genre, une expression de genre et des caractéristiques sexuelles différentes (OSIEGCS) et organisations soutenant les personnes âgées, points focaux du HCR chargés du traitement des cas de réfugiés en matière de VBG.</w:t>
            </w:r>
          </w:p>
        </w:tc>
        <w:tc>
          <w:tcPr>
            <w:tcW w:w="1365" w:type="dxa"/>
          </w:tcPr>
          <w:p w14:paraId="000000A2" w14:textId="77777777" w:rsidR="005C643C" w:rsidRDefault="00913B65">
            <w:pPr>
              <w:spacing w:before="120" w:after="120"/>
              <w:jc w:val="both"/>
            </w:pPr>
            <w:r>
              <w:t>N</w:t>
            </w:r>
          </w:p>
        </w:tc>
        <w:tc>
          <w:tcPr>
            <w:tcW w:w="1785" w:type="dxa"/>
          </w:tcPr>
          <w:p w14:paraId="000000A3" w14:textId="77777777" w:rsidR="005C643C" w:rsidRDefault="00913B65">
            <w:pPr>
              <w:spacing w:before="120" w:after="120"/>
            </w:pPr>
            <w:r>
              <w:t>Ces acteurs sont consultés pour s’assurer que les besoins et les priorités de tous les groupes sont représentés et que les obstacles à l’accès sont identifiés et traités.</w:t>
            </w:r>
          </w:p>
        </w:tc>
      </w:tr>
      <w:tr w:rsidR="005C643C" w14:paraId="25E62610" w14:textId="77777777">
        <w:trPr>
          <w:jc w:val="center"/>
        </w:trPr>
        <w:tc>
          <w:tcPr>
            <w:tcW w:w="2415" w:type="dxa"/>
          </w:tcPr>
          <w:p w14:paraId="000000A4" w14:textId="77777777" w:rsidR="005C643C" w:rsidRDefault="00913B65">
            <w:pPr>
              <w:spacing w:before="120" w:after="120"/>
            </w:pPr>
            <w:r>
              <w:t>Représentants d’autres secteurs.</w:t>
            </w:r>
          </w:p>
        </w:tc>
        <w:tc>
          <w:tcPr>
            <w:tcW w:w="2160" w:type="dxa"/>
          </w:tcPr>
          <w:p w14:paraId="000000A5" w14:textId="77777777" w:rsidR="005C643C" w:rsidRDefault="00913B65">
            <w:pPr>
              <w:spacing w:before="120" w:after="120"/>
            </w:pPr>
            <w:r>
              <w:t xml:space="preserve">Responsabilité d’intégrer l’atténuation des risques de VBG dans les interventions sectorielles </w:t>
            </w:r>
            <w:r>
              <w:br/>
              <w:t xml:space="preserve">[par exemple, la coordination et la gestion des camps (CCCM) ; l’eau, l’assainissement et l’hygiène pour tous (WASH) ; la sécurité alimentaire, l’éducation et les abris et les articles </w:t>
            </w:r>
            <w:r>
              <w:lastRenderedPageBreak/>
              <w:t>non alimentaires, entre autres].</w:t>
            </w:r>
          </w:p>
        </w:tc>
        <w:tc>
          <w:tcPr>
            <w:tcW w:w="2055" w:type="dxa"/>
          </w:tcPr>
          <w:p w14:paraId="000000A6" w14:textId="77777777" w:rsidR="005C643C" w:rsidRDefault="005C643C">
            <w:pPr>
              <w:spacing w:before="120" w:after="120"/>
              <w:jc w:val="both"/>
            </w:pPr>
          </w:p>
        </w:tc>
        <w:tc>
          <w:tcPr>
            <w:tcW w:w="1365" w:type="dxa"/>
          </w:tcPr>
          <w:p w14:paraId="000000A7" w14:textId="77777777" w:rsidR="005C643C" w:rsidRDefault="00913B65">
            <w:pPr>
              <w:spacing w:before="120" w:after="120"/>
              <w:jc w:val="both"/>
            </w:pPr>
            <w:r>
              <w:t>N</w:t>
            </w:r>
          </w:p>
        </w:tc>
        <w:tc>
          <w:tcPr>
            <w:tcW w:w="1785" w:type="dxa"/>
          </w:tcPr>
          <w:p w14:paraId="000000A8" w14:textId="77777777" w:rsidR="005C643C" w:rsidRDefault="00913B65">
            <w:pPr>
              <w:spacing w:before="120" w:after="120"/>
            </w:pPr>
            <w:r>
              <w:t xml:space="preserve">Ces représentants doivent être consultés afin d’améliorer la coordination et la préparation, de poursuivre l’atténuation des risques et d’autres efforts de prévention sur le terrain, et de veiller à ce que les POS VBG soient alignées sur les autres </w:t>
            </w:r>
            <w:r>
              <w:lastRenderedPageBreak/>
              <w:t>politiques et procédures.</w:t>
            </w:r>
          </w:p>
        </w:tc>
      </w:tr>
      <w:tr w:rsidR="005C643C" w14:paraId="4DA9A363" w14:textId="77777777">
        <w:trPr>
          <w:jc w:val="center"/>
        </w:trPr>
        <w:tc>
          <w:tcPr>
            <w:tcW w:w="2415" w:type="dxa"/>
          </w:tcPr>
          <w:p w14:paraId="000000A9" w14:textId="77777777" w:rsidR="005C643C" w:rsidRDefault="00913B65">
            <w:pPr>
              <w:spacing w:before="120" w:after="120"/>
            </w:pPr>
            <w:r>
              <w:lastRenderedPageBreak/>
              <w:t>Points focaux d’organismes, d’organisations ou de structures de coordination jouant un rôle transversal.</w:t>
            </w:r>
          </w:p>
        </w:tc>
        <w:tc>
          <w:tcPr>
            <w:tcW w:w="2160" w:type="dxa"/>
          </w:tcPr>
          <w:p w14:paraId="000000AA" w14:textId="77777777" w:rsidR="005C643C" w:rsidRDefault="00913B65">
            <w:pPr>
              <w:rPr>
                <w:highlight w:val="yellow"/>
              </w:rPr>
            </w:pPr>
            <w:r>
              <w:t xml:space="preserve">Domaines se recoupant avec la VBG pour la fourniture de services et la coordination qui doivent être harmonisés </w:t>
            </w:r>
          </w:p>
        </w:tc>
        <w:tc>
          <w:tcPr>
            <w:tcW w:w="2055" w:type="dxa"/>
          </w:tcPr>
          <w:p w14:paraId="000000AB" w14:textId="6891004B" w:rsidR="005C643C" w:rsidRDefault="00913B65">
            <w:r>
              <w:t>Protection de l’enfance, santé mentale et soutien psychosocial (SMSPS), pr</w:t>
            </w:r>
            <w:sdt>
              <w:sdtPr>
                <w:tag w:val="goog_rdk_32"/>
                <w:id w:val="312305583"/>
              </w:sdtPr>
              <w:sdtEndPr/>
              <w:sdtContent>
                <w:r>
                  <w:t xml:space="preserve">otection contre </w:t>
                </w:r>
              </w:sdtContent>
            </w:sdt>
            <w:sdt>
              <w:sdtPr>
                <w:tag w:val="goog_rdk_33"/>
                <w:id w:val="-91399389"/>
                <w:showingPlcHdr/>
              </w:sdtPr>
              <w:sdtEndPr/>
              <w:sdtContent>
                <w:r w:rsidR="007512C2">
                  <w:t xml:space="preserve">     </w:t>
                </w:r>
              </w:sdtContent>
            </w:sdt>
            <w:r>
              <w:t xml:space="preserve"> de l’exploitation et des abus sexuels (PEAS), lutte contre la traite des personnes et intégration de la dimension de genre dans l’action humanitaire.</w:t>
            </w:r>
          </w:p>
        </w:tc>
        <w:tc>
          <w:tcPr>
            <w:tcW w:w="1365" w:type="dxa"/>
          </w:tcPr>
          <w:p w14:paraId="000000AC" w14:textId="77777777" w:rsidR="005C643C" w:rsidRDefault="00913B65">
            <w:pPr>
              <w:spacing w:before="120" w:after="120"/>
              <w:jc w:val="both"/>
            </w:pPr>
            <w:r>
              <w:t>O</w:t>
            </w:r>
          </w:p>
        </w:tc>
        <w:tc>
          <w:tcPr>
            <w:tcW w:w="1785" w:type="dxa"/>
          </w:tcPr>
          <w:p w14:paraId="000000AD" w14:textId="77777777" w:rsidR="005C643C" w:rsidRDefault="00913B65">
            <w:pPr>
              <w:spacing w:before="120" w:after="120"/>
            </w:pPr>
            <w:r>
              <w:t xml:space="preserve">Consulter ces points focaux lors de l’élaboration des POS VBG afin de s’assurer qu’elles sont alignées sur les autres politiques et procédures et qu’elles ne font pas double emploi. </w:t>
            </w:r>
            <w:r>
              <w:br/>
              <w:t xml:space="preserve">L’inclusion de ces points focaux peut varier en fonction du contexte. </w:t>
            </w:r>
          </w:p>
        </w:tc>
      </w:tr>
      <w:tr w:rsidR="005C643C" w14:paraId="4A6E424B" w14:textId="77777777">
        <w:trPr>
          <w:jc w:val="center"/>
        </w:trPr>
        <w:tc>
          <w:tcPr>
            <w:tcW w:w="2415" w:type="dxa"/>
          </w:tcPr>
          <w:p w14:paraId="000000AE" w14:textId="77777777" w:rsidR="005C643C" w:rsidRDefault="00913B65">
            <w:pPr>
              <w:spacing w:before="120" w:after="120"/>
              <w:jc w:val="both"/>
            </w:pPr>
            <w:r>
              <w:t>Organisations locales.</w:t>
            </w:r>
          </w:p>
        </w:tc>
        <w:tc>
          <w:tcPr>
            <w:tcW w:w="2160" w:type="dxa"/>
          </w:tcPr>
          <w:p w14:paraId="000000AF" w14:textId="77777777" w:rsidR="005C643C" w:rsidRDefault="00913B65">
            <w:pPr>
              <w:spacing w:before="120" w:after="120"/>
            </w:pPr>
            <w:r>
              <w:t>Diverses responsabilités en matière de VBG, y compris la fourniture de services, le plaidoyer et le renforcement des capacités.</w:t>
            </w:r>
          </w:p>
        </w:tc>
        <w:tc>
          <w:tcPr>
            <w:tcW w:w="2055" w:type="dxa"/>
          </w:tcPr>
          <w:p w14:paraId="000000B0" w14:textId="1DC52CAB" w:rsidR="005C643C" w:rsidRDefault="00913B65">
            <w:pPr>
              <w:spacing w:before="120" w:after="120"/>
            </w:pPr>
            <w:r>
              <w:t>Organisations dirigées par des femmes et organisations de défense des droits des femmes, organisations de la société civile, militant</w:t>
            </w:r>
            <w:sdt>
              <w:sdtPr>
                <w:tag w:val="goog_rdk_34"/>
                <w:id w:val="-2439718"/>
                <w:showingPlcHdr/>
              </w:sdtPr>
              <w:sdtEndPr/>
              <w:sdtContent>
                <w:r w:rsidR="007512C2">
                  <w:t xml:space="preserve">     </w:t>
                </w:r>
              </w:sdtContent>
            </w:sdt>
            <w:r>
              <w:t xml:space="preserve"> de la cause des femmes, organisations dirigées par des jeunes, organisations dirigées par des personnes </w:t>
            </w:r>
            <w:r>
              <w:lastRenderedPageBreak/>
              <w:t>déplacées et apatrides et autres organisations représentant des groupes à risque.</w:t>
            </w:r>
          </w:p>
        </w:tc>
        <w:tc>
          <w:tcPr>
            <w:tcW w:w="1365" w:type="dxa"/>
          </w:tcPr>
          <w:p w14:paraId="000000B1" w14:textId="77777777" w:rsidR="005C643C" w:rsidRDefault="00913B65">
            <w:pPr>
              <w:spacing w:before="120" w:after="120"/>
              <w:jc w:val="both"/>
            </w:pPr>
            <w:r>
              <w:lastRenderedPageBreak/>
              <w:t>O</w:t>
            </w:r>
          </w:p>
        </w:tc>
        <w:tc>
          <w:tcPr>
            <w:tcW w:w="1785" w:type="dxa"/>
          </w:tcPr>
          <w:p w14:paraId="000000B2" w14:textId="77777777" w:rsidR="005C643C" w:rsidRDefault="00913B65">
            <w:pPr>
              <w:spacing w:before="120" w:after="120"/>
            </w:pPr>
            <w:r>
              <w:t xml:space="preserve">Les coordonnateurs de la lutte contre la VBG et le groupe de référence pour les POS favorisent l’inclusion et la participation des organisations dirigées par des femmes et des organisations de défense des droits des </w:t>
            </w:r>
            <w:r>
              <w:lastRenderedPageBreak/>
              <w:t>femmes au processus d’élaboration des POS VBG en soutenant les participants potentiels ayant des besoins en matière d’accès (par exemple, transport, garde d’enfants, accès à Internet, etc.).</w:t>
            </w:r>
          </w:p>
        </w:tc>
      </w:tr>
      <w:tr w:rsidR="005C643C" w14:paraId="02F21CDA" w14:textId="77777777">
        <w:trPr>
          <w:jc w:val="center"/>
        </w:trPr>
        <w:tc>
          <w:tcPr>
            <w:tcW w:w="2415" w:type="dxa"/>
          </w:tcPr>
          <w:p w14:paraId="000000B3" w14:textId="77777777" w:rsidR="005C643C" w:rsidRDefault="00913B65">
            <w:pPr>
              <w:spacing w:before="120" w:after="120"/>
            </w:pPr>
            <w:r>
              <w:lastRenderedPageBreak/>
              <w:t>Communautés.</w:t>
            </w:r>
          </w:p>
        </w:tc>
        <w:tc>
          <w:tcPr>
            <w:tcW w:w="2160" w:type="dxa"/>
          </w:tcPr>
          <w:p w14:paraId="000000B4" w14:textId="77777777" w:rsidR="005C643C" w:rsidRDefault="00913B65">
            <w:pPr>
              <w:spacing w:before="120" w:after="120"/>
            </w:pPr>
            <w:r>
              <w:t>Les consulter lors de l’élaboration des POS VBG et partager le document final avec elles (en particulier les parcours d’orientation, les points d’entrée et les mécanismes de rétroaction).</w:t>
            </w:r>
          </w:p>
        </w:tc>
        <w:tc>
          <w:tcPr>
            <w:tcW w:w="2055" w:type="dxa"/>
          </w:tcPr>
          <w:p w14:paraId="000000B5" w14:textId="77777777" w:rsidR="005C643C" w:rsidRDefault="00913B65">
            <w:pPr>
              <w:spacing w:before="120" w:after="120"/>
            </w:pPr>
            <w:r>
              <w:t>Des dirigeants et des membres de la communauté représentant divers groupes de personnes.</w:t>
            </w:r>
          </w:p>
        </w:tc>
        <w:tc>
          <w:tcPr>
            <w:tcW w:w="1365" w:type="dxa"/>
          </w:tcPr>
          <w:p w14:paraId="000000B6" w14:textId="77777777" w:rsidR="005C643C" w:rsidRDefault="00913B65">
            <w:pPr>
              <w:spacing w:before="120" w:after="120"/>
            </w:pPr>
            <w:r>
              <w:t>N</w:t>
            </w:r>
          </w:p>
        </w:tc>
        <w:tc>
          <w:tcPr>
            <w:tcW w:w="1785" w:type="dxa"/>
          </w:tcPr>
          <w:p w14:paraId="000000B7" w14:textId="77777777" w:rsidR="005C643C" w:rsidRDefault="00913B65">
            <w:pPr>
              <w:spacing w:before="120" w:after="120"/>
            </w:pPr>
            <w:r>
              <w:t>Soutenir ou établir des canaux inclusifs pour consulter les personnes touchées, en s’appuyant sur les canaux de communication privilégiés et fiables.</w:t>
            </w:r>
          </w:p>
        </w:tc>
      </w:tr>
      <w:tr w:rsidR="005C643C" w14:paraId="1D49965D" w14:textId="77777777">
        <w:trPr>
          <w:jc w:val="center"/>
        </w:trPr>
        <w:tc>
          <w:tcPr>
            <w:tcW w:w="2415" w:type="dxa"/>
            <w:shd w:val="clear" w:color="auto" w:fill="auto"/>
          </w:tcPr>
          <w:p w14:paraId="000000B8" w14:textId="77777777" w:rsidR="005C643C" w:rsidRDefault="00913B65">
            <w:pPr>
              <w:spacing w:before="120" w:after="120"/>
            </w:pPr>
            <w:r>
              <w:t>Représentants des gouvernements locaux et/ou nationaux.</w:t>
            </w:r>
          </w:p>
        </w:tc>
        <w:tc>
          <w:tcPr>
            <w:tcW w:w="2160" w:type="dxa"/>
          </w:tcPr>
          <w:p w14:paraId="000000B9" w14:textId="77777777" w:rsidR="005C643C" w:rsidRDefault="00913B65">
            <w:pPr>
              <w:spacing w:before="120" w:after="120"/>
            </w:pPr>
            <w:r>
              <w:t>Représentants des gouvernements qui (</w:t>
            </w:r>
            <w:proofErr w:type="spellStart"/>
            <w:r>
              <w:t>co</w:t>
            </w:r>
            <w:proofErr w:type="spellEnd"/>
            <w:r>
              <w:t xml:space="preserve">)dirigent un groupe de coordination et jouent le rôle de coordonnateurs de la lutte contre la VBG décrit dans les étapes ci-dessus. Autrement, ils doivent être consultés lors de l’élaboration des POS. </w:t>
            </w:r>
          </w:p>
        </w:tc>
        <w:tc>
          <w:tcPr>
            <w:tcW w:w="2055" w:type="dxa"/>
          </w:tcPr>
          <w:p w14:paraId="000000BA" w14:textId="77777777" w:rsidR="005C643C" w:rsidRDefault="00913B65">
            <w:pPr>
              <w:spacing w:before="120" w:after="120"/>
            </w:pPr>
            <w:r>
              <w:t xml:space="preserve">Représentants des ministères compétents. </w:t>
            </w:r>
          </w:p>
        </w:tc>
        <w:tc>
          <w:tcPr>
            <w:tcW w:w="1365" w:type="dxa"/>
          </w:tcPr>
          <w:p w14:paraId="000000BB" w14:textId="77777777" w:rsidR="005C643C" w:rsidRDefault="00913B65">
            <w:pPr>
              <w:spacing w:before="120" w:after="120"/>
              <w:jc w:val="both"/>
            </w:pPr>
            <w:r>
              <w:t>O</w:t>
            </w:r>
          </w:p>
        </w:tc>
        <w:tc>
          <w:tcPr>
            <w:tcW w:w="1785" w:type="dxa"/>
          </w:tcPr>
          <w:p w14:paraId="000000BC" w14:textId="77777777" w:rsidR="005C643C" w:rsidRDefault="00913B65">
            <w:pPr>
              <w:spacing w:before="120"/>
            </w:pPr>
            <w:r>
              <w:t xml:space="preserve">Idéalement, des points focaux sur la VBG, le genre ou les femmes. </w:t>
            </w:r>
          </w:p>
          <w:p w14:paraId="000000BD" w14:textId="77777777" w:rsidR="005C643C" w:rsidRDefault="00913B65">
            <w:pPr>
              <w:spacing w:after="120"/>
            </w:pPr>
            <w:r>
              <w:t xml:space="preserve">Tenir compte de la sécurité de tous les acteurs de la lutte contre la VBG lors des contacts avec les homologues gouvernementaux. </w:t>
            </w:r>
          </w:p>
        </w:tc>
      </w:tr>
    </w:tbl>
    <w:p w14:paraId="000000BE" w14:textId="77777777" w:rsidR="005C643C" w:rsidRDefault="00913B65">
      <w:pPr>
        <w:pStyle w:val="Heading3"/>
        <w:numPr>
          <w:ilvl w:val="2"/>
          <w:numId w:val="1"/>
        </w:numPr>
      </w:pPr>
      <w:bookmarkStart w:id="22" w:name="_heading=h.3dy6vkm" w:colFirst="0" w:colLast="0"/>
      <w:bookmarkEnd w:id="22"/>
      <w:r>
        <w:lastRenderedPageBreak/>
        <w:t>Participation des femmes et des filles</w:t>
      </w:r>
    </w:p>
    <w:p w14:paraId="000000BF" w14:textId="77777777" w:rsidR="005C643C" w:rsidRDefault="00913B65">
      <w:pPr>
        <w:spacing w:before="120" w:after="120"/>
        <w:jc w:val="both"/>
      </w:pPr>
      <w:r>
        <w:t>Les femmes et les filles doivent être mobilisées comme partenaires actives et comme fer de lance de l’action destinée à amener le secteur humanitaire à atténuer et à prévenir la VBG et à appuyer l’accès des survivantes à des services de qualité.</w:t>
      </w:r>
      <w:r>
        <w:rPr>
          <w:vertAlign w:val="superscript"/>
        </w:rPr>
        <w:footnoteReference w:id="5"/>
      </w:r>
      <w:r>
        <w:t xml:space="preserve"> </w:t>
      </w:r>
    </w:p>
    <w:p w14:paraId="000000C0" w14:textId="77777777" w:rsidR="005C643C" w:rsidRDefault="00913B65">
      <w:pPr>
        <w:spacing w:before="120" w:after="120"/>
        <w:jc w:val="both"/>
      </w:pPr>
      <w:r>
        <w:t xml:space="preserve">La participation des femmes et des filles par le biais de mécanismes réguliers de rétroaction ou de responsabilisation est un moyen de contrôler les conséquences néfastes involontaires de la programmation de l’action humanitaire. </w:t>
      </w:r>
    </w:p>
    <w:p w14:paraId="000000C1" w14:textId="77777777" w:rsidR="005C643C" w:rsidRDefault="00913B65">
      <w:pPr>
        <w:spacing w:before="120" w:after="120"/>
        <w:jc w:val="both"/>
      </w:pPr>
      <w:r>
        <w:t>L’implication effective des femmes et des filles dans le processus d’élaboration des POS peut prendre différentes formes. En fonction du contexte et des ressources disponibles, les femmes et les filles peuvent être incluses via les moyens suivants :</w:t>
      </w:r>
    </w:p>
    <w:p w14:paraId="000000C2" w14:textId="77777777" w:rsidR="005C643C" w:rsidRDefault="00913B65">
      <w:pPr>
        <w:numPr>
          <w:ilvl w:val="0"/>
          <w:numId w:val="5"/>
        </w:numPr>
        <w:pBdr>
          <w:top w:val="nil"/>
          <w:left w:val="nil"/>
          <w:bottom w:val="nil"/>
          <w:right w:val="nil"/>
          <w:between w:val="nil"/>
        </w:pBdr>
        <w:spacing w:before="120" w:after="120"/>
        <w:jc w:val="both"/>
      </w:pPr>
      <w:r>
        <w:t>Conseil : des femmes et des jeunes peuvent être recrutés au sein de la communauté pour travailler à la rédaction des POS.</w:t>
      </w:r>
    </w:p>
    <w:p w14:paraId="000000C3" w14:textId="77777777" w:rsidR="005C643C" w:rsidRDefault="00913B65">
      <w:pPr>
        <w:numPr>
          <w:ilvl w:val="0"/>
          <w:numId w:val="5"/>
        </w:numPr>
        <w:pBdr>
          <w:top w:val="nil"/>
          <w:left w:val="nil"/>
          <w:bottom w:val="nil"/>
          <w:right w:val="nil"/>
          <w:between w:val="nil"/>
        </w:pBdr>
        <w:spacing w:before="120" w:after="120"/>
        <w:jc w:val="both"/>
      </w:pPr>
      <w:r>
        <w:t>Consultation : avant et après l’élaboration des POS, afin de recueillir leurs idées sur le processus d’élaboration et leur rétroaction/validation par la suite.</w:t>
      </w:r>
    </w:p>
    <w:p w14:paraId="000000C4" w14:textId="77777777" w:rsidR="005C643C" w:rsidRDefault="00913B65">
      <w:pPr>
        <w:numPr>
          <w:ilvl w:val="0"/>
          <w:numId w:val="5"/>
        </w:numPr>
        <w:pBdr>
          <w:top w:val="nil"/>
          <w:left w:val="nil"/>
          <w:bottom w:val="nil"/>
          <w:right w:val="nil"/>
          <w:between w:val="nil"/>
        </w:pBdr>
        <w:spacing w:before="120" w:after="120"/>
        <w:jc w:val="both"/>
      </w:pPr>
      <w:r>
        <w:t>Séances d’examen régulières avec des femmes et des filles afin de suivre et d’évaluer les POS. Dans la mesure du possible, faire participer la communauté au suivi et à l’évaluation de la mise en œuvre des POS.</w:t>
      </w:r>
    </w:p>
    <w:p w14:paraId="000000C5" w14:textId="77777777" w:rsidR="005C643C" w:rsidRDefault="00913B65">
      <w:pPr>
        <w:numPr>
          <w:ilvl w:val="0"/>
          <w:numId w:val="5"/>
        </w:numPr>
        <w:pBdr>
          <w:top w:val="nil"/>
          <w:left w:val="nil"/>
          <w:bottom w:val="nil"/>
          <w:right w:val="nil"/>
          <w:between w:val="nil"/>
        </w:pBdr>
        <w:spacing w:before="120" w:after="120"/>
        <w:jc w:val="both"/>
      </w:pPr>
      <w:r>
        <w:t>L’inclusion d’organisations dirigées par des femmes, en particulier parmi les personnes touchées, le cas échéant, tout au long du processus d’élaboration.</w:t>
      </w:r>
    </w:p>
    <w:p w14:paraId="000000C6" w14:textId="77777777" w:rsidR="005C643C" w:rsidRDefault="00913B65">
      <w:pPr>
        <w:spacing w:before="120" w:after="120"/>
        <w:jc w:val="both"/>
      </w:pPr>
      <w:r>
        <w:t>Les informations recueillies en consultant les femmes et les filles des populations touchées servent de base aux POS VBG et à l’ensemble des programmes dans ce domaine, et soutiennent l’accès aux services ainsi que la prévention de la VBG et l’atténuation des risques en la matière. La participation des femmes et des filles, notamment en trouvant des moyens de permettre à celles qui sont marginalisées de s’exprimer en toute sécurité, contribue à améliorer l’exactitude des données de suivi et d’évaluation pour une réponse plus efficace et adaptée au contexte.</w:t>
      </w:r>
      <w:r>
        <w:rPr>
          <w:vertAlign w:val="superscript"/>
        </w:rPr>
        <w:footnoteReference w:id="6"/>
      </w:r>
    </w:p>
    <w:p w14:paraId="000000C7" w14:textId="77777777" w:rsidR="005C643C" w:rsidRDefault="00913B65">
      <w:pPr>
        <w:spacing w:before="120" w:after="120"/>
        <w:jc w:val="both"/>
      </w:pPr>
      <w:r>
        <w:t>Les consultations et la collecte d’informations doivent se faire de manière sûre et éthique,</w:t>
      </w:r>
      <w:r>
        <w:rPr>
          <w:vertAlign w:val="superscript"/>
        </w:rPr>
        <w:footnoteReference w:id="7"/>
      </w:r>
      <w:r>
        <w:t xml:space="preserve"> en fonction des modes de communication et d’engagement préférés des femmes et des filles. Il peut s’avérer nécessaire d’établir différentes manières de mobiliser les parties prenantes de la communauté afin de garantir l’accès et l’inclusion et d’atténuer les risques.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9350"/>
      </w:tblGrid>
      <w:tr w:rsidR="005C643C" w14:paraId="64F33DCB" w14:textId="77777777">
        <w:tc>
          <w:tcPr>
            <w:tcW w:w="9350" w:type="dxa"/>
          </w:tcPr>
          <w:p w14:paraId="000000C8" w14:textId="77777777" w:rsidR="005C643C" w:rsidRDefault="00913B65">
            <w:pPr>
              <w:spacing w:before="120" w:after="120"/>
              <w:jc w:val="both"/>
              <w:rPr>
                <w:b/>
              </w:rPr>
            </w:pPr>
            <w:r>
              <w:rPr>
                <w:b/>
              </w:rPr>
              <w:t>Point clé : Surmonter les obstacles à la participation des femmes et des filles</w:t>
            </w:r>
            <w:r>
              <w:rPr>
                <w:b/>
                <w:vertAlign w:val="superscript"/>
              </w:rPr>
              <w:footnoteReference w:id="8"/>
            </w:r>
          </w:p>
          <w:p w14:paraId="000000C9" w14:textId="77777777" w:rsidR="005C643C" w:rsidRDefault="00913B65">
            <w:pPr>
              <w:spacing w:before="120" w:after="120"/>
              <w:jc w:val="both"/>
            </w:pPr>
            <w:r>
              <w:lastRenderedPageBreak/>
              <w:t xml:space="preserve">Lors de la programmation de réunions ou d’activités dans le cadre de l’élaboration des POS, il convient de tenir compte de l’heure et du lieu afin de s’assurer que les femmes et les filles peuvent participer facilement et en toute sécurité. </w:t>
            </w:r>
            <w:r>
              <w:br/>
              <w:t xml:space="preserve">Pour surmonter les obstacles à la participation des femmes et des filles, il est nécessaire de prendre en compte un certain nombre de facteurs : </w:t>
            </w:r>
          </w:p>
          <w:p w14:paraId="000000CA" w14:textId="77777777" w:rsidR="005C643C" w:rsidRDefault="00913B65">
            <w:pPr>
              <w:numPr>
                <w:ilvl w:val="0"/>
                <w:numId w:val="4"/>
              </w:numPr>
              <w:pBdr>
                <w:top w:val="nil"/>
                <w:left w:val="nil"/>
                <w:bottom w:val="nil"/>
                <w:right w:val="nil"/>
                <w:between w:val="nil"/>
              </w:pBdr>
              <w:spacing w:before="120" w:after="120"/>
              <w:jc w:val="both"/>
            </w:pPr>
            <w:r>
              <w:rPr>
                <w:color w:val="000000"/>
              </w:rPr>
              <w:t>L’heure et le lieu des réunions et des activités, ainsi que la manière dont ils sont déterminés et communiqués.</w:t>
            </w:r>
          </w:p>
          <w:p w14:paraId="000000CB" w14:textId="77777777" w:rsidR="005C643C" w:rsidRDefault="00913B65">
            <w:pPr>
              <w:numPr>
                <w:ilvl w:val="0"/>
                <w:numId w:val="4"/>
              </w:numPr>
              <w:pBdr>
                <w:top w:val="nil"/>
                <w:left w:val="nil"/>
                <w:bottom w:val="nil"/>
                <w:right w:val="nil"/>
                <w:between w:val="nil"/>
              </w:pBdr>
              <w:spacing w:before="120" w:after="120"/>
              <w:jc w:val="both"/>
            </w:pPr>
            <w:r>
              <w:rPr>
                <w:color w:val="000000"/>
              </w:rPr>
              <w:t>Déplacements requis (Est-ce sûr ? Les transports sont-ils disponibles et accessibles ? Comment l’acteur du programme de lutte contre la VBG peut-il favoriser la sécurité des déplacements ? Des dispositions doivent-elles être prises pour que les adolescentes, les femmes âgées ou les femmes et les filles handicapées ne soient pas obligées de voyager seules ?).</w:t>
            </w:r>
          </w:p>
          <w:p w14:paraId="000000CC" w14:textId="77777777" w:rsidR="005C643C" w:rsidRDefault="00913B65">
            <w:pPr>
              <w:numPr>
                <w:ilvl w:val="0"/>
                <w:numId w:val="4"/>
              </w:numPr>
              <w:pBdr>
                <w:top w:val="nil"/>
                <w:left w:val="nil"/>
                <w:bottom w:val="nil"/>
                <w:right w:val="nil"/>
                <w:between w:val="nil"/>
              </w:pBdr>
              <w:spacing w:before="120" w:after="120"/>
              <w:jc w:val="both"/>
            </w:pPr>
            <w:r>
              <w:rPr>
                <w:color w:val="000000"/>
              </w:rPr>
              <w:t>Mobilité (Les femmes et les filles sont-elles libres de se déplacer et de quitter leur maison/abri ? Faut-il créer des unités mobiles plutôt que d’attendre des femmes et des filles qu’elles se déplacent ?).</w:t>
            </w:r>
          </w:p>
          <w:p w14:paraId="000000CD" w14:textId="77777777" w:rsidR="005C643C" w:rsidRDefault="00913B65">
            <w:pPr>
              <w:numPr>
                <w:ilvl w:val="0"/>
                <w:numId w:val="4"/>
              </w:numPr>
              <w:pBdr>
                <w:top w:val="nil"/>
                <w:left w:val="nil"/>
                <w:bottom w:val="nil"/>
                <w:right w:val="nil"/>
                <w:between w:val="nil"/>
              </w:pBdr>
              <w:spacing w:before="120" w:after="120"/>
              <w:jc w:val="both"/>
            </w:pPr>
            <w:r>
              <w:rPr>
                <w:color w:val="000000"/>
              </w:rPr>
              <w:t>Compensation pour le temps (c’est-à-dire compensation en nature, par exemple nourriture/boisson ou articles non alimentaires).</w:t>
            </w:r>
          </w:p>
          <w:p w14:paraId="000000CE" w14:textId="77777777" w:rsidR="005C643C" w:rsidRDefault="00913B65">
            <w:pPr>
              <w:numPr>
                <w:ilvl w:val="0"/>
                <w:numId w:val="4"/>
              </w:numPr>
              <w:pBdr>
                <w:top w:val="nil"/>
                <w:left w:val="nil"/>
                <w:bottom w:val="nil"/>
                <w:right w:val="nil"/>
                <w:between w:val="nil"/>
              </w:pBdr>
              <w:spacing w:before="120" w:after="120"/>
              <w:jc w:val="both"/>
            </w:pPr>
            <w:r>
              <w:rPr>
                <w:color w:val="000000"/>
              </w:rPr>
              <w:t>Implication de « gardiens </w:t>
            </w:r>
            <w:sdt>
              <w:sdtPr>
                <w:tag w:val="goog_rdk_35"/>
                <w:id w:val="-133648608"/>
              </w:sdtPr>
              <w:sdtEndPr/>
              <w:sdtContent>
                <w:r>
                  <w:rPr>
                    <w:color w:val="000000"/>
                  </w:rPr>
                  <w:t xml:space="preserve">de la culture </w:t>
                </w:r>
              </w:sdtContent>
            </w:sdt>
            <w:r>
              <w:rPr>
                <w:color w:val="000000"/>
              </w:rPr>
              <w:t>» (par exemple, les chefs communautaires et religieux ou d’autres personnes susceptibles d’empêcher ou de faciliter l’accès des femmes et des filles) pour faciliter la participation des femmes et des filles.</w:t>
            </w:r>
          </w:p>
          <w:p w14:paraId="000000CF" w14:textId="77777777" w:rsidR="005C643C" w:rsidRDefault="00913B65">
            <w:pPr>
              <w:numPr>
                <w:ilvl w:val="0"/>
                <w:numId w:val="4"/>
              </w:numPr>
              <w:pBdr>
                <w:top w:val="nil"/>
                <w:left w:val="nil"/>
                <w:bottom w:val="nil"/>
                <w:right w:val="nil"/>
                <w:between w:val="nil"/>
              </w:pBdr>
              <w:spacing w:before="120" w:after="120"/>
              <w:jc w:val="both"/>
            </w:pPr>
            <w:r>
              <w:rPr>
                <w:color w:val="000000"/>
              </w:rPr>
              <w:t>Sûreté, sécurité et acceptabilité des lieux par la communauté.</w:t>
            </w:r>
          </w:p>
          <w:p w14:paraId="000000D0" w14:textId="77777777" w:rsidR="005C643C" w:rsidRDefault="00913B65">
            <w:pPr>
              <w:numPr>
                <w:ilvl w:val="0"/>
                <w:numId w:val="4"/>
              </w:numPr>
              <w:pBdr>
                <w:top w:val="nil"/>
                <w:left w:val="nil"/>
                <w:bottom w:val="nil"/>
                <w:right w:val="nil"/>
                <w:between w:val="nil"/>
              </w:pBdr>
              <w:spacing w:before="120" w:after="120"/>
              <w:jc w:val="both"/>
            </w:pPr>
            <w:r>
              <w:rPr>
                <w:color w:val="000000"/>
              </w:rPr>
              <w:t xml:space="preserve">Stratégies de sensibilisation visant à garantir la participation des femmes et des filles (par exemple, en faisant appel à des volontaires issus des communautés cibles et en mettant en place des structures d’accueil pour les enfants). </w:t>
            </w:r>
          </w:p>
          <w:p w14:paraId="000000D1" w14:textId="77777777" w:rsidR="005C643C" w:rsidRDefault="00913B65">
            <w:pPr>
              <w:numPr>
                <w:ilvl w:val="0"/>
                <w:numId w:val="4"/>
              </w:numPr>
              <w:pBdr>
                <w:top w:val="nil"/>
                <w:left w:val="nil"/>
                <w:bottom w:val="nil"/>
                <w:right w:val="nil"/>
                <w:between w:val="nil"/>
              </w:pBdr>
              <w:spacing w:before="120" w:after="120"/>
              <w:jc w:val="both"/>
            </w:pPr>
            <w:r>
              <w:rPr>
                <w:color w:val="000000"/>
              </w:rPr>
              <w:t>Facilitation (quels groupes de femmes et de filles se sentent-ils à l’aise pour parler avec quels facilitateurs et autres membres du groupe ?).</w:t>
            </w:r>
          </w:p>
        </w:tc>
      </w:tr>
    </w:tbl>
    <w:p w14:paraId="000000D2" w14:textId="77777777" w:rsidR="005C643C" w:rsidRDefault="00913B65">
      <w:pPr>
        <w:pStyle w:val="Heading1"/>
        <w:numPr>
          <w:ilvl w:val="0"/>
          <w:numId w:val="1"/>
        </w:numPr>
      </w:pPr>
      <w:bookmarkStart w:id="23" w:name="_heading=h.yb2qfijeoacn" w:colFirst="0" w:colLast="0"/>
      <w:bookmarkEnd w:id="23"/>
      <w:r>
        <w:lastRenderedPageBreak/>
        <w:t xml:space="preserve">Élaboration de procédures opérationnelles standard en matière de violence basée sur le genre dans les situations d’urgence aiguës </w:t>
      </w:r>
    </w:p>
    <w:p w14:paraId="000000D3" w14:textId="304F536B" w:rsidR="005C643C" w:rsidRDefault="00913B65">
      <w:pPr>
        <w:spacing w:before="120" w:after="120"/>
        <w:jc w:val="both"/>
      </w:pPr>
      <w:r>
        <w:t xml:space="preserve">Dans une situation d’urgence aiguë, la </w:t>
      </w:r>
      <w:proofErr w:type="gramStart"/>
      <w:r>
        <w:t>première priorité</w:t>
      </w:r>
      <w:proofErr w:type="gramEnd"/>
      <w:r>
        <w:t xml:space="preserve"> est de répertorier les services et de mettre en place un parcours d’orientation afin de garantir l’accès des survivantes à des services </w:t>
      </w:r>
      <w:sdt>
        <w:sdtPr>
          <w:tag w:val="goog_rdk_36"/>
          <w:id w:val="-986936581"/>
        </w:sdtPr>
        <w:sdtEndPr/>
        <w:sdtContent>
          <w:r>
            <w:t xml:space="preserve">VBG </w:t>
          </w:r>
        </w:sdtContent>
      </w:sdt>
      <w:r>
        <w:t xml:space="preserve">spécialisés </w:t>
      </w:r>
      <w:sdt>
        <w:sdtPr>
          <w:tag w:val="goog_rdk_37"/>
          <w:id w:val="645940701"/>
        </w:sdtPr>
        <w:sdtEndPr/>
        <w:sdtContent>
          <w:r>
            <w:t xml:space="preserve"> </w:t>
          </w:r>
        </w:sdtContent>
      </w:sdt>
      <w:sdt>
        <w:sdtPr>
          <w:tag w:val="goog_rdk_38"/>
          <w:id w:val="1890297410"/>
          <w:showingPlcHdr/>
        </w:sdtPr>
        <w:sdtEndPr/>
        <w:sdtContent>
          <w:r w:rsidR="007512C2">
            <w:t xml:space="preserve">     </w:t>
          </w:r>
        </w:sdtContent>
      </w:sdt>
      <w:r>
        <w:t xml:space="preserve"> dès que possible. Lorsque les informations sur les services ou les services eux-mêmes sont limités, il se peut que le parcours d’orientation mis en place en premier lieu n’inclue pas tous les services.</w:t>
      </w:r>
    </w:p>
    <w:p w14:paraId="000000D4" w14:textId="77777777" w:rsidR="005C643C" w:rsidRDefault="00913B65">
      <w:pPr>
        <w:spacing w:before="120" w:after="120"/>
        <w:jc w:val="both"/>
      </w:pPr>
      <w:r>
        <w:t xml:space="preserve">Dans de telles situations, une élaboration de POS VBG qui soit assez rapide pour répondre aux besoins immédiats n’est pas quelque chose de réaliste. Certaines sections du modèle de POS VBG exigent des négociations et des discussions, ce qui pourrait ne pas être possible ou approprié dans les premières phases d’une situation d’urgence. </w:t>
      </w:r>
    </w:p>
    <w:p w14:paraId="000000D5" w14:textId="77777777" w:rsidR="005C643C" w:rsidRDefault="00913B65">
      <w:pPr>
        <w:spacing w:before="120" w:after="120"/>
        <w:jc w:val="both"/>
      </w:pPr>
      <w:r>
        <w:lastRenderedPageBreak/>
        <w:t xml:space="preserve">Dans ce cas, il convient d’élaborer (en commençant dans les deux premiers mois) des </w:t>
      </w:r>
      <w:r>
        <w:rPr>
          <w:b/>
        </w:rPr>
        <w:t>POS VBG préliminaires</w:t>
      </w:r>
      <w:r>
        <w:t xml:space="preserve"> qui couvrent les sections les plus pertinentes et les plus immédiatement nécessaires du modèle de POS VBG. Celles-ci doivent être rédigées par les services de santé, les services psychosociaux, les services de gestion des cas et tout autre acteur de la protection qui fournira des services (par exemple, les acteurs de la sûreté/sécurité et de l’aide juridique / de l’accès à la justice).</w:t>
      </w:r>
    </w:p>
    <w:p w14:paraId="000000D6" w14:textId="77777777" w:rsidR="005C643C" w:rsidRDefault="00913B65">
      <w:pPr>
        <w:spacing w:before="120" w:after="120"/>
        <w:jc w:val="both"/>
        <w:rPr>
          <w:u w:val="single"/>
        </w:rPr>
      </w:pPr>
      <w:r>
        <w:rPr>
          <w:b/>
          <w:u w:val="single"/>
        </w:rPr>
        <w:t>L’existence de procédures opérationnelles standard claires en matière de violence basée sur le genre est plus importante que leur exhaustivité.</w:t>
      </w:r>
    </w:p>
    <w:p w14:paraId="000000D7" w14:textId="77777777" w:rsidR="005C643C" w:rsidRDefault="00913B65">
      <w:pPr>
        <w:spacing w:before="120" w:after="120"/>
        <w:jc w:val="both"/>
      </w:pPr>
      <w:r>
        <w:t>Les POS VBG doivent au moins comprendre les sections suivantes :</w:t>
      </w:r>
    </w:p>
    <w:p w14:paraId="000000D8" w14:textId="77777777" w:rsidR="005C643C" w:rsidRDefault="00913B65">
      <w:pPr>
        <w:numPr>
          <w:ilvl w:val="0"/>
          <w:numId w:val="3"/>
        </w:numPr>
        <w:pBdr>
          <w:top w:val="nil"/>
          <w:left w:val="nil"/>
          <w:bottom w:val="nil"/>
          <w:right w:val="nil"/>
          <w:between w:val="nil"/>
        </w:pBdr>
        <w:spacing w:before="120" w:after="120"/>
        <w:ind w:left="714" w:hanging="357"/>
        <w:jc w:val="both"/>
      </w:pPr>
      <w:r>
        <w:t>Termes relatifs à la VBG (section 1).</w:t>
      </w:r>
    </w:p>
    <w:p w14:paraId="000000D9" w14:textId="77777777" w:rsidR="005C643C" w:rsidRDefault="00913B65">
      <w:pPr>
        <w:numPr>
          <w:ilvl w:val="0"/>
          <w:numId w:val="3"/>
        </w:numPr>
        <w:pBdr>
          <w:top w:val="nil"/>
          <w:left w:val="nil"/>
          <w:bottom w:val="nil"/>
          <w:right w:val="nil"/>
          <w:between w:val="nil"/>
        </w:pBdr>
        <w:spacing w:before="120" w:after="120"/>
        <w:ind w:left="714" w:hanging="357"/>
        <w:jc w:val="both"/>
      </w:pPr>
      <w:r>
        <w:t>Principes directeurs de l’action contre la VBG (section 2).</w:t>
      </w:r>
    </w:p>
    <w:p w14:paraId="000000DA" w14:textId="77777777" w:rsidR="005C643C" w:rsidRDefault="00913B65">
      <w:pPr>
        <w:numPr>
          <w:ilvl w:val="0"/>
          <w:numId w:val="3"/>
        </w:numPr>
        <w:pBdr>
          <w:top w:val="nil"/>
          <w:left w:val="nil"/>
          <w:bottom w:val="nil"/>
          <w:right w:val="nil"/>
          <w:between w:val="nil"/>
        </w:pBdr>
        <w:spacing w:before="120" w:after="120"/>
        <w:ind w:left="714" w:hanging="357"/>
        <w:jc w:val="both"/>
      </w:pPr>
      <w:r>
        <w:t xml:space="preserve">Considérations clés pour les services </w:t>
      </w:r>
      <w:sdt>
        <w:sdtPr>
          <w:tag w:val="goog_rdk_39"/>
          <w:id w:val="-1673707657"/>
        </w:sdtPr>
        <w:sdtEndPr/>
        <w:sdtContent/>
      </w:sdt>
      <w:r>
        <w:t>d’intervention, y compris le consentement</w:t>
      </w:r>
      <w:sdt>
        <w:sdtPr>
          <w:tag w:val="goog_rdk_40"/>
          <w:id w:val="-1528715548"/>
        </w:sdtPr>
        <w:sdtEndPr/>
        <w:sdtContent>
          <w:r>
            <w:t xml:space="preserve"> éclairé</w:t>
          </w:r>
        </w:sdtContent>
      </w:sdt>
      <w:r>
        <w:t>, la divulgation et le signalement obligatoire (section 3).</w:t>
      </w:r>
    </w:p>
    <w:p w14:paraId="000000DB" w14:textId="77777777" w:rsidR="005C643C" w:rsidRDefault="00913B65">
      <w:pPr>
        <w:numPr>
          <w:ilvl w:val="0"/>
          <w:numId w:val="3"/>
        </w:numPr>
        <w:pBdr>
          <w:top w:val="nil"/>
          <w:left w:val="nil"/>
          <w:bottom w:val="nil"/>
          <w:right w:val="nil"/>
          <w:between w:val="nil"/>
        </w:pBdr>
        <w:spacing w:before="120" w:after="120"/>
        <w:ind w:left="714" w:hanging="357"/>
        <w:jc w:val="both"/>
      </w:pPr>
      <w:r>
        <w:t>Audit de sécurité et cartographie des services dans le contexte (section 4).</w:t>
      </w:r>
    </w:p>
    <w:p w14:paraId="000000DC" w14:textId="77777777" w:rsidR="005C643C" w:rsidRDefault="00913B65">
      <w:pPr>
        <w:numPr>
          <w:ilvl w:val="0"/>
          <w:numId w:val="3"/>
        </w:numPr>
        <w:pBdr>
          <w:top w:val="nil"/>
          <w:left w:val="nil"/>
          <w:bottom w:val="nil"/>
          <w:right w:val="nil"/>
          <w:between w:val="nil"/>
        </w:pBdr>
        <w:spacing w:before="120" w:after="120"/>
        <w:ind w:left="714" w:hanging="357"/>
        <w:jc w:val="both"/>
      </w:pPr>
      <w:r>
        <w:t>Parcours d’orientation (section 5).</w:t>
      </w:r>
    </w:p>
    <w:p w14:paraId="000000DD" w14:textId="77777777" w:rsidR="005C643C" w:rsidRDefault="00913B65">
      <w:pPr>
        <w:spacing w:before="120" w:after="120"/>
        <w:jc w:val="both"/>
      </w:pPr>
      <w:r>
        <w:t xml:space="preserve">Dans les situations où des POS VBG existent déjà pour une intervention au niveau de l’État ou du pays, il peut être nécessaire de mettre en place un parcours d’orientation </w:t>
      </w:r>
      <w:sdt>
        <w:sdtPr>
          <w:tag w:val="goog_rdk_41"/>
          <w:id w:val="-624543746"/>
        </w:sdtPr>
        <w:sdtEndPr/>
        <w:sdtContent>
          <w:r>
            <w:t xml:space="preserve">ou système de référencement </w:t>
          </w:r>
        </w:sdtContent>
      </w:sdt>
      <w:r>
        <w:t xml:space="preserve">dans une situation d’urgence spécifique ou dans un nouveau lieu d’intervention uniquement afin d’adapter les POS de l’État ou du pays au contexte. Pour des indications supplémentaires sur l’élaboration de POS lorsqu’il existe des stratégies/documents nationaux sur la VBG, voir section 3.2 Phases du processus d’élaboration des POS VBG – étape 1. </w:t>
      </w:r>
    </w:p>
    <w:p w14:paraId="000000DE" w14:textId="77777777" w:rsidR="005C643C" w:rsidRDefault="00913B65">
      <w:pPr>
        <w:pStyle w:val="Heading1"/>
        <w:numPr>
          <w:ilvl w:val="0"/>
          <w:numId w:val="1"/>
        </w:numPr>
      </w:pPr>
      <w:bookmarkStart w:id="24" w:name="_heading=h.1t3h5sf" w:colFirst="0" w:colLast="0"/>
      <w:bookmarkEnd w:id="24"/>
      <w:r>
        <w:t>Élaboration de procédures opérationnelles standard en matière de violence basée sur le genre dans les camps de réfugiés</w:t>
      </w:r>
    </w:p>
    <w:p w14:paraId="000000DF" w14:textId="77777777" w:rsidR="005C643C" w:rsidRDefault="00913B65">
      <w:pPr>
        <w:spacing w:before="120" w:after="120"/>
        <w:jc w:val="both"/>
      </w:pPr>
      <w:r>
        <w:t xml:space="preserve">Dans les camps de réfugiés, des services supplémentaires liés au traitement des cas de réfugiés seront mis en place. Le traitement des cas de réfugiés, qu’il soit effectué par les gouvernements ou par le HCR, couvre l’enregistrement, la détermination du statut de réfugié (DSR) et l’identification de solutions durables pour les réfugiés et les demandeurs d’asile. </w:t>
      </w:r>
    </w:p>
    <w:p w14:paraId="000000E0" w14:textId="77777777" w:rsidR="005C643C" w:rsidRDefault="00913B65">
      <w:pPr>
        <w:spacing w:before="120" w:after="120"/>
        <w:jc w:val="both"/>
      </w:pPr>
      <w:r>
        <w:t xml:space="preserve">Les différentes composantes du traitement des cas de réfugiés ont leurs propres normes, objectifs, bonnes pratiques et lignes directrices. Au cours du processus de gestion des cas de VBG, une survivante peut chercher à être orientée vers l’une des composantes du traitement des cas de réfugiés. Pour préparer l’élaboration de procédures opérationnelles standard dans les camps de réfugiés, il est important de connaître les POS existantes pour ces processus et de veiller à l’identification et à l’inclusion des points focaux responsables des services. Cela permettra de s’assurer que les critères et processus d’orientation sont correctement décrits dans les POS VBG. Ceci est important pour que tous les acteurs soient conscients des besoins de protection spécifiques des demandeurs d’asile et des réfugiés et des services qui leur sont offerts, afin qu’ils soient en mesure de donner aux survivantes une explication claire des services et des processus au cours de la procédure de consentement éclairé. </w:t>
      </w:r>
    </w:p>
    <w:p w14:paraId="000000E1" w14:textId="77777777" w:rsidR="005C643C" w:rsidRDefault="00913B65">
      <w:pPr>
        <w:pStyle w:val="Heading1"/>
        <w:numPr>
          <w:ilvl w:val="0"/>
          <w:numId w:val="1"/>
        </w:numPr>
      </w:pPr>
      <w:bookmarkStart w:id="25" w:name="_heading=h.bupqdqpcrjpc" w:colFirst="0" w:colLast="0"/>
      <w:bookmarkEnd w:id="25"/>
      <w:r>
        <w:lastRenderedPageBreak/>
        <w:t>Groupes confrontés à une discrimination accrue et à des obstacles à l’accès</w:t>
      </w:r>
    </w:p>
    <w:p w14:paraId="000000E2" w14:textId="77777777" w:rsidR="005C643C" w:rsidRDefault="00913B65">
      <w:pPr>
        <w:spacing w:before="120" w:after="120"/>
        <w:jc w:val="both"/>
      </w:pPr>
      <w:r>
        <w:t xml:space="preserve">Dans tout contexte, il existe des groupes de personnes qui courent un risque accru et qui sont confrontés à des obstacles supplémentaires et/ou plus importants que les autres membres de la population en ce qui concerne l’accès aux services d’intervention. </w:t>
      </w:r>
      <w:r>
        <w:br/>
        <w:t>Il s’agit notamment des femmes et des filles déplacées de force et apatrides, des femmes et des filles handicapées, des adolescentes, des femmes âgées, des femmes, des filles et des autres personnes ayant leurs règles, des femmes et des filles vivant avec le VIH et le sida, des travailleurs du sexe, des femmes et des filles souffrant de troubles mentaux, de problèmes de toxicomanie et des femmes et des filles appartenant à des minorités ethniques et religieuses. Parmi les autres formes de discrimination qui augmentent le risque de VBG, citons celles liées aux diverses orientations sexuelles et identités de genre, au statut socioéconomique, au pays de naissance et au statut juridique, y compris l’apatridie et le statut de demandeur d’asile, à la religion et à l’appartenance ethnique – ces éléments se recoupent avec la discrimination basée sur le genre pour augmenter le risque de VBG.</w:t>
      </w:r>
    </w:p>
    <w:p w14:paraId="000000E3" w14:textId="77777777" w:rsidR="005C643C" w:rsidRDefault="00913B65">
      <w:pPr>
        <w:spacing w:before="120" w:after="120"/>
        <w:jc w:val="both"/>
      </w:pPr>
      <w:r>
        <w:t>Les efforts déployés pour lutter contre la VBG doivent tenir compte des droits et des besoins de ces groupes et les promouvoir. Le travail ciblé avec des groupes à risque spécifiques devrait être entrepris en collaboration avec des organismes ou des organisations qui ont l’expertise nécessaire pour identifier les obstacles supplémentaires et répondre aux besoins de ces groupes marginalisés.</w:t>
      </w:r>
    </w:p>
    <w:p w14:paraId="000000E4" w14:textId="77777777" w:rsidR="005C643C" w:rsidRDefault="00913B65">
      <w:pPr>
        <w:spacing w:before="120" w:after="120"/>
        <w:jc w:val="both"/>
      </w:pPr>
      <w:r>
        <w:t>Lors de l’élaboration des POS VBG :</w:t>
      </w:r>
    </w:p>
    <w:p w14:paraId="000000E5" w14:textId="77777777" w:rsidR="005C643C" w:rsidRDefault="00913B65">
      <w:pPr>
        <w:numPr>
          <w:ilvl w:val="0"/>
          <w:numId w:val="9"/>
        </w:numPr>
        <w:pBdr>
          <w:top w:val="nil"/>
          <w:left w:val="nil"/>
          <w:bottom w:val="nil"/>
          <w:right w:val="nil"/>
          <w:between w:val="nil"/>
        </w:pBdr>
        <w:spacing w:before="120" w:after="120"/>
        <w:jc w:val="both"/>
      </w:pPr>
      <w:r>
        <w:t>Les sections concernées devront inclure des directives opérationnelles spécifiques</w:t>
      </w:r>
      <w:r>
        <w:rPr>
          <w:vertAlign w:val="superscript"/>
        </w:rPr>
        <w:footnoteReference w:id="9"/>
      </w:r>
      <w:r>
        <w:t xml:space="preserve"> sur la manière de répondre aux besoins de ces groupes particuliers. Le modèle contient des indications sur l’endroit où ces informations doivent figurer. Le modèle de POS VBG n’énumère pas tous les obstacles, risques ou discriminations possibles pour les personnes que nous servons dans chaque contexte. Une partie du processus d’élaboration des POS VBG consiste à prendre en compte les obstacles et les risques propres à certains groupes et tous les facteurs aggravants. </w:t>
      </w:r>
    </w:p>
    <w:p w14:paraId="000000E6" w14:textId="77777777" w:rsidR="005C643C" w:rsidRDefault="00913B65">
      <w:pPr>
        <w:numPr>
          <w:ilvl w:val="0"/>
          <w:numId w:val="9"/>
        </w:numPr>
        <w:pBdr>
          <w:top w:val="nil"/>
          <w:left w:val="nil"/>
          <w:bottom w:val="nil"/>
          <w:right w:val="nil"/>
          <w:between w:val="nil"/>
        </w:pBdr>
        <w:spacing w:before="120" w:after="120"/>
        <w:jc w:val="both"/>
      </w:pPr>
      <w:r>
        <w:t xml:space="preserve">Le processus d’élaboration des POS VBG doit intégrer des représentants des groupes exposés à un risque accru de VBG et les organisations qui les soutiennent (voir section 3). Il est important de s’engager aux côtés des membres de la communauté, en particulier les femmes et les filles, dès le début d’une crise, afin d’identifier, d’analyser et de déterminer des stratégies pour lutter contre les formes d’oppression croisées qui exacerbent le risque de VBG et créent des obstacles à l’accès aux services d’intervention liés à la VBG, ainsi qu’à une inclusion et </w:t>
      </w:r>
      <w:proofErr w:type="gramStart"/>
      <w:r>
        <w:t>une participation significatives et sûres</w:t>
      </w:r>
      <w:proofErr w:type="gramEnd"/>
      <w:r>
        <w:t>.</w:t>
      </w:r>
    </w:p>
    <w:p w14:paraId="000000E7" w14:textId="77777777" w:rsidR="005C643C" w:rsidRDefault="00913B65">
      <w:pPr>
        <w:spacing w:before="120" w:after="120"/>
        <w:jc w:val="both"/>
      </w:pPr>
      <w:r>
        <w:t>Parmi les groupes les plus exposés aux risques et aux obstacles à l’accès, on peut citer, entre autres, les suivants :</w:t>
      </w:r>
    </w:p>
    <w:p w14:paraId="000000E8" w14:textId="77777777" w:rsidR="005C643C" w:rsidRDefault="00913B65">
      <w:pPr>
        <w:pStyle w:val="Heading2"/>
        <w:numPr>
          <w:ilvl w:val="1"/>
          <w:numId w:val="1"/>
        </w:numPr>
      </w:pPr>
      <w:bookmarkStart w:id="26" w:name="_heading=h.1ksv4uv" w:colFirst="0" w:colLast="0"/>
      <w:bookmarkEnd w:id="26"/>
      <w:r>
        <w:lastRenderedPageBreak/>
        <w:t xml:space="preserve">Adolescentes </w:t>
      </w:r>
    </w:p>
    <w:p w14:paraId="000000E9" w14:textId="6E400BA8" w:rsidR="005C643C" w:rsidRDefault="00913B65">
      <w:pPr>
        <w:spacing w:before="120" w:after="120"/>
        <w:jc w:val="both"/>
      </w:pPr>
      <w:r>
        <w:t xml:space="preserve">Les adolescentes sont particulièrement vulnérables à la violence basée sur le genre. Elles sont exposées à des risques élevés de restrictions liées aux </w:t>
      </w:r>
      <w:sdt>
        <w:sdtPr>
          <w:tag w:val="goog_rdk_42"/>
          <w:id w:val="1406330716"/>
        </w:sdtPr>
        <w:sdtEndPr/>
        <w:sdtContent>
          <w:r>
            <w:t xml:space="preserve">normes </w:t>
          </w:r>
        </w:sdtContent>
      </w:sdt>
      <w:sdt>
        <w:sdtPr>
          <w:tag w:val="goog_rdk_43"/>
          <w:id w:val="783467058"/>
          <w:showingPlcHdr/>
        </w:sdtPr>
        <w:sdtEndPr/>
        <w:sdtContent>
          <w:r w:rsidR="007512C2">
            <w:t xml:space="preserve">     </w:t>
          </w:r>
        </w:sdtContent>
      </w:sdt>
      <w:r>
        <w:t xml:space="preserve"> culturelles, de violence sexuelle, d’exploitation et de mariage forcé, mais ne sont souvent pas prises en considération pour la fourniture de soins de santé sexuelle et reproductive. Compte tenu de leur âge, des risques de grossesse précoce, du manque de pouvoir de décision, de la privation de ressources et de l’accès limité à l’information et aux services – y compris l’éducation et les soins de santé –, une attention particulière doit être accordée à l’élimination des obstacles et à la facilitation de leur accès aux services.</w:t>
      </w:r>
      <w:r>
        <w:rPr>
          <w:sz w:val="20"/>
          <w:szCs w:val="20"/>
        </w:rPr>
        <w:t xml:space="preserve"> </w:t>
      </w:r>
      <w:r>
        <w:t>Les acteurs spécialisés dans la lutte contre la VBG doivent s’engager à fournir des soins et des services bienveillants qui soient accessibles, acceptables et appropriés pour les adolescentes, jeunes et moins jeunes.</w:t>
      </w:r>
    </w:p>
    <w:p w14:paraId="000000EA" w14:textId="77777777" w:rsidR="005C643C" w:rsidRDefault="00913B65">
      <w:pPr>
        <w:pStyle w:val="Heading2"/>
        <w:numPr>
          <w:ilvl w:val="1"/>
          <w:numId w:val="1"/>
        </w:numPr>
      </w:pPr>
      <w:bookmarkStart w:id="27" w:name="_heading=h.3j2qqm3" w:colFirst="0" w:colLast="0"/>
      <w:bookmarkEnd w:id="27"/>
      <w:r>
        <w:t>Femmes et filles handicapées</w:t>
      </w:r>
    </w:p>
    <w:p w14:paraId="000000EB" w14:textId="77777777" w:rsidR="005C643C" w:rsidRDefault="00913B65">
      <w:pPr>
        <w:spacing w:before="120" w:after="120"/>
        <w:jc w:val="both"/>
      </w:pPr>
      <w:r>
        <w:t>Toute communauté peut comprendre en son sein environ 15 % de personnes handicapées ; ce chiffre augmente dans les contextes de crise humanitaire où les conflits et/ou les catastrophes naturelles entraînent de nouvelles incapacités dues à des blessures et à un accès limité aux soins de santé.</w:t>
      </w:r>
      <w:r>
        <w:rPr>
          <w:vertAlign w:val="superscript"/>
        </w:rPr>
        <w:footnoteReference w:id="10"/>
      </w:r>
      <w:r>
        <w:t xml:space="preserve"> Dans les pays développés, les taux de violence subie sont 4 à 10 fois plus élevés chez les personnes handicapées que chez les personnes non handicapées. Cela </w:t>
      </w:r>
      <w:proofErr w:type="gramStart"/>
      <w:r>
        <w:t>a</w:t>
      </w:r>
      <w:proofErr w:type="gramEnd"/>
      <w:r>
        <w:t xml:space="preserve"> des conséquences importantes pour la protection des femmes et des filles dans les situations humanitaires. </w:t>
      </w:r>
    </w:p>
    <w:p w14:paraId="000000EC" w14:textId="2A0C196E" w:rsidR="005C643C" w:rsidRDefault="00913B65">
      <w:pPr>
        <w:spacing w:before="120" w:after="120"/>
        <w:jc w:val="both"/>
      </w:pPr>
      <w:r>
        <w:t>Les femmes et les filles ayant une déficience intellectuelle sont particulièrement vulnérables à la violence sexuelle. Les personnes ayant un handicap intellectuel, psychosocial ou physique qui sont isolées chez elles signalent des viols et des violences domestiques et au sein du couple. En outre, les femmes et les adolescentes qui assument de manière disproportionnée le rôle d’ai</w:t>
      </w:r>
      <w:sdt>
        <w:sdtPr>
          <w:tag w:val="goog_rdk_44"/>
          <w:id w:val="-971288732"/>
        </w:sdtPr>
        <w:sdtEndPr/>
        <w:sdtContent>
          <w:r>
            <w:t xml:space="preserve">de </w:t>
          </w:r>
        </w:sdtContent>
      </w:sdt>
      <w:sdt>
        <w:sdtPr>
          <w:tag w:val="goog_rdk_45"/>
          <w:id w:val="106013279"/>
          <w:showingPlcHdr/>
        </w:sdtPr>
        <w:sdtEndPr/>
        <w:sdtContent>
          <w:r w:rsidR="007512C2">
            <w:t xml:space="preserve">     </w:t>
          </w:r>
        </w:sdtContent>
      </w:sdt>
      <w:r>
        <w:t xml:space="preserve"> dans les foyers comptant des personnes handicapées peuvent être exposées au harcèlement et à l’exploitation lorsqu’elles demandent de l’aide ou accèdent à des revenus. Les attitudes des familles, des prestataires de services de lutte contre la VBG et des membres de la communauté peuvent être les plus grands obstacles ou les plus grands facilitateurs de l’accès des personnes handicapées à des services et à </w:t>
      </w:r>
      <w:proofErr w:type="gramStart"/>
      <w:r>
        <w:t>une assistance sûrs et efficaces</w:t>
      </w:r>
      <w:proofErr w:type="gramEnd"/>
      <w:r>
        <w:t>. D’autres obstacles devraient être identifiés et atténués, notamment les obstacles physiques à l’accès aux services de lutte contre la VBG, l’inaccessibilité et l’absence de moyens alternatifs pour faciliter l’information et la communication (par exemple, le manque d’interprètes formés à la langue des signes).</w:t>
      </w:r>
    </w:p>
    <w:p w14:paraId="000000ED" w14:textId="77777777" w:rsidR="005C643C" w:rsidRDefault="00913B65">
      <w:pPr>
        <w:pStyle w:val="Heading2"/>
        <w:numPr>
          <w:ilvl w:val="1"/>
          <w:numId w:val="1"/>
        </w:numPr>
      </w:pPr>
      <w:bookmarkStart w:id="28" w:name="_heading=h.qsh70q" w:colFirst="0" w:colLast="0"/>
      <w:bookmarkEnd w:id="28"/>
      <w:r>
        <w:t>Femmes et filles déplacées de force et apatrides</w:t>
      </w:r>
    </w:p>
    <w:p w14:paraId="000000EE" w14:textId="77777777" w:rsidR="005C643C" w:rsidRDefault="00913B65">
      <w:pPr>
        <w:pBdr>
          <w:top w:val="nil"/>
          <w:left w:val="nil"/>
          <w:bottom w:val="nil"/>
          <w:right w:val="nil"/>
          <w:between w:val="nil"/>
        </w:pBdr>
        <w:spacing w:before="120" w:after="120"/>
        <w:jc w:val="both"/>
      </w:pPr>
      <w:r>
        <w:t>Plus de 43 millions de femmes et de filles déplacées de force et apatrides sont exposées à un risque accru de violence basée sur le genre</w:t>
      </w:r>
      <w:r>
        <w:rPr>
          <w:vertAlign w:val="superscript"/>
        </w:rPr>
        <w:footnoteReference w:id="11"/>
      </w:r>
      <w:r>
        <w:t xml:space="preserve"> en raison des difficultés liées aux conflits et aux déplacements, au statut juridique ou à l’absence de celui-ci, au manque de documents, aux barrières linguistiques et aux formes croisées de discrimination.</w:t>
      </w:r>
    </w:p>
    <w:p w14:paraId="000000EF" w14:textId="77777777" w:rsidR="005C643C" w:rsidRDefault="00913B65">
      <w:pPr>
        <w:pBdr>
          <w:top w:val="nil"/>
          <w:left w:val="nil"/>
          <w:bottom w:val="nil"/>
          <w:right w:val="nil"/>
          <w:between w:val="nil"/>
        </w:pBdr>
        <w:spacing w:before="120" w:after="120"/>
        <w:jc w:val="both"/>
      </w:pPr>
      <w:r>
        <w:t xml:space="preserve">Ces difficultés entravent également l’accès des femmes et des filles déplacées de force aux services vitaux destinés aux survivantes de la VBG et à d’autres services essentiels tels que </w:t>
      </w:r>
      <w:r>
        <w:lastRenderedPageBreak/>
        <w:t>l’éducation et les moyens de subsistance, créant ainsi des obstacles supplémentaires qui peuvent accroître leur vulnérabilité à la violence, aux abus et à l’exploitation par le biais d’options de subsistance plus risquées.</w:t>
      </w:r>
    </w:p>
    <w:p w14:paraId="000000F0" w14:textId="77777777" w:rsidR="005C643C" w:rsidRDefault="00913B65">
      <w:pPr>
        <w:pBdr>
          <w:top w:val="nil"/>
          <w:left w:val="nil"/>
          <w:bottom w:val="nil"/>
          <w:right w:val="nil"/>
          <w:between w:val="nil"/>
        </w:pBdr>
        <w:spacing w:before="120" w:after="120"/>
        <w:jc w:val="both"/>
      </w:pPr>
      <w:r>
        <w:t>Les femmes et les filles déplacées de force et apatrides hésitent également à divulguer les incidents de VBG si le signalement nécessite l’intervention des autorités, par crainte d’être arrêtées, expulsées, détenues, discriminées et/ou de subir d’autres mauvais traitements.</w:t>
      </w:r>
    </w:p>
    <w:p w14:paraId="000000F1" w14:textId="77777777" w:rsidR="005C643C" w:rsidRDefault="00913B65">
      <w:pPr>
        <w:pStyle w:val="Heading2"/>
        <w:numPr>
          <w:ilvl w:val="1"/>
          <w:numId w:val="1"/>
        </w:numPr>
      </w:pPr>
      <w:bookmarkStart w:id="29" w:name="_heading=h.1pxezwc" w:colFirst="0" w:colLast="0"/>
      <w:bookmarkEnd w:id="29"/>
      <w:r>
        <w:t>Personnes ayant une orientation sexuelle, une identité de genre, une expression de genre et des caractéristiques sexuelles différentes (OSIEGCS)</w:t>
      </w:r>
    </w:p>
    <w:p w14:paraId="000000F2" w14:textId="77777777" w:rsidR="005C643C" w:rsidRDefault="00913B65">
      <w:pPr>
        <w:spacing w:before="120" w:after="120"/>
        <w:jc w:val="both"/>
      </w:pPr>
      <w:r>
        <w:t xml:space="preserve">Les personnes ayant une orientation sexuelle, une identité de genre, une expression de genre et des caractéristiques sexuelles différentes peuvent figurer parmi les individus les plus isolés et les plus à risque au sein d’une communauté en raison de la discrimination et des menaces de rejet et de préjudice de la part de la famille et de la communauté. Dans toutes les situations humanitaires, les personnes qui ne se conforment pas aux rôles hétéronormatifs prescrits sont exposées à des risques de persécution, de discrimination et de violence du fait de leur orientation sexuelle, de leur identité de genre ou de leur expression de genre, réelles ou perçues comme telles. Les aidants peuvent maltraiter les enfants qui présentent une orientation sexuelle et une identité de genre non conformes et les forcer à un mariage hétérosexuel. </w:t>
      </w:r>
    </w:p>
    <w:p w14:paraId="000000F3" w14:textId="77777777" w:rsidR="005C643C" w:rsidRDefault="00913B65">
      <w:pPr>
        <w:pStyle w:val="Heading2"/>
        <w:numPr>
          <w:ilvl w:val="1"/>
          <w:numId w:val="1"/>
        </w:numPr>
      </w:pPr>
      <w:bookmarkStart w:id="30" w:name="_heading=h.49x2ik5" w:colFirst="0" w:colLast="0"/>
      <w:bookmarkEnd w:id="30"/>
      <w:r>
        <w:t>Femmes âgées</w:t>
      </w:r>
      <w:r>
        <w:rPr>
          <w:vertAlign w:val="superscript"/>
        </w:rPr>
        <w:footnoteReference w:id="12"/>
      </w:r>
    </w:p>
    <w:p w14:paraId="000000F4" w14:textId="63C5C16D" w:rsidR="005C643C" w:rsidRDefault="00913B65">
      <w:pPr>
        <w:spacing w:before="120" w:after="120"/>
        <w:jc w:val="both"/>
      </w:pPr>
      <w:r>
        <w:t xml:space="preserve">La VBG à l’encontre des femmes âgées est très répandue, mais le plus souvent cachée. Dans le monde, près de la moitié des femmes âgées vivent seules parce qu’elles sont veuves, divorcées ou n’ont jamais été mariées. Les femmes âgées isolées de leurs amis, de leur famille et de leur communauté courent trois fois plus le risque d’être exploitées et n’ont souvent qu’un accès limité aux services ou à l’aide. La VBG à l’encontre des femmes âgées se manifeste sous des formes multiples, souvent croisées, par des auteurs qui peuvent être des partenaires intimes, des membres de la famille (y compris des enfants adultes de sexe féminin et masculin), des aidants ou des membres de la communauté au sens large. Pour les femmes âgées et les survivantes d’agressions sexuelles, les conséquences sur la santé et les blessures qui en résultent sont souvent plus graves. L’âge peut avoir un impact sur le comportement des femmes en matière de recherche de santé et d’accès aux services, ce qui signifie que les conséquences néfastes de la VBG sur la santé peuvent ne pas être traitées et s’aggraver, et que la VBG </w:t>
      </w:r>
      <w:sdt>
        <w:sdtPr>
          <w:tag w:val="goog_rdk_46"/>
          <w:id w:val="-3275961"/>
        </w:sdtPr>
        <w:sdtEndPr/>
        <w:sdtContent>
          <w:r>
            <w:t xml:space="preserve"> </w:t>
          </w:r>
        </w:sdtContent>
      </w:sdt>
      <w:sdt>
        <w:sdtPr>
          <w:tag w:val="goog_rdk_47"/>
          <w:id w:val="168995371"/>
          <w:showingPlcHdr/>
        </w:sdtPr>
        <w:sdtEndPr/>
        <w:sdtContent>
          <w:r w:rsidR="007512C2">
            <w:t xml:space="preserve">     </w:t>
          </w:r>
        </w:sdtContent>
      </w:sdt>
      <w:sdt>
        <w:sdtPr>
          <w:tag w:val="goog_rdk_48"/>
          <w:id w:val="-2027322852"/>
        </w:sdtPr>
        <w:sdtEndPr/>
        <w:sdtContent>
          <w:r>
            <w:t xml:space="preserve">continue </w:t>
          </w:r>
        </w:sdtContent>
      </w:sdt>
      <w:sdt>
        <w:sdtPr>
          <w:tag w:val="goog_rdk_49"/>
          <w:id w:val="-1169635268"/>
          <w:showingPlcHdr/>
        </w:sdtPr>
        <w:sdtEndPr/>
        <w:sdtContent>
          <w:r w:rsidR="007512C2">
            <w:t xml:space="preserve">     </w:t>
          </w:r>
        </w:sdtContent>
      </w:sdt>
      <w:r>
        <w:t xml:space="preserve"> et augmente en fréquence et en gravité.</w:t>
      </w:r>
    </w:p>
    <w:p w14:paraId="000000F5" w14:textId="77777777" w:rsidR="005C643C" w:rsidRDefault="00913B65">
      <w:pPr>
        <w:pStyle w:val="Heading2"/>
        <w:numPr>
          <w:ilvl w:val="1"/>
          <w:numId w:val="1"/>
        </w:numPr>
      </w:pPr>
      <w:bookmarkStart w:id="31" w:name="_heading=h.2p2csry" w:colFirst="0" w:colLast="0"/>
      <w:bookmarkEnd w:id="31"/>
      <w:r>
        <w:t>Garçons adolescents et hommes adultes ayant survécu à des violences sexuelles</w:t>
      </w:r>
      <w:r>
        <w:rPr>
          <w:vertAlign w:val="superscript"/>
        </w:rPr>
        <w:footnoteReference w:id="13"/>
      </w:r>
    </w:p>
    <w:p w14:paraId="000000F6" w14:textId="48C7B356" w:rsidR="005C643C" w:rsidRDefault="00913B65">
      <w:pPr>
        <w:spacing w:before="120" w:after="120"/>
        <w:jc w:val="both"/>
      </w:pPr>
      <w:r>
        <w:t>Les hommes et les garçons sont également victimes</w:t>
      </w:r>
      <w:sdt>
        <w:sdtPr>
          <w:tag w:val="goog_rdk_50"/>
          <w:id w:val="2126583488"/>
        </w:sdtPr>
        <w:sdtEndPr/>
        <w:sdtContent>
          <w:r>
            <w:t>/survivants</w:t>
          </w:r>
        </w:sdtContent>
      </w:sdt>
      <w:r>
        <w:t xml:space="preserve"> de viols et d’autres formes de violence sexuelle, mais cela n’est </w:t>
      </w:r>
      <w:sdt>
        <w:sdtPr>
          <w:tag w:val="goog_rdk_51"/>
          <w:id w:val="144250477"/>
        </w:sdtPr>
        <w:sdtEndPr/>
        <w:sdtContent>
          <w:r>
            <w:t xml:space="preserve">toujours </w:t>
          </w:r>
        </w:sdtContent>
      </w:sdt>
      <w:r>
        <w:t xml:space="preserve">pas </w:t>
      </w:r>
      <w:sdt>
        <w:sdtPr>
          <w:tag w:val="goog_rdk_52"/>
          <w:id w:val="-1431271385"/>
          <w:showingPlcHdr/>
        </w:sdtPr>
        <w:sdtEndPr/>
        <w:sdtContent>
          <w:r w:rsidR="007512C2">
            <w:t xml:space="preserve">     </w:t>
          </w:r>
        </w:sdtContent>
      </w:sdt>
      <w:r>
        <w:t xml:space="preserve">reconnu ou bien compris. La violence sexuelle </w:t>
      </w:r>
      <w:r>
        <w:lastRenderedPageBreak/>
        <w:t xml:space="preserve">infligée aux hommes peut être utilisée comme une tactique de guerre pour les priver de leur pouvoir, les dominer et saper les concepts traditionnels de la masculinité. Comme pour les femmes et les filles, des normes sociales, culturelles et religieuses bien ancrées, notamment les tabous liés à l’orientation sexuelle et à la masculinité, peuvent stigmatiser les survivants </w:t>
      </w:r>
      <w:sdt>
        <w:sdtPr>
          <w:tag w:val="goog_rdk_53"/>
          <w:id w:val="-1486623239"/>
        </w:sdtPr>
        <w:sdtEndPr/>
        <w:sdtContent>
          <w:r>
            <w:t xml:space="preserve"> </w:t>
          </w:r>
        </w:sdtContent>
      </w:sdt>
      <w:sdt>
        <w:sdtPr>
          <w:tag w:val="goog_rdk_54"/>
          <w:id w:val="-433748087"/>
          <w:showingPlcHdr/>
        </w:sdtPr>
        <w:sdtEndPr/>
        <w:sdtContent>
          <w:r w:rsidR="007512C2">
            <w:t xml:space="preserve">     </w:t>
          </w:r>
        </w:sdtContent>
      </w:sdt>
      <w:r>
        <w:t xml:space="preserve">, susciter des sentiments de honte et empêcher les hommes et les adolescents de divulguer les incidents ou de rechercher des services. La violence sexuelle peut </w:t>
      </w:r>
      <w:proofErr w:type="gramStart"/>
      <w:r>
        <w:t>avoir</w:t>
      </w:r>
      <w:proofErr w:type="gramEnd"/>
      <w:r>
        <w:t xml:space="preserve"> des répercussions importantes et durables sur la santé physique, mentale et sexuelle et sur le bien-être des survivants </w:t>
      </w:r>
      <w:sdt>
        <w:sdtPr>
          <w:tag w:val="goog_rdk_55"/>
          <w:id w:val="-1292518922"/>
        </w:sdtPr>
        <w:sdtEndPr/>
        <w:sdtContent>
          <w:sdt>
            <w:sdtPr>
              <w:tag w:val="goog_rdk_56"/>
              <w:id w:val="-138338707"/>
            </w:sdtPr>
            <w:sdtEndPr/>
            <w:sdtContent/>
          </w:sdt>
        </w:sdtContent>
      </w:sdt>
      <w:r>
        <w:t>et de leur famille. Il est important qu’il existe également des services multisectoriels destinés aux survivants</w:t>
      </w:r>
      <w:sdt>
        <w:sdtPr>
          <w:tag w:val="goog_rdk_57"/>
          <w:id w:val="1842045141"/>
          <w:showingPlcHdr/>
        </w:sdtPr>
        <w:sdtEndPr/>
        <w:sdtContent>
          <w:r w:rsidR="007512C2">
            <w:t xml:space="preserve">     </w:t>
          </w:r>
        </w:sdtContent>
      </w:sdt>
      <w:r>
        <w:t xml:space="preserve">. Les survivants </w:t>
      </w:r>
      <w:sdt>
        <w:sdtPr>
          <w:tag w:val="goog_rdk_58"/>
          <w:id w:val="270369937"/>
          <w:showingPlcHdr/>
        </w:sdtPr>
        <w:sdtEndPr/>
        <w:sdtContent>
          <w:r w:rsidR="007512C2">
            <w:t xml:space="preserve">     </w:t>
          </w:r>
        </w:sdtContent>
      </w:sdt>
      <w:r>
        <w:t xml:space="preserve"> ont des besoins spécifiques en matière de traitement et de soins dont devraient tenir compte les prestataires de santé, qui sont formés au repérage des signes de violence sexuelle chez les hommes et les garçons et offrent des soins axés sur les survivants, non stigmatisants et non discriminatoires.</w:t>
      </w:r>
    </w:p>
    <w:p w14:paraId="000000F7" w14:textId="77777777" w:rsidR="005C643C" w:rsidRDefault="00913B65">
      <w:pPr>
        <w:pStyle w:val="Heading2"/>
        <w:numPr>
          <w:ilvl w:val="1"/>
          <w:numId w:val="1"/>
        </w:numPr>
      </w:pPr>
      <w:bookmarkStart w:id="32" w:name="_heading=h.147n2zr" w:colFirst="0" w:colLast="0"/>
      <w:bookmarkEnd w:id="32"/>
      <w:r>
        <w:t>Enfants ayant survécu à la violence basée sur le genre</w:t>
      </w:r>
    </w:p>
    <w:p w14:paraId="000000F8" w14:textId="3037C6A1" w:rsidR="005C643C" w:rsidRDefault="00913B65">
      <w:pPr>
        <w:spacing w:before="120" w:after="120"/>
        <w:jc w:val="both"/>
      </w:pPr>
      <w:r>
        <w:t xml:space="preserve">Les enfants sont plus vulnérables que les adultes aux abus en raison de leur développement mental, psychologique et physique et de leur participation limitée à la prise de décision. Dans les situations d’urgence, les systèmes qui protègent les enfants, y compris les structures familiales et communautaires, s’effondrent souvent. Les enfants peuvent être séparés de leur famille, ce qui les expose à un risque </w:t>
      </w:r>
      <w:sdt>
        <w:sdtPr>
          <w:tag w:val="goog_rdk_59"/>
          <w:id w:val="309603346"/>
        </w:sdtPr>
        <w:sdtEndPr/>
        <w:sdtContent>
          <w:r>
            <w:t xml:space="preserve">accru. </w:t>
          </w:r>
        </w:sdtContent>
      </w:sdt>
      <w:sdt>
        <w:sdtPr>
          <w:tag w:val="goog_rdk_60"/>
          <w:id w:val="-156383648"/>
          <w:showingPlcHdr/>
        </w:sdtPr>
        <w:sdtEndPr/>
        <w:sdtContent>
          <w:r w:rsidR="007512C2">
            <w:t xml:space="preserve">     </w:t>
          </w:r>
        </w:sdtContent>
      </w:sdt>
      <w:r>
        <w:t>. Des mesures spécifiques doivent être mises en œuvre pour protéger les enfants contre le risque de VBG à la maison, à l’école, en ligne et dans la communauté.</w:t>
      </w:r>
      <w:r>
        <w:rPr>
          <w:vertAlign w:val="superscript"/>
        </w:rPr>
        <w:footnoteReference w:id="14"/>
      </w:r>
    </w:p>
    <w:p w14:paraId="000000F9" w14:textId="77777777" w:rsidR="005C643C" w:rsidRDefault="00913B65">
      <w:pPr>
        <w:spacing w:before="120" w:after="120"/>
        <w:jc w:val="both"/>
        <w:rPr>
          <w:i/>
        </w:rPr>
      </w:pPr>
      <w:r>
        <w:rPr>
          <w:i/>
        </w:rPr>
        <w:t xml:space="preserve">Pour plus d’informations sur les groupes à risque, </w:t>
      </w:r>
      <w:proofErr w:type="spellStart"/>
      <w:r>
        <w:rPr>
          <w:i/>
        </w:rPr>
        <w:t>veuillez vous</w:t>
      </w:r>
      <w:proofErr w:type="spellEnd"/>
      <w:r>
        <w:rPr>
          <w:i/>
        </w:rPr>
        <w:t xml:space="preserve"> référer au tableau « Considérations importantes concernant les groupes à risque », pp. 21-23 des </w:t>
      </w:r>
      <w:r>
        <w:rPr>
          <w:i/>
        </w:rPr>
        <w:br/>
      </w:r>
      <w:hyperlink r:id="rId13">
        <w:r>
          <w:rPr>
            <w:i/>
            <w:color w:val="1155CC"/>
            <w:u w:val="single"/>
          </w:rPr>
          <w:t>Directives du CPI pour l’intégration d’interventions ciblant la violence basée sur le genre dans l’action humanitaire.</w:t>
        </w:r>
      </w:hyperlink>
    </w:p>
    <w:p w14:paraId="000000FA" w14:textId="77777777" w:rsidR="005C643C" w:rsidRDefault="00913B65">
      <w:pPr>
        <w:pStyle w:val="Heading1"/>
        <w:numPr>
          <w:ilvl w:val="0"/>
          <w:numId w:val="1"/>
        </w:numPr>
      </w:pPr>
      <w:bookmarkStart w:id="33" w:name="_heading=h.3o7alnk" w:colFirst="0" w:colLast="0"/>
      <w:bookmarkEnd w:id="33"/>
      <w:r>
        <w:t>Directives techniques</w:t>
      </w:r>
    </w:p>
    <w:p w14:paraId="000000FB" w14:textId="77777777" w:rsidR="005C643C" w:rsidRDefault="00913B65">
      <w:pPr>
        <w:spacing w:before="120" w:after="120"/>
        <w:jc w:val="both"/>
        <w:rPr>
          <w:highlight w:val="yellow"/>
        </w:rPr>
      </w:pPr>
      <w:r>
        <w:t>Cette section énumère les ressources et les supports essentiels en matière de VBG, afin d’éclairer le contenu des POS VBG et de soutenir le renforcement des capacités. En outre, le modèle de POS VBG comprend lui-même des suggestions spécifiques concernant des directives techniques et des ressources supplémentaires dans les sections pertinentes.</w:t>
      </w:r>
      <w:r>
        <w:rPr>
          <w:highlight w:val="yellow"/>
        </w:rPr>
        <w:t xml:space="preserve"> </w:t>
      </w:r>
    </w:p>
    <w:p w14:paraId="000000FC" w14:textId="77777777" w:rsidR="005C643C" w:rsidRDefault="00913B65">
      <w:pPr>
        <w:numPr>
          <w:ilvl w:val="0"/>
          <w:numId w:val="3"/>
        </w:numPr>
        <w:pBdr>
          <w:top w:val="nil"/>
          <w:left w:val="nil"/>
          <w:bottom w:val="nil"/>
          <w:right w:val="nil"/>
          <w:between w:val="nil"/>
        </w:pBdr>
        <w:spacing w:before="120" w:after="120" w:line="240" w:lineRule="auto"/>
        <w:jc w:val="both"/>
        <w:rPr>
          <w:color w:val="000000"/>
        </w:rPr>
      </w:pPr>
      <w:r>
        <w:t xml:space="preserve">Domaine de responsabilité en matière de violence basée sur le genre. </w:t>
      </w:r>
      <w:hyperlink r:id="rId14">
        <w:r>
          <w:rPr>
            <w:color w:val="0000FF"/>
            <w:u w:val="single"/>
          </w:rPr>
          <w:t>Manuel pour la coordination des interventions ciblant la violence basée sur le genre en situation d’urgence</w:t>
        </w:r>
      </w:hyperlink>
      <w:r>
        <w:rPr>
          <w:color w:val="000000"/>
        </w:rPr>
        <w:t xml:space="preserve"> (2019).</w:t>
      </w:r>
    </w:p>
    <w:p w14:paraId="000000FD" w14:textId="77777777" w:rsidR="005C643C" w:rsidRDefault="00913B65">
      <w:pPr>
        <w:numPr>
          <w:ilvl w:val="0"/>
          <w:numId w:val="3"/>
        </w:numPr>
        <w:pBdr>
          <w:top w:val="nil"/>
          <w:left w:val="nil"/>
          <w:bottom w:val="nil"/>
          <w:right w:val="nil"/>
          <w:between w:val="nil"/>
        </w:pBdr>
        <w:spacing w:before="120" w:after="120" w:line="240" w:lineRule="auto"/>
        <w:jc w:val="both"/>
        <w:rPr>
          <w:color w:val="000000"/>
        </w:rPr>
      </w:pPr>
      <w:r>
        <w:t xml:space="preserve">FNUAP. </w:t>
      </w:r>
      <w:hyperlink r:id="rId15">
        <w:r>
          <w:rPr>
            <w:i/>
            <w:color w:val="1155CC"/>
            <w:u w:val="single"/>
          </w:rPr>
          <w:t xml:space="preserve">Normes minimales </w:t>
        </w:r>
        <w:proofErr w:type="spellStart"/>
        <w:r>
          <w:rPr>
            <w:i/>
            <w:color w:val="1155CC"/>
            <w:u w:val="single"/>
          </w:rPr>
          <w:t>interorganisations</w:t>
        </w:r>
        <w:proofErr w:type="spellEnd"/>
        <w:r>
          <w:rPr>
            <w:i/>
            <w:color w:val="1155CC"/>
            <w:u w:val="single"/>
          </w:rPr>
          <w:t xml:space="preserve"> pour la programmation d’actions de lutte contre la violence basée sur le genre dans les situations d’urgence</w:t>
        </w:r>
      </w:hyperlink>
      <w:r>
        <w:rPr>
          <w:i/>
          <w:color w:val="201D1E"/>
        </w:rPr>
        <w:t xml:space="preserve"> (2019)</w:t>
      </w:r>
      <w:r>
        <w:rPr>
          <w:color w:val="201D1E"/>
        </w:rPr>
        <w:t>.</w:t>
      </w:r>
    </w:p>
    <w:p w14:paraId="000000FE" w14:textId="77777777" w:rsidR="005C643C" w:rsidRDefault="00913B65">
      <w:pPr>
        <w:numPr>
          <w:ilvl w:val="0"/>
          <w:numId w:val="3"/>
        </w:numPr>
        <w:pBdr>
          <w:top w:val="nil"/>
          <w:left w:val="nil"/>
          <w:bottom w:val="nil"/>
          <w:right w:val="nil"/>
          <w:between w:val="nil"/>
        </w:pBdr>
        <w:spacing w:before="120" w:after="120" w:line="240" w:lineRule="auto"/>
        <w:jc w:val="both"/>
        <w:rPr>
          <w:i/>
          <w:color w:val="201D1E"/>
        </w:rPr>
      </w:pPr>
      <w:r>
        <w:lastRenderedPageBreak/>
        <w:t xml:space="preserve">Bien que les normes minimales en matière de VBG constituent le document de référence commun pour les situations d’urgence, le </w:t>
      </w:r>
      <w:hyperlink r:id="rId16">
        <w:r>
          <w:rPr>
            <w:color w:val="0000FF"/>
            <w:u w:val="single"/>
          </w:rPr>
          <w:t>paquet de services essentiels pour les femmes et les filles victimes de violence</w:t>
        </w:r>
      </w:hyperlink>
      <w:r>
        <w:t xml:space="preserve"> (ONU Femmes, FNUAP, OMS, PNUD et ONUDC, 2021) est souvent utilisé dans des contextes de développement plus stables et devrait servir de référence le cas échéant.</w:t>
      </w:r>
    </w:p>
    <w:p w14:paraId="000000FF" w14:textId="77777777" w:rsidR="005C643C" w:rsidRDefault="00913B65">
      <w:pPr>
        <w:numPr>
          <w:ilvl w:val="0"/>
          <w:numId w:val="3"/>
        </w:numPr>
        <w:pBdr>
          <w:top w:val="nil"/>
          <w:left w:val="nil"/>
          <w:bottom w:val="nil"/>
          <w:right w:val="nil"/>
          <w:between w:val="nil"/>
        </w:pBdr>
        <w:spacing w:before="120" w:after="120" w:line="240" w:lineRule="auto"/>
        <w:jc w:val="both"/>
        <w:rPr>
          <w:color w:val="000000"/>
        </w:rPr>
      </w:pPr>
      <w:r>
        <w:t xml:space="preserve">CPI. </w:t>
      </w:r>
      <w:hyperlink r:id="rId17">
        <w:r>
          <w:rPr>
            <w:i/>
            <w:color w:val="1155CC"/>
            <w:u w:val="single"/>
          </w:rPr>
          <w:t>Directives du CPI pour l’intégration d’interventions ciblant la violence basée sur le genre dans l’action humanitaire</w:t>
        </w:r>
      </w:hyperlink>
      <w:r>
        <w:rPr>
          <w:i/>
          <w:color w:val="201D1E"/>
        </w:rPr>
        <w:t xml:space="preserve"> (Directives du CPI sur la VBG) (2015).</w:t>
      </w:r>
    </w:p>
    <w:p w14:paraId="00000100" w14:textId="77777777" w:rsidR="005C643C" w:rsidRDefault="00913B65">
      <w:pPr>
        <w:numPr>
          <w:ilvl w:val="0"/>
          <w:numId w:val="3"/>
        </w:numPr>
        <w:pBdr>
          <w:top w:val="nil"/>
          <w:left w:val="nil"/>
          <w:bottom w:val="nil"/>
          <w:right w:val="nil"/>
          <w:between w:val="nil"/>
        </w:pBdr>
        <w:spacing w:before="120" w:after="120" w:line="240" w:lineRule="auto"/>
        <w:jc w:val="both"/>
        <w:rPr>
          <w:color w:val="201D1E"/>
        </w:rPr>
      </w:pPr>
      <w:r>
        <w:rPr>
          <w:color w:val="201D1E"/>
        </w:rPr>
        <w:t xml:space="preserve">Organisation mondiale de la Santé (OMS), Fonds des Nations Unies pour la population (FNUAP), Haut-Commissariat des Nations Unies pour les réfugiés (HCR). </w:t>
      </w:r>
      <w:hyperlink r:id="rId18">
        <w:r>
          <w:rPr>
            <w:color w:val="0000FF"/>
            <w:u w:val="single"/>
          </w:rPr>
          <w:t>Prise en charge clinique des survivantes de viol et de violence exercée par un partenaire intime : élaboration de protocoles à adopter dans les situations de crise humanitaire</w:t>
        </w:r>
      </w:hyperlink>
      <w:r>
        <w:rPr>
          <w:color w:val="201D1E"/>
        </w:rPr>
        <w:t xml:space="preserve"> (2019).</w:t>
      </w:r>
    </w:p>
    <w:p w14:paraId="00000101" w14:textId="77777777" w:rsidR="005C643C" w:rsidRDefault="00913B65">
      <w:pPr>
        <w:numPr>
          <w:ilvl w:val="0"/>
          <w:numId w:val="3"/>
        </w:numPr>
        <w:pBdr>
          <w:top w:val="nil"/>
          <w:left w:val="nil"/>
          <w:bottom w:val="nil"/>
          <w:right w:val="nil"/>
          <w:between w:val="nil"/>
        </w:pBdr>
        <w:spacing w:before="120" w:after="120" w:line="240" w:lineRule="auto"/>
        <w:jc w:val="both"/>
        <w:rPr>
          <w:i/>
        </w:rPr>
      </w:pPr>
      <w:r>
        <w:rPr>
          <w:color w:val="201D1E"/>
        </w:rPr>
        <w:t xml:space="preserve">OMS. </w:t>
      </w:r>
      <w:hyperlink r:id="rId19">
        <w:r>
          <w:rPr>
            <w:i/>
            <w:color w:val="0000FF"/>
            <w:u w:val="single"/>
          </w:rPr>
          <w:t>Principes d’éthique et de sécurité recommandés par l’OMS pour la recherche, la documentation et le suivi de la violence sexuelle dans les situations d’urgence</w:t>
        </w:r>
      </w:hyperlink>
      <w:r>
        <w:rPr>
          <w:color w:val="201D1E"/>
        </w:rPr>
        <w:t xml:space="preserve"> (2007).</w:t>
      </w:r>
    </w:p>
    <w:p w14:paraId="00000102" w14:textId="77777777" w:rsidR="005C643C" w:rsidRDefault="005C643C">
      <w:pPr>
        <w:spacing w:before="120" w:after="120" w:line="235" w:lineRule="auto"/>
        <w:jc w:val="both"/>
        <w:rPr>
          <w:b/>
          <w:i/>
          <w:color w:val="0070C0"/>
          <w:sz w:val="32"/>
          <w:szCs w:val="32"/>
        </w:rPr>
      </w:pPr>
    </w:p>
    <w:p w14:paraId="00000103" w14:textId="77777777" w:rsidR="005C643C" w:rsidRDefault="005C643C">
      <w:pPr>
        <w:spacing w:before="120" w:after="120" w:line="235" w:lineRule="auto"/>
        <w:jc w:val="both"/>
        <w:rPr>
          <w:b/>
          <w:i/>
          <w:color w:val="0070C0"/>
          <w:sz w:val="32"/>
          <w:szCs w:val="32"/>
        </w:rPr>
      </w:pPr>
    </w:p>
    <w:p w14:paraId="00000104" w14:textId="77777777" w:rsidR="005C643C" w:rsidRDefault="005C643C">
      <w:pPr>
        <w:spacing w:before="120" w:after="120"/>
        <w:jc w:val="both"/>
        <w:rPr>
          <w:color w:val="0070C0"/>
          <w:sz w:val="2"/>
          <w:szCs w:val="2"/>
        </w:rPr>
      </w:pPr>
    </w:p>
    <w:p w14:paraId="00000105" w14:textId="77777777" w:rsidR="005C643C" w:rsidRDefault="005C643C">
      <w:pPr>
        <w:rPr>
          <w:b/>
          <w:color w:val="0070C0"/>
        </w:rPr>
      </w:pPr>
    </w:p>
    <w:sectPr w:rsidR="005C643C">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95C2" w14:textId="77777777" w:rsidR="00DC7A33" w:rsidRDefault="00DC7A33">
      <w:pPr>
        <w:spacing w:line="240" w:lineRule="auto"/>
      </w:pPr>
      <w:r>
        <w:separator/>
      </w:r>
    </w:p>
  </w:endnote>
  <w:endnote w:type="continuationSeparator" w:id="0">
    <w:p w14:paraId="341B3B16" w14:textId="77777777" w:rsidR="00DC7A33" w:rsidRDefault="00DC7A33">
      <w:pPr>
        <w:spacing w:line="240" w:lineRule="auto"/>
      </w:pPr>
      <w:r>
        <w:continuationSeparator/>
      </w:r>
    </w:p>
  </w:endnote>
  <w:endnote w:type="continuationNotice" w:id="1">
    <w:p w14:paraId="5F9AD3FD" w14:textId="77777777" w:rsidR="00DC7A33" w:rsidRDefault="00DC7A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BA0179A-0D5D-4C7E-8D19-360111B477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A89B6C-D74F-4FB4-A5F7-BFAC99FFD4B0}"/>
  </w:font>
  <w:font w:name="Cambria">
    <w:panose1 w:val="02040503050406030204"/>
    <w:charset w:val="00"/>
    <w:family w:val="roman"/>
    <w:pitch w:val="variable"/>
    <w:sig w:usb0="E00006FF" w:usb1="420024FF" w:usb2="02000000" w:usb3="00000000" w:csb0="0000019F" w:csb1="00000000"/>
    <w:embedRegular r:id="rId3" w:fontKey="{54A41C21-501D-484C-A495-FE38E8F537C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6" w14:textId="5889D809" w:rsidR="005C643C" w:rsidRDefault="00913B65">
    <w:pPr>
      <w:jc w:val="right"/>
    </w:pPr>
    <w:r>
      <w:fldChar w:fldCharType="begin"/>
    </w:r>
    <w:r>
      <w:instrText>PAGE</w:instrText>
    </w:r>
    <w:r>
      <w:fldChar w:fldCharType="separate"/>
    </w:r>
    <w:r w:rsidR="00BE65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1F327" w14:textId="77777777" w:rsidR="00DC7A33" w:rsidRDefault="00DC7A33">
      <w:pPr>
        <w:spacing w:line="240" w:lineRule="auto"/>
      </w:pPr>
      <w:r>
        <w:separator/>
      </w:r>
    </w:p>
  </w:footnote>
  <w:footnote w:type="continuationSeparator" w:id="0">
    <w:p w14:paraId="03775EA3" w14:textId="77777777" w:rsidR="00DC7A33" w:rsidRDefault="00DC7A33">
      <w:pPr>
        <w:spacing w:line="240" w:lineRule="auto"/>
      </w:pPr>
      <w:r>
        <w:continuationSeparator/>
      </w:r>
    </w:p>
  </w:footnote>
  <w:footnote w:type="continuationNotice" w:id="1">
    <w:p w14:paraId="766E7B5D" w14:textId="77777777" w:rsidR="00DC7A33" w:rsidRDefault="00DC7A33">
      <w:pPr>
        <w:spacing w:line="240" w:lineRule="auto"/>
      </w:pPr>
    </w:p>
  </w:footnote>
  <w:footnote w:id="2">
    <w:p w14:paraId="00000106"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La direction du processus d’élaboration des POS VBG peut être déléguée à une organisation spécifique. On parle ici du coordonnateur de la lutte contre la VBG par souci de concision.</w:t>
      </w:r>
    </w:p>
  </w:footnote>
  <w:footnote w:id="3">
    <w:p w14:paraId="00000107"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Une bonne pratique consiste à intégrer ou à relier le plan de travail des POS aux plans de travail existants du groupe de coordination de la lutte contre la VBG.</w:t>
      </w:r>
    </w:p>
  </w:footnote>
  <w:footnote w:id="4">
    <w:p w14:paraId="00000108"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sz w:val="18"/>
          <w:szCs w:val="18"/>
        </w:rPr>
        <w:t xml:space="preserve"> Les principales ressources pour cette formation sont notamment les </w:t>
      </w:r>
      <w:hyperlink r:id="rId1">
        <w:r>
          <w:rPr>
            <w:color w:val="1155CC"/>
            <w:sz w:val="18"/>
            <w:szCs w:val="18"/>
            <w:u w:val="single"/>
          </w:rPr>
          <w:t xml:space="preserve">Normes minimales </w:t>
        </w:r>
        <w:proofErr w:type="spellStart"/>
        <w:r>
          <w:rPr>
            <w:color w:val="1155CC"/>
            <w:sz w:val="18"/>
            <w:szCs w:val="18"/>
            <w:u w:val="single"/>
          </w:rPr>
          <w:t>interorganisations</w:t>
        </w:r>
        <w:proofErr w:type="spellEnd"/>
        <w:r>
          <w:rPr>
            <w:color w:val="1155CC"/>
            <w:sz w:val="18"/>
            <w:szCs w:val="18"/>
            <w:u w:val="single"/>
          </w:rPr>
          <w:t xml:space="preserve"> pour la programmation d’actions de lutte contre la violence basée sur le genre dans les situations d’urgence</w:t>
        </w:r>
      </w:hyperlink>
      <w:r>
        <w:rPr>
          <w:sz w:val="18"/>
          <w:szCs w:val="18"/>
        </w:rPr>
        <w:t xml:space="preserve"> pour les acteurs de la lutte contre la VBG et les </w:t>
      </w:r>
      <w:hyperlink r:id="rId2">
        <w:r>
          <w:rPr>
            <w:color w:val="1155CC"/>
            <w:sz w:val="18"/>
            <w:szCs w:val="18"/>
            <w:u w:val="single"/>
          </w:rPr>
          <w:t xml:space="preserve">Directives du Comité permanent </w:t>
        </w:r>
        <w:proofErr w:type="spellStart"/>
        <w:r>
          <w:rPr>
            <w:color w:val="1155CC"/>
            <w:sz w:val="18"/>
            <w:szCs w:val="18"/>
            <w:u w:val="single"/>
          </w:rPr>
          <w:t>interorganisations</w:t>
        </w:r>
        <w:proofErr w:type="spellEnd"/>
        <w:r>
          <w:rPr>
            <w:color w:val="1155CC"/>
            <w:sz w:val="18"/>
            <w:szCs w:val="18"/>
            <w:u w:val="single"/>
          </w:rPr>
          <w:t xml:space="preserve"> pour l’intégration d’interventions ciblant la violence basée sur le genre dans l’action humanitaire (2015)</w:t>
        </w:r>
      </w:hyperlink>
      <w:r>
        <w:rPr>
          <w:sz w:val="18"/>
          <w:szCs w:val="18"/>
        </w:rPr>
        <w:t xml:space="preserve"> pour les acteurs non-VBG. </w:t>
      </w:r>
    </w:p>
  </w:footnote>
  <w:footnote w:id="5">
    <w:p w14:paraId="00000109"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hyperlink r:id="rId3">
        <w:r>
          <w:rPr>
            <w:color w:val="1155CC"/>
            <w:sz w:val="18"/>
            <w:szCs w:val="18"/>
            <w:u w:val="single"/>
          </w:rPr>
          <w:t xml:space="preserve">Normes minimales </w:t>
        </w:r>
        <w:proofErr w:type="spellStart"/>
        <w:r>
          <w:rPr>
            <w:color w:val="1155CC"/>
            <w:sz w:val="18"/>
            <w:szCs w:val="18"/>
            <w:u w:val="single"/>
          </w:rPr>
          <w:t>interorganisations</w:t>
        </w:r>
        <w:proofErr w:type="spellEnd"/>
        <w:r>
          <w:rPr>
            <w:color w:val="1155CC"/>
            <w:sz w:val="18"/>
            <w:szCs w:val="18"/>
            <w:u w:val="single"/>
          </w:rPr>
          <w:t xml:space="preserve"> pour la programmation d’actions de lutte contre la violence basée sur le genre dans les situations d’urgence (2020)</w:t>
        </w:r>
      </w:hyperlink>
      <w:r>
        <w:rPr>
          <w:color w:val="000000"/>
          <w:sz w:val="18"/>
          <w:szCs w:val="18"/>
        </w:rPr>
        <w:t>, p. 19.</w:t>
      </w:r>
    </w:p>
  </w:footnote>
  <w:footnote w:id="6">
    <w:p w14:paraId="0000010A"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Ibid., p. 10. Voir également les pages 13 et 14 pour des considérations sur la manière de surmonter les obstacles à la participation des femmes et des filles.</w:t>
      </w:r>
    </w:p>
  </w:footnote>
  <w:footnote w:id="7">
    <w:p w14:paraId="0000010B" w14:textId="77777777" w:rsidR="005C643C" w:rsidRDefault="00913B65">
      <w:pPr>
        <w:spacing w:line="240" w:lineRule="auto"/>
        <w:rPr>
          <w:sz w:val="18"/>
          <w:szCs w:val="18"/>
        </w:rPr>
      </w:pPr>
      <w:r>
        <w:rPr>
          <w:vertAlign w:val="superscript"/>
        </w:rPr>
        <w:footnoteRef/>
      </w:r>
      <w:r>
        <w:rPr>
          <w:sz w:val="18"/>
          <w:szCs w:val="18"/>
        </w:rPr>
        <w:t xml:space="preserve"> Voir </w:t>
      </w:r>
      <w:hyperlink r:id="rId4">
        <w:r>
          <w:rPr>
            <w:color w:val="0000FF"/>
            <w:sz w:val="18"/>
            <w:szCs w:val="18"/>
            <w:u w:val="single"/>
          </w:rPr>
          <w:t>Principes d’éthique et de sécurité recommandés par l’OMS pour la recherche, la documentation et le suivi de la violence sexuelle dans les situations d’urgence</w:t>
        </w:r>
      </w:hyperlink>
      <w:r>
        <w:rPr>
          <w:sz w:val="18"/>
          <w:szCs w:val="18"/>
        </w:rPr>
        <w:t xml:space="preserve"> (2007).</w:t>
      </w:r>
    </w:p>
  </w:footnote>
  <w:footnote w:id="8">
    <w:p w14:paraId="0000010C"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hyperlink r:id="rId5">
        <w:r>
          <w:rPr>
            <w:color w:val="1155CC"/>
            <w:sz w:val="18"/>
            <w:szCs w:val="18"/>
            <w:u w:val="single"/>
          </w:rPr>
          <w:t xml:space="preserve">Normes minimales </w:t>
        </w:r>
        <w:proofErr w:type="spellStart"/>
        <w:r>
          <w:rPr>
            <w:color w:val="1155CC"/>
            <w:sz w:val="18"/>
            <w:szCs w:val="18"/>
            <w:u w:val="single"/>
          </w:rPr>
          <w:t>interorganisations</w:t>
        </w:r>
        <w:proofErr w:type="spellEnd"/>
        <w:r>
          <w:rPr>
            <w:color w:val="1155CC"/>
            <w:sz w:val="18"/>
            <w:szCs w:val="18"/>
            <w:u w:val="single"/>
          </w:rPr>
          <w:t xml:space="preserve"> pour la programmation d’actions de lutte contre la violence basée sur le genre dans les situations d’urgence (2020),</w:t>
        </w:r>
      </w:hyperlink>
      <w:r>
        <w:rPr>
          <w:sz w:val="18"/>
          <w:szCs w:val="18"/>
        </w:rPr>
        <w:t xml:space="preserve"> </w:t>
      </w:r>
      <w:r>
        <w:rPr>
          <w:color w:val="000000"/>
          <w:sz w:val="18"/>
          <w:szCs w:val="18"/>
        </w:rPr>
        <w:t>p. 19 et 33.</w:t>
      </w:r>
    </w:p>
  </w:footnote>
  <w:footnote w:id="9">
    <w:p w14:paraId="0000010D" w14:textId="77777777" w:rsidR="005C643C" w:rsidRDefault="00913B65">
      <w:pPr>
        <w:pBdr>
          <w:top w:val="nil"/>
          <w:left w:val="nil"/>
          <w:bottom w:val="nil"/>
          <w:right w:val="nil"/>
          <w:between w:val="nil"/>
        </w:pBdr>
        <w:spacing w:line="240" w:lineRule="auto"/>
        <w:jc w:val="both"/>
        <w:rPr>
          <w:b/>
          <w:color w:val="000000"/>
          <w:sz w:val="18"/>
          <w:szCs w:val="18"/>
        </w:rPr>
      </w:pPr>
      <w:r>
        <w:rPr>
          <w:vertAlign w:val="superscript"/>
        </w:rPr>
        <w:footnoteRef/>
      </w:r>
      <w:r>
        <w:rPr>
          <w:color w:val="000000"/>
          <w:sz w:val="18"/>
          <w:szCs w:val="18"/>
        </w:rPr>
        <w:t xml:space="preserve"> Voir, par exemple </w:t>
      </w:r>
      <w:hyperlink r:id="rId6">
        <w:r>
          <w:rPr>
            <w:color w:val="1155CC"/>
            <w:sz w:val="18"/>
            <w:szCs w:val="18"/>
            <w:u w:val="single"/>
          </w:rPr>
          <w:t>Directives du CPI, Intégration des personnes handicapées dans l’action humanitaire (2019).</w:t>
        </w:r>
      </w:hyperlink>
    </w:p>
    <w:p w14:paraId="0000010E" w14:textId="77777777" w:rsidR="005C643C" w:rsidRDefault="005C643C">
      <w:pPr>
        <w:pBdr>
          <w:top w:val="nil"/>
          <w:left w:val="nil"/>
          <w:bottom w:val="nil"/>
          <w:right w:val="nil"/>
          <w:between w:val="nil"/>
        </w:pBdr>
        <w:spacing w:line="240" w:lineRule="auto"/>
        <w:jc w:val="both"/>
        <w:rPr>
          <w:color w:val="000000"/>
          <w:sz w:val="18"/>
          <w:szCs w:val="18"/>
        </w:rPr>
      </w:pPr>
    </w:p>
  </w:footnote>
  <w:footnote w:id="10">
    <w:p w14:paraId="0000010F"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hyperlink r:id="rId7">
        <w:r>
          <w:rPr>
            <w:color w:val="1155CC"/>
            <w:sz w:val="18"/>
            <w:szCs w:val="18"/>
            <w:u w:val="single"/>
          </w:rPr>
          <w:t xml:space="preserve">Normes minimales </w:t>
        </w:r>
        <w:proofErr w:type="spellStart"/>
        <w:r>
          <w:rPr>
            <w:color w:val="1155CC"/>
            <w:sz w:val="18"/>
            <w:szCs w:val="18"/>
            <w:u w:val="single"/>
          </w:rPr>
          <w:t>interorganisations</w:t>
        </w:r>
        <w:proofErr w:type="spellEnd"/>
        <w:r>
          <w:rPr>
            <w:color w:val="1155CC"/>
            <w:sz w:val="18"/>
            <w:szCs w:val="18"/>
            <w:u w:val="single"/>
          </w:rPr>
          <w:t xml:space="preserve"> pour la programmation d’actions de lutte contre la violence basée sur le genre dans les situations d’urgence (2020) </w:t>
        </w:r>
      </w:hyperlink>
      <w:r>
        <w:rPr>
          <w:color w:val="000000"/>
          <w:sz w:val="18"/>
          <w:szCs w:val="18"/>
        </w:rPr>
        <w:t>, p. 27.</w:t>
      </w:r>
    </w:p>
  </w:footnote>
  <w:footnote w:id="11">
    <w:p w14:paraId="00000110" w14:textId="77777777" w:rsidR="005C643C" w:rsidRDefault="00913B65">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hyperlink r:id="rId8">
        <w:r>
          <w:rPr>
            <w:color w:val="1155CC"/>
            <w:sz w:val="18"/>
            <w:szCs w:val="18"/>
            <w:u w:val="single"/>
          </w:rPr>
          <w:t>HCR, Tendances mondiales</w:t>
        </w:r>
      </w:hyperlink>
      <w:r>
        <w:rPr>
          <w:sz w:val="18"/>
          <w:szCs w:val="18"/>
        </w:rPr>
        <w:t xml:space="preserve"> (2022)</w:t>
      </w:r>
      <w:r>
        <w:rPr>
          <w:color w:val="000000"/>
          <w:sz w:val="18"/>
          <w:szCs w:val="18"/>
        </w:rPr>
        <w:t xml:space="preserve"> (consulté le 27 juin 2023).</w:t>
      </w:r>
    </w:p>
  </w:footnote>
  <w:footnote w:id="12">
    <w:p w14:paraId="00000111" w14:textId="77777777" w:rsidR="005C643C" w:rsidRDefault="00913B6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8"/>
          <w:szCs w:val="18"/>
        </w:rPr>
        <w:t xml:space="preserve">International Rescue Committee, </w:t>
      </w:r>
      <w:hyperlink r:id="rId9">
        <w:r>
          <w:rPr>
            <w:color w:val="0000FF"/>
            <w:sz w:val="18"/>
            <w:szCs w:val="18"/>
            <w:u w:val="single"/>
          </w:rPr>
          <w:t>Note d’orientation relative à l’inclusion des femmes et des filles diverses</w:t>
        </w:r>
      </w:hyperlink>
      <w:r>
        <w:rPr>
          <w:color w:val="000000"/>
          <w:sz w:val="18"/>
          <w:szCs w:val="18"/>
        </w:rPr>
        <w:t xml:space="preserve">, 2020 ; voir aussi GBV AoR </w:t>
      </w:r>
      <w:proofErr w:type="spellStart"/>
      <w:r>
        <w:rPr>
          <w:color w:val="000000"/>
          <w:sz w:val="18"/>
          <w:szCs w:val="18"/>
        </w:rPr>
        <w:t>Whole</w:t>
      </w:r>
      <w:proofErr w:type="spellEnd"/>
      <w:r>
        <w:rPr>
          <w:color w:val="000000"/>
          <w:sz w:val="18"/>
          <w:szCs w:val="18"/>
        </w:rPr>
        <w:t xml:space="preserve"> of </w:t>
      </w:r>
      <w:proofErr w:type="spellStart"/>
      <w:r>
        <w:rPr>
          <w:color w:val="000000"/>
          <w:sz w:val="18"/>
          <w:szCs w:val="18"/>
        </w:rPr>
        <w:t>Syria</w:t>
      </w:r>
      <w:proofErr w:type="spellEnd"/>
      <w:r>
        <w:rPr>
          <w:color w:val="000000"/>
          <w:sz w:val="18"/>
          <w:szCs w:val="18"/>
        </w:rPr>
        <w:t>,</w:t>
      </w:r>
      <w:sdt>
        <w:sdtPr>
          <w:tag w:val="goog_rdk_61"/>
          <w:id w:val="1248230554"/>
        </w:sdtPr>
        <w:sdtEndPr/>
        <w:sdtContent/>
      </w:sdt>
      <w:r>
        <w:rPr>
          <w:color w:val="000000"/>
          <w:sz w:val="18"/>
          <w:szCs w:val="18"/>
        </w:rPr>
        <w:t xml:space="preserve"> </w:t>
      </w:r>
      <w:hyperlink r:id="rId10">
        <w:r>
          <w:rPr>
            <w:color w:val="0000FF"/>
            <w:sz w:val="18"/>
            <w:szCs w:val="18"/>
            <w:u w:val="single"/>
          </w:rPr>
          <w:t xml:space="preserve">Gender-based violence </w:t>
        </w:r>
        <w:proofErr w:type="spellStart"/>
        <w:r>
          <w:rPr>
            <w:color w:val="0000FF"/>
            <w:sz w:val="18"/>
            <w:szCs w:val="18"/>
            <w:u w:val="single"/>
          </w:rPr>
          <w:t>prevention</w:t>
        </w:r>
        <w:proofErr w:type="spellEnd"/>
        <w:r>
          <w:rPr>
            <w:color w:val="0000FF"/>
            <w:sz w:val="18"/>
            <w:szCs w:val="18"/>
            <w:u w:val="single"/>
          </w:rPr>
          <w:t xml:space="preserve"> and </w:t>
        </w:r>
        <w:proofErr w:type="spellStart"/>
        <w:r>
          <w:rPr>
            <w:color w:val="0000FF"/>
            <w:sz w:val="18"/>
            <w:szCs w:val="18"/>
            <w:u w:val="single"/>
          </w:rPr>
          <w:t>response</w:t>
        </w:r>
        <w:proofErr w:type="spellEnd"/>
        <w:r>
          <w:rPr>
            <w:color w:val="0000FF"/>
            <w:sz w:val="18"/>
            <w:szCs w:val="18"/>
            <w:u w:val="single"/>
          </w:rPr>
          <w:t xml:space="preserve"> to </w:t>
        </w:r>
        <w:proofErr w:type="spellStart"/>
        <w:r>
          <w:rPr>
            <w:color w:val="0000FF"/>
            <w:sz w:val="18"/>
            <w:szCs w:val="18"/>
            <w:u w:val="single"/>
          </w:rPr>
          <w:t>older</w:t>
        </w:r>
        <w:proofErr w:type="spellEnd"/>
        <w:r>
          <w:rPr>
            <w:color w:val="0000FF"/>
            <w:sz w:val="18"/>
            <w:szCs w:val="18"/>
            <w:u w:val="single"/>
          </w:rPr>
          <w:t xml:space="preserve"> </w:t>
        </w:r>
        <w:proofErr w:type="spellStart"/>
        <w:r>
          <w:rPr>
            <w:color w:val="0000FF"/>
            <w:sz w:val="18"/>
            <w:szCs w:val="18"/>
            <w:u w:val="single"/>
          </w:rPr>
          <w:t>women</w:t>
        </w:r>
        <w:proofErr w:type="spellEnd"/>
        <w:r>
          <w:rPr>
            <w:color w:val="0000FF"/>
            <w:sz w:val="18"/>
            <w:szCs w:val="18"/>
            <w:u w:val="single"/>
          </w:rPr>
          <w:t xml:space="preserve"> in the </w:t>
        </w:r>
        <w:proofErr w:type="spellStart"/>
        <w:r>
          <w:rPr>
            <w:color w:val="0000FF"/>
            <w:sz w:val="18"/>
            <w:szCs w:val="18"/>
            <w:u w:val="single"/>
          </w:rPr>
          <w:t>whole</w:t>
        </w:r>
        <w:proofErr w:type="spellEnd"/>
        <w:r>
          <w:rPr>
            <w:color w:val="0000FF"/>
            <w:sz w:val="18"/>
            <w:szCs w:val="18"/>
            <w:u w:val="single"/>
          </w:rPr>
          <w:t xml:space="preserve"> of </w:t>
        </w:r>
        <w:proofErr w:type="spellStart"/>
        <w:r>
          <w:rPr>
            <w:color w:val="0000FF"/>
            <w:sz w:val="18"/>
            <w:szCs w:val="18"/>
            <w:u w:val="single"/>
          </w:rPr>
          <w:t>Syria</w:t>
        </w:r>
        <w:proofErr w:type="spellEnd"/>
      </w:hyperlink>
      <w:r>
        <w:rPr>
          <w:color w:val="000000"/>
          <w:sz w:val="18"/>
          <w:szCs w:val="18"/>
        </w:rPr>
        <w:t>, 2020.</w:t>
      </w:r>
    </w:p>
  </w:footnote>
  <w:footnote w:id="13">
    <w:p w14:paraId="00000112" w14:textId="77777777" w:rsidR="005C643C" w:rsidRDefault="00913B65">
      <w:pPr>
        <w:pBdr>
          <w:top w:val="nil"/>
          <w:left w:val="nil"/>
          <w:bottom w:val="nil"/>
          <w:right w:val="nil"/>
          <w:between w:val="nil"/>
        </w:pBdr>
        <w:spacing w:line="240" w:lineRule="auto"/>
        <w:rPr>
          <w:color w:val="000000"/>
          <w:sz w:val="20"/>
          <w:szCs w:val="20"/>
        </w:rPr>
      </w:pPr>
      <w:r>
        <w:rPr>
          <w:vertAlign w:val="superscript"/>
        </w:rPr>
        <w:footnoteRef/>
      </w:r>
      <w:r>
        <w:rPr>
          <w:color w:val="000000"/>
          <w:sz w:val="18"/>
          <w:szCs w:val="18"/>
        </w:rPr>
        <w:t>GBV AoR</w:t>
      </w:r>
      <w:sdt>
        <w:sdtPr>
          <w:tag w:val="goog_rdk_62"/>
          <w:id w:val="-2099092017"/>
        </w:sdtPr>
        <w:sdtEndPr/>
        <w:sdtContent/>
      </w:sdt>
      <w:r>
        <w:rPr>
          <w:color w:val="000000"/>
          <w:sz w:val="18"/>
          <w:szCs w:val="18"/>
        </w:rPr>
        <w:t xml:space="preserve">. </w:t>
      </w:r>
      <w:hyperlink r:id="rId11">
        <w:r>
          <w:rPr>
            <w:color w:val="0000FF"/>
            <w:sz w:val="18"/>
            <w:szCs w:val="18"/>
            <w:u w:val="single"/>
          </w:rPr>
          <w:t>Guidance to gender-based violence coordinators addressing the needs of male survivors of sexual violence in GBV coordination</w:t>
        </w:r>
      </w:hyperlink>
      <w:r>
        <w:rPr>
          <w:color w:val="000000"/>
          <w:sz w:val="18"/>
          <w:szCs w:val="18"/>
        </w:rPr>
        <w:t xml:space="preserve"> ; voir également Commission des femmes pour les réfugiés, diverses ressources et indications sur la « violence sexuelle à l’égard des hommes et des garçons », disponible à l’adresse </w:t>
      </w:r>
      <w:sdt>
        <w:sdtPr>
          <w:tag w:val="goog_rdk_63"/>
          <w:id w:val="113187420"/>
        </w:sdtPr>
        <w:sdtEndPr/>
        <w:sdtContent/>
      </w:sdt>
      <w:r>
        <w:rPr>
          <w:color w:val="0000FF"/>
          <w:sz w:val="18"/>
          <w:szCs w:val="18"/>
          <w:u w:val="single"/>
        </w:rPr>
        <w:t>www.womensrefugeecommission.org/focus-areas/sexual-gender-based-violence/sexual-violence-against-men-and-boys</w:t>
      </w:r>
      <w:r>
        <w:rPr>
          <w:color w:val="000000"/>
          <w:sz w:val="18"/>
          <w:szCs w:val="18"/>
        </w:rPr>
        <w:t xml:space="preserve"> (consulté le 27 juin 2023).</w:t>
      </w:r>
    </w:p>
  </w:footnote>
  <w:footnote w:id="14">
    <w:p w14:paraId="00000113" w14:textId="77777777" w:rsidR="005C643C" w:rsidRDefault="00913B65">
      <w:pPr>
        <w:pBdr>
          <w:top w:val="nil"/>
          <w:left w:val="nil"/>
          <w:bottom w:val="nil"/>
          <w:right w:val="nil"/>
          <w:between w:val="nil"/>
        </w:pBdr>
        <w:spacing w:line="240" w:lineRule="auto"/>
        <w:jc w:val="both"/>
        <w:rPr>
          <w:color w:val="000000"/>
          <w:sz w:val="18"/>
          <w:szCs w:val="18"/>
        </w:rPr>
      </w:pPr>
      <w:r>
        <w:rPr>
          <w:vertAlign w:val="superscript"/>
        </w:rPr>
        <w:footnoteRef/>
      </w:r>
      <w:r>
        <w:rPr>
          <w:color w:val="000000"/>
          <w:sz w:val="18"/>
          <w:szCs w:val="18"/>
        </w:rPr>
        <w:t xml:space="preserve"> Voir International Rescue Committee et UNICEF, </w:t>
      </w:r>
      <w:hyperlink r:id="rId12">
        <w:r>
          <w:rPr>
            <w:color w:val="1155CC"/>
            <w:sz w:val="18"/>
            <w:szCs w:val="18"/>
            <w:u w:val="single"/>
          </w:rPr>
          <w:t>La prise en charge des enfants ayant subi des violences sexuelles en situations de crise humanitaire – Guide destiné aux prestataires de services de santé et de services psychosociaux</w:t>
        </w:r>
      </w:hyperlink>
      <w:r>
        <w:rPr>
          <w:sz w:val="18"/>
          <w:szCs w:val="18"/>
        </w:rPr>
        <w:t xml:space="preserve">, 2014 (consulté le 27 juin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4" w14:textId="77777777" w:rsidR="005C643C" w:rsidRDefault="00913B65">
    <w:pPr>
      <w:spacing w:line="240" w:lineRule="auto"/>
      <w:jc w:val="right"/>
    </w:pPr>
    <w:bookmarkStart w:id="34" w:name="_heading=h.3as4poj" w:colFirst="0" w:colLast="0"/>
    <w:bookmarkEnd w:id="34"/>
    <w:r>
      <w:t>Procédures opérationnelles standard pour les interventions de lutte contre la violence basée sur le genre dans les situations humanitaires</w:t>
    </w:r>
  </w:p>
  <w:p w14:paraId="00000115" w14:textId="77777777" w:rsidR="005C643C" w:rsidRDefault="005C643C">
    <w:pPr>
      <w:pBdr>
        <w:top w:val="nil"/>
        <w:left w:val="nil"/>
        <w:bottom w:val="nil"/>
        <w:right w:val="nil"/>
        <w:between w:val="nil"/>
      </w:pBdr>
      <w:tabs>
        <w:tab w:val="center" w:pos="4680"/>
        <w:tab w:val="right" w:pos="9360"/>
      </w:tabs>
      <w:spacing w:line="240" w:lineRule="auto"/>
      <w:rPr>
        <w:rFonts w:ascii="Cambria" w:eastAsia="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22E"/>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B33E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B4104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622CA7"/>
    <w:multiLevelType w:val="multilevel"/>
    <w:tmpl w:val="FFFFFFFF"/>
    <w:lvl w:ilvl="0">
      <w:start w:val="1"/>
      <w:numFmt w:val="bullet"/>
      <w:lvlText w:val="-"/>
      <w:lvlJc w:val="left"/>
      <w:pPr>
        <w:ind w:left="720" w:hanging="360"/>
      </w:pPr>
      <w:rPr>
        <w:color w:val="000000"/>
        <w:u w:val="none"/>
      </w:rPr>
    </w:lvl>
    <w:lvl w:ilvl="1">
      <w:start w:val="1"/>
      <w:numFmt w:val="lowerLetter"/>
      <w:lvlText w:val="%2."/>
      <w:lvlJc w:val="left"/>
      <w:pPr>
        <w:ind w:left="1440" w:hanging="360"/>
      </w:pPr>
      <w:rPr>
        <w:rFonts w:ascii="Arial" w:eastAsia="Arial" w:hAnsi="Arial" w:cs="Arial"/>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C369D8"/>
    <w:multiLevelType w:val="multilevel"/>
    <w:tmpl w:val="FFFFFFFF"/>
    <w:lvl w:ilvl="0">
      <w:start w:val="1"/>
      <w:numFmt w:val="bullet"/>
      <w:lvlText w:val="-"/>
      <w:lvlJc w:val="left"/>
      <w:pPr>
        <w:ind w:left="720" w:hanging="360"/>
      </w:pPr>
      <w:rPr>
        <w:color w:val="000000"/>
        <w:u w:val="none"/>
      </w:rPr>
    </w:lvl>
    <w:lvl w:ilvl="1">
      <w:start w:val="1"/>
      <w:numFmt w:val="lowerLetter"/>
      <w:lvlText w:val="%2."/>
      <w:lvlJc w:val="left"/>
      <w:pPr>
        <w:ind w:left="1440" w:hanging="360"/>
      </w:pPr>
      <w:rPr>
        <w:rFonts w:ascii="Arial" w:eastAsia="Arial" w:hAnsi="Arial" w:cs="Arial"/>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CD2C1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4064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153F4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B3130B"/>
    <w:multiLevelType w:val="multilevel"/>
    <w:tmpl w:val="FFFFFFFF"/>
    <w:lvl w:ilvl="0">
      <w:start w:val="1"/>
      <w:numFmt w:val="decimal"/>
      <w:lvlText w:val="%1"/>
      <w:lvlJc w:val="left"/>
      <w:pPr>
        <w:ind w:left="567" w:hanging="567"/>
      </w:pPr>
    </w:lvl>
    <w:lvl w:ilvl="1">
      <w:start w:val="1"/>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9" w15:restartNumberingAfterBreak="0">
    <w:nsid w:val="74D015F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418944">
    <w:abstractNumId w:val="8"/>
  </w:num>
  <w:num w:numId="2" w16cid:durableId="1948996885">
    <w:abstractNumId w:val="5"/>
  </w:num>
  <w:num w:numId="3" w16cid:durableId="2047753013">
    <w:abstractNumId w:val="4"/>
  </w:num>
  <w:num w:numId="4" w16cid:durableId="769156214">
    <w:abstractNumId w:val="2"/>
  </w:num>
  <w:num w:numId="5" w16cid:durableId="549849354">
    <w:abstractNumId w:val="7"/>
  </w:num>
  <w:num w:numId="6" w16cid:durableId="1297418475">
    <w:abstractNumId w:val="1"/>
  </w:num>
  <w:num w:numId="7" w16cid:durableId="1964531496">
    <w:abstractNumId w:val="0"/>
  </w:num>
  <w:num w:numId="8" w16cid:durableId="2051227619">
    <w:abstractNumId w:val="6"/>
  </w:num>
  <w:num w:numId="9" w16cid:durableId="1067723087">
    <w:abstractNumId w:val="3"/>
  </w:num>
  <w:num w:numId="10" w16cid:durableId="8651019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43C"/>
    <w:rsid w:val="00044077"/>
    <w:rsid w:val="00044FAC"/>
    <w:rsid w:val="00067B9D"/>
    <w:rsid w:val="000E63B1"/>
    <w:rsid w:val="00134D7E"/>
    <w:rsid w:val="00172237"/>
    <w:rsid w:val="00207524"/>
    <w:rsid w:val="00211D96"/>
    <w:rsid w:val="00261612"/>
    <w:rsid w:val="00292410"/>
    <w:rsid w:val="002A0BCA"/>
    <w:rsid w:val="00302145"/>
    <w:rsid w:val="00311622"/>
    <w:rsid w:val="00317D93"/>
    <w:rsid w:val="00392648"/>
    <w:rsid w:val="003F0650"/>
    <w:rsid w:val="00400EA2"/>
    <w:rsid w:val="00434204"/>
    <w:rsid w:val="00494633"/>
    <w:rsid w:val="00504BA0"/>
    <w:rsid w:val="005069D8"/>
    <w:rsid w:val="00517BA0"/>
    <w:rsid w:val="00551383"/>
    <w:rsid w:val="00581B73"/>
    <w:rsid w:val="005A1629"/>
    <w:rsid w:val="005A39E0"/>
    <w:rsid w:val="005C4FE2"/>
    <w:rsid w:val="005C643C"/>
    <w:rsid w:val="00615AFF"/>
    <w:rsid w:val="006202D4"/>
    <w:rsid w:val="006341ED"/>
    <w:rsid w:val="00646998"/>
    <w:rsid w:val="006C7780"/>
    <w:rsid w:val="00712B11"/>
    <w:rsid w:val="00725898"/>
    <w:rsid w:val="007512C2"/>
    <w:rsid w:val="007562C8"/>
    <w:rsid w:val="00760750"/>
    <w:rsid w:val="007654E5"/>
    <w:rsid w:val="00794955"/>
    <w:rsid w:val="00812356"/>
    <w:rsid w:val="00887A48"/>
    <w:rsid w:val="00893C50"/>
    <w:rsid w:val="00913B65"/>
    <w:rsid w:val="0093267F"/>
    <w:rsid w:val="009F3162"/>
    <w:rsid w:val="00A872B4"/>
    <w:rsid w:val="00B32DBA"/>
    <w:rsid w:val="00B41048"/>
    <w:rsid w:val="00BC3391"/>
    <w:rsid w:val="00BD239C"/>
    <w:rsid w:val="00BE0190"/>
    <w:rsid w:val="00BE6556"/>
    <w:rsid w:val="00C002C2"/>
    <w:rsid w:val="00C005AC"/>
    <w:rsid w:val="00C81C5A"/>
    <w:rsid w:val="00CD2716"/>
    <w:rsid w:val="00CF29AE"/>
    <w:rsid w:val="00D05FBA"/>
    <w:rsid w:val="00D14FFE"/>
    <w:rsid w:val="00D248DB"/>
    <w:rsid w:val="00D50F95"/>
    <w:rsid w:val="00D832F0"/>
    <w:rsid w:val="00DC7A33"/>
    <w:rsid w:val="00DD076D"/>
    <w:rsid w:val="00DE4AED"/>
    <w:rsid w:val="00E20FAE"/>
    <w:rsid w:val="00E810DD"/>
    <w:rsid w:val="00EE4D40"/>
    <w:rsid w:val="00F71CAE"/>
    <w:rsid w:val="00F95768"/>
    <w:rsid w:val="00FC3310"/>
    <w:rsid w:val="00FF7895"/>
    <w:rsid w:val="4D786D83"/>
    <w:rsid w:val="64109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1F287"/>
  <w15:docId w15:val="{D5EACAD9-AE3D-4D20-9E11-6D623432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567" w:hanging="567"/>
      <w:outlineLvl w:val="0"/>
    </w:pPr>
    <w:rPr>
      <w:b/>
    </w:rPr>
  </w:style>
  <w:style w:type="paragraph" w:styleId="Heading2">
    <w:name w:val="heading 2"/>
    <w:basedOn w:val="Normal"/>
    <w:next w:val="Normal"/>
    <w:uiPriority w:val="9"/>
    <w:unhideWhenUsed/>
    <w:qFormat/>
    <w:pPr>
      <w:keepNext/>
      <w:keepLines/>
      <w:spacing w:before="240" w:after="120" w:line="240" w:lineRule="auto"/>
      <w:ind w:left="660" w:hanging="480"/>
      <w:outlineLvl w:val="1"/>
    </w:pPr>
    <w:rPr>
      <w:b/>
    </w:rPr>
  </w:style>
  <w:style w:type="paragraph" w:styleId="Heading3">
    <w:name w:val="heading 3"/>
    <w:basedOn w:val="Normal"/>
    <w:next w:val="Normal"/>
    <w:uiPriority w:val="9"/>
    <w:unhideWhenUsed/>
    <w:qFormat/>
    <w:pPr>
      <w:keepNext/>
      <w:keepLines/>
      <w:spacing w:before="240" w:after="120" w:line="240" w:lineRule="auto"/>
      <w:ind w:left="1080" w:hanging="720"/>
      <w:outlineLvl w:val="2"/>
    </w:pPr>
    <w:rPr>
      <w:i/>
    </w:rPr>
  </w:style>
  <w:style w:type="paragraph" w:styleId="Heading4">
    <w:name w:val="heading 4"/>
    <w:basedOn w:val="Normal"/>
    <w:next w:val="Normal"/>
    <w:uiPriority w:val="9"/>
    <w:semiHidden/>
    <w:unhideWhenUsed/>
    <w:qFormat/>
    <w:pPr>
      <w:keepNext/>
      <w:keepLines/>
      <w:spacing w:before="120" w:after="120" w:line="240" w:lineRule="auto"/>
      <w:ind w:left="1260" w:hanging="720"/>
      <w:outlineLvl w:val="3"/>
    </w:pPr>
    <w:rPr>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1">
    <w:basedOn w:val="TableNormal"/>
    <w:pPr>
      <w:spacing w:line="240" w:lineRule="auto"/>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Calibri" w:eastAsia="Calibri" w:hAnsi="Calibri" w:cs="Calibri"/>
    </w:rPr>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D14FFE"/>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14FFE"/>
  </w:style>
  <w:style w:type="paragraph" w:styleId="Footer">
    <w:name w:val="footer"/>
    <w:basedOn w:val="Normal"/>
    <w:link w:val="FooterChar"/>
    <w:uiPriority w:val="99"/>
    <w:semiHidden/>
    <w:unhideWhenUsed/>
    <w:rsid w:val="00D14FFE"/>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14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vguidelines.org/fr/" TargetMode="External"/><Relationship Id="rId18" Type="http://schemas.openxmlformats.org/officeDocument/2006/relationships/hyperlink" Target="https://www.who.int/fr/publications-detail/978924000141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sea.interagencystandingcommittee.org/resources/joint-unhcr-and-ocha-note-mixed-situations-coordination-practice" TargetMode="External"/><Relationship Id="rId17" Type="http://schemas.openxmlformats.org/officeDocument/2006/relationships/hyperlink" Target="https://gbvguidelines.org/fr/" TargetMode="External"/><Relationship Id="rId2" Type="http://schemas.openxmlformats.org/officeDocument/2006/relationships/customXml" Target="../customXml/item2.xml"/><Relationship Id="rId16" Type="http://schemas.openxmlformats.org/officeDocument/2006/relationships/hyperlink" Target="https://www.unwomen.org/sites/default/files/Headquarters/Attachments/Sections/Library/Publications/2015/Essential-Services-Package-fr.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sea.interagencystandingcommittee.org/resources/joint-unhcr-and-ocha-note-mixed-situations-coordination-practice" TargetMode="External"/><Relationship Id="rId5" Type="http://schemas.openxmlformats.org/officeDocument/2006/relationships/numbering" Target="numbering.xml"/><Relationship Id="rId15" Type="http://schemas.openxmlformats.org/officeDocument/2006/relationships/hyperlink" Target="https://gbvaor.net/node/82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ho.int/fr/publications/i/item/97892415956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vaor.net/sites/default/files/2021-01/Handbook%20for%20Coordinating%20GBViE_V11.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unhcr.org/fr/global-trends" TargetMode="External"/><Relationship Id="rId3" Type="http://schemas.openxmlformats.org/officeDocument/2006/relationships/hyperlink" Target="https://gbvaor.net/node/825" TargetMode="External"/><Relationship Id="rId7" Type="http://schemas.openxmlformats.org/officeDocument/2006/relationships/hyperlink" Target="https://gbvaor.net/node/825" TargetMode="External"/><Relationship Id="rId12" Type="http://schemas.openxmlformats.org/officeDocument/2006/relationships/hyperlink" Target="https://gbvaor.net/node/1160" TargetMode="External"/><Relationship Id="rId2" Type="http://schemas.openxmlformats.org/officeDocument/2006/relationships/hyperlink" Target="https://gbvguidelines.org/wp/wp-content/uploads/2016/03/2015-IASC-Directrices-VBG_version-francaise.pdf" TargetMode="External"/><Relationship Id="rId1" Type="http://schemas.openxmlformats.org/officeDocument/2006/relationships/hyperlink" Target="https://gbvaor.net/node/825" TargetMode="External"/><Relationship Id="rId6" Type="http://schemas.openxmlformats.org/officeDocument/2006/relationships/hyperlink" Target="https://interagencystandingcommittee.org/sites/default/files/migrated/2021-02/IASC%20Guidelines%20on%20the%20Inclusion%20of%20Persons%20with%20Disabilities%20in%20Humanitarian%20Action%20%28French%29_0.pdf" TargetMode="External"/><Relationship Id="rId11" Type="http://schemas.openxmlformats.org/officeDocument/2006/relationships/hyperlink" Target="https://gbvaor.net/sites/default/files/2021-11/Guidance%20Note%20Male%20Survivors_FINAL29.9.21.pdf" TargetMode="External"/><Relationship Id="rId5" Type="http://schemas.openxmlformats.org/officeDocument/2006/relationships/hyperlink" Target="https://gbvaor.net/node/825" TargetMode="External"/><Relationship Id="rId10" Type="http://schemas.openxmlformats.org/officeDocument/2006/relationships/hyperlink" Target="https://reliefweb.int/report/syrian-arab-republic/gender-based-violence-prevention-and-response-older-women-whole-syria" TargetMode="External"/><Relationship Id="rId4" Type="http://schemas.openxmlformats.org/officeDocument/2006/relationships/hyperlink" Target="https://www.who.int/fr/publications/i/item/9789241595681" TargetMode="External"/><Relationship Id="rId9" Type="http://schemas.openxmlformats.org/officeDocument/2006/relationships/hyperlink" Target="https://gbvresponders.org/wp-content/uploads/2021/01/IRC-Inclusion_Guidance-FRA-scre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SMBgadjYCqrenRJ77o/RL5KDw==">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8d262f-0782-4c02-ae99-38d6040ade62">
      <Terms xmlns="http://schemas.microsoft.com/office/infopath/2007/PartnerControls"/>
    </lcf76f155ced4ddcb4097134ff3c332f>
    <TaxCatchAll xmlns="a673553b-e85d-4085-989b-b167054402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8" ma:contentTypeDescription="Create a new document." ma:contentTypeScope="" ma:versionID="7da05e16fa6466c612f741e8f79fc171">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37259a2dc2fcc845a46f4adba1293f64"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06f338-cab0-4706-b9e9-999df5eaca19}" ma:internalName="TaxCatchAll" ma:showField="CatchAllData" ma:web="a673553b-e85d-4085-989b-b167054402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6A0469-7D8B-4DFE-A541-D9D6809BEADD}">
  <ds:schemaRefs>
    <ds:schemaRef ds:uri="http://schemas.microsoft.com/sharepoint/v3/contenttype/forms"/>
  </ds:schemaRefs>
</ds:datastoreItem>
</file>

<file path=customXml/itemProps3.xml><?xml version="1.0" encoding="utf-8"?>
<ds:datastoreItem xmlns:ds="http://schemas.openxmlformats.org/officeDocument/2006/customXml" ds:itemID="{3FED6595-B064-4BF9-8E81-3BB96D42B2A8}">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a673553b-e85d-4085-989b-b167054402de"/>
    <ds:schemaRef ds:uri="458d262f-0782-4c02-ae99-38d6040ade62"/>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7AC5D0D-FFF8-44B9-AE2E-B089C326A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26</Pages>
  <Words>9287</Words>
  <Characters>52937</Characters>
  <Application>Microsoft Office Word</Application>
  <DocSecurity>0</DocSecurity>
  <Lines>441</Lines>
  <Paragraphs>124</Paragraphs>
  <ScaleCrop>false</ScaleCrop>
  <Company/>
  <LinksUpToDate>false</LinksUpToDate>
  <CharactersWithSpaces>62100</CharactersWithSpaces>
  <SharedDoc>false</SharedDoc>
  <HLinks>
    <vt:vector size="366" baseType="variant">
      <vt:variant>
        <vt:i4>327766</vt:i4>
      </vt:variant>
      <vt:variant>
        <vt:i4>207</vt:i4>
      </vt:variant>
      <vt:variant>
        <vt:i4>0</vt:i4>
      </vt:variant>
      <vt:variant>
        <vt:i4>5</vt:i4>
      </vt:variant>
      <vt:variant>
        <vt:lpwstr>https://www.who.int/fr/publications/i/item/9789241595681</vt:lpwstr>
      </vt:variant>
      <vt:variant>
        <vt:lpwstr/>
      </vt:variant>
      <vt:variant>
        <vt:i4>5439554</vt:i4>
      </vt:variant>
      <vt:variant>
        <vt:i4>204</vt:i4>
      </vt:variant>
      <vt:variant>
        <vt:i4>0</vt:i4>
      </vt:variant>
      <vt:variant>
        <vt:i4>5</vt:i4>
      </vt:variant>
      <vt:variant>
        <vt:lpwstr>https://www.who.int/fr/publications-detail/9789240001411</vt:lpwstr>
      </vt:variant>
      <vt:variant>
        <vt:lpwstr/>
      </vt:variant>
      <vt:variant>
        <vt:i4>1376351</vt:i4>
      </vt:variant>
      <vt:variant>
        <vt:i4>201</vt:i4>
      </vt:variant>
      <vt:variant>
        <vt:i4>0</vt:i4>
      </vt:variant>
      <vt:variant>
        <vt:i4>5</vt:i4>
      </vt:variant>
      <vt:variant>
        <vt:lpwstr>https://gbvguidelines.org/fr/</vt:lpwstr>
      </vt:variant>
      <vt:variant>
        <vt:lpwstr/>
      </vt:variant>
      <vt:variant>
        <vt:i4>5767175</vt:i4>
      </vt:variant>
      <vt:variant>
        <vt:i4>198</vt:i4>
      </vt:variant>
      <vt:variant>
        <vt:i4>0</vt:i4>
      </vt:variant>
      <vt:variant>
        <vt:i4>5</vt:i4>
      </vt:variant>
      <vt:variant>
        <vt:lpwstr>https://www.unwomen.org/sites/default/files/Headquarters/Attachments/Sections/Library/Publications/2015/Essential-Services-Package-fr.pdf</vt:lpwstr>
      </vt:variant>
      <vt:variant>
        <vt:lpwstr/>
      </vt:variant>
      <vt:variant>
        <vt:i4>7143528</vt:i4>
      </vt:variant>
      <vt:variant>
        <vt:i4>195</vt:i4>
      </vt:variant>
      <vt:variant>
        <vt:i4>0</vt:i4>
      </vt:variant>
      <vt:variant>
        <vt:i4>5</vt:i4>
      </vt:variant>
      <vt:variant>
        <vt:lpwstr>https://gbvaor.net/node/825</vt:lpwstr>
      </vt:variant>
      <vt:variant>
        <vt:lpwstr/>
      </vt:variant>
      <vt:variant>
        <vt:i4>3276805</vt:i4>
      </vt:variant>
      <vt:variant>
        <vt:i4>192</vt:i4>
      </vt:variant>
      <vt:variant>
        <vt:i4>0</vt:i4>
      </vt:variant>
      <vt:variant>
        <vt:i4>5</vt:i4>
      </vt:variant>
      <vt:variant>
        <vt:lpwstr>https://gbvaor.net/sites/default/files/2021-01/Handbook for Coordinating GBViE_V11.pdf</vt:lpwstr>
      </vt:variant>
      <vt:variant>
        <vt:lpwstr/>
      </vt:variant>
      <vt:variant>
        <vt:i4>1376351</vt:i4>
      </vt:variant>
      <vt:variant>
        <vt:i4>189</vt:i4>
      </vt:variant>
      <vt:variant>
        <vt:i4>0</vt:i4>
      </vt:variant>
      <vt:variant>
        <vt:i4>5</vt:i4>
      </vt:variant>
      <vt:variant>
        <vt:lpwstr>https://gbvguidelines.org/fr/</vt:lpwstr>
      </vt:variant>
      <vt:variant>
        <vt:lpwstr/>
      </vt:variant>
      <vt:variant>
        <vt:i4>5767169</vt:i4>
      </vt:variant>
      <vt:variant>
        <vt:i4>186</vt:i4>
      </vt:variant>
      <vt:variant>
        <vt:i4>0</vt:i4>
      </vt:variant>
      <vt:variant>
        <vt:i4>5</vt:i4>
      </vt:variant>
      <vt:variant>
        <vt:lpwstr>https://psea.interagencystandingcommittee.org/resources/joint-unhcr-and-ocha-note-mixed-situations-coordination-practice</vt:lpwstr>
      </vt:variant>
      <vt:variant>
        <vt:lpwstr/>
      </vt:variant>
      <vt:variant>
        <vt:i4>5767169</vt:i4>
      </vt:variant>
      <vt:variant>
        <vt:i4>183</vt:i4>
      </vt:variant>
      <vt:variant>
        <vt:i4>0</vt:i4>
      </vt:variant>
      <vt:variant>
        <vt:i4>5</vt:i4>
      </vt:variant>
      <vt:variant>
        <vt:lpwstr>https://psea.interagencystandingcommittee.org/resources/joint-unhcr-and-ocha-note-mixed-situations-coordination-practice</vt:lpwstr>
      </vt:variant>
      <vt:variant>
        <vt:lpwstr/>
      </vt:variant>
      <vt:variant>
        <vt:i4>7077955</vt:i4>
      </vt:variant>
      <vt:variant>
        <vt:i4>176</vt:i4>
      </vt:variant>
      <vt:variant>
        <vt:i4>0</vt:i4>
      </vt:variant>
      <vt:variant>
        <vt:i4>5</vt:i4>
      </vt:variant>
      <vt:variant>
        <vt:lpwstr/>
      </vt:variant>
      <vt:variant>
        <vt:lpwstr>_heading=h.3o7alnk</vt:lpwstr>
      </vt:variant>
      <vt:variant>
        <vt:i4>7077955</vt:i4>
      </vt:variant>
      <vt:variant>
        <vt:i4>173</vt:i4>
      </vt:variant>
      <vt:variant>
        <vt:i4>0</vt:i4>
      </vt:variant>
      <vt:variant>
        <vt:i4>5</vt:i4>
      </vt:variant>
      <vt:variant>
        <vt:lpwstr/>
      </vt:variant>
      <vt:variant>
        <vt:lpwstr>_heading=h.3o7alnk</vt:lpwstr>
      </vt:variant>
      <vt:variant>
        <vt:i4>2686979</vt:i4>
      </vt:variant>
      <vt:variant>
        <vt:i4>167</vt:i4>
      </vt:variant>
      <vt:variant>
        <vt:i4>0</vt:i4>
      </vt:variant>
      <vt:variant>
        <vt:i4>5</vt:i4>
      </vt:variant>
      <vt:variant>
        <vt:lpwstr/>
      </vt:variant>
      <vt:variant>
        <vt:lpwstr>_heading=h.147n2zr</vt:lpwstr>
      </vt:variant>
      <vt:variant>
        <vt:i4>2686979</vt:i4>
      </vt:variant>
      <vt:variant>
        <vt:i4>164</vt:i4>
      </vt:variant>
      <vt:variant>
        <vt:i4>0</vt:i4>
      </vt:variant>
      <vt:variant>
        <vt:i4>5</vt:i4>
      </vt:variant>
      <vt:variant>
        <vt:lpwstr/>
      </vt:variant>
      <vt:variant>
        <vt:lpwstr>_heading=h.147n2zr</vt:lpwstr>
      </vt:variant>
      <vt:variant>
        <vt:i4>6619202</vt:i4>
      </vt:variant>
      <vt:variant>
        <vt:i4>158</vt:i4>
      </vt:variant>
      <vt:variant>
        <vt:i4>0</vt:i4>
      </vt:variant>
      <vt:variant>
        <vt:i4>5</vt:i4>
      </vt:variant>
      <vt:variant>
        <vt:lpwstr/>
      </vt:variant>
      <vt:variant>
        <vt:lpwstr>_heading=h.2p2csry</vt:lpwstr>
      </vt:variant>
      <vt:variant>
        <vt:i4>6619202</vt:i4>
      </vt:variant>
      <vt:variant>
        <vt:i4>155</vt:i4>
      </vt:variant>
      <vt:variant>
        <vt:i4>0</vt:i4>
      </vt:variant>
      <vt:variant>
        <vt:i4>5</vt:i4>
      </vt:variant>
      <vt:variant>
        <vt:lpwstr/>
      </vt:variant>
      <vt:variant>
        <vt:lpwstr>_heading=h.2p2csry</vt:lpwstr>
      </vt:variant>
      <vt:variant>
        <vt:i4>8323139</vt:i4>
      </vt:variant>
      <vt:variant>
        <vt:i4>149</vt:i4>
      </vt:variant>
      <vt:variant>
        <vt:i4>0</vt:i4>
      </vt:variant>
      <vt:variant>
        <vt:i4>5</vt:i4>
      </vt:variant>
      <vt:variant>
        <vt:lpwstr/>
      </vt:variant>
      <vt:variant>
        <vt:lpwstr>_heading=h.49x2ik5</vt:lpwstr>
      </vt:variant>
      <vt:variant>
        <vt:i4>8323139</vt:i4>
      </vt:variant>
      <vt:variant>
        <vt:i4>146</vt:i4>
      </vt:variant>
      <vt:variant>
        <vt:i4>0</vt:i4>
      </vt:variant>
      <vt:variant>
        <vt:i4>5</vt:i4>
      </vt:variant>
      <vt:variant>
        <vt:lpwstr/>
      </vt:variant>
      <vt:variant>
        <vt:lpwstr>_heading=h.49x2ik5</vt:lpwstr>
      </vt:variant>
      <vt:variant>
        <vt:i4>4128833</vt:i4>
      </vt:variant>
      <vt:variant>
        <vt:i4>140</vt:i4>
      </vt:variant>
      <vt:variant>
        <vt:i4>0</vt:i4>
      </vt:variant>
      <vt:variant>
        <vt:i4>5</vt:i4>
      </vt:variant>
      <vt:variant>
        <vt:lpwstr/>
      </vt:variant>
      <vt:variant>
        <vt:lpwstr>_heading=h.1pxezwc</vt:lpwstr>
      </vt:variant>
      <vt:variant>
        <vt:i4>4128833</vt:i4>
      </vt:variant>
      <vt:variant>
        <vt:i4>137</vt:i4>
      </vt:variant>
      <vt:variant>
        <vt:i4>0</vt:i4>
      </vt:variant>
      <vt:variant>
        <vt:i4>5</vt:i4>
      </vt:variant>
      <vt:variant>
        <vt:lpwstr/>
      </vt:variant>
      <vt:variant>
        <vt:lpwstr>_heading=h.1pxezwc</vt:lpwstr>
      </vt:variant>
      <vt:variant>
        <vt:i4>4587623</vt:i4>
      </vt:variant>
      <vt:variant>
        <vt:i4>131</vt:i4>
      </vt:variant>
      <vt:variant>
        <vt:i4>0</vt:i4>
      </vt:variant>
      <vt:variant>
        <vt:i4>5</vt:i4>
      </vt:variant>
      <vt:variant>
        <vt:lpwstr/>
      </vt:variant>
      <vt:variant>
        <vt:lpwstr>_heading=h.qsh70q</vt:lpwstr>
      </vt:variant>
      <vt:variant>
        <vt:i4>4587623</vt:i4>
      </vt:variant>
      <vt:variant>
        <vt:i4>128</vt:i4>
      </vt:variant>
      <vt:variant>
        <vt:i4>0</vt:i4>
      </vt:variant>
      <vt:variant>
        <vt:i4>5</vt:i4>
      </vt:variant>
      <vt:variant>
        <vt:lpwstr/>
      </vt:variant>
      <vt:variant>
        <vt:lpwstr>_heading=h.qsh70q</vt:lpwstr>
      </vt:variant>
      <vt:variant>
        <vt:i4>2883669</vt:i4>
      </vt:variant>
      <vt:variant>
        <vt:i4>122</vt:i4>
      </vt:variant>
      <vt:variant>
        <vt:i4>0</vt:i4>
      </vt:variant>
      <vt:variant>
        <vt:i4>5</vt:i4>
      </vt:variant>
      <vt:variant>
        <vt:lpwstr/>
      </vt:variant>
      <vt:variant>
        <vt:lpwstr>_heading=h.3j2qqm3</vt:lpwstr>
      </vt:variant>
      <vt:variant>
        <vt:i4>2883669</vt:i4>
      </vt:variant>
      <vt:variant>
        <vt:i4>119</vt:i4>
      </vt:variant>
      <vt:variant>
        <vt:i4>0</vt:i4>
      </vt:variant>
      <vt:variant>
        <vt:i4>5</vt:i4>
      </vt:variant>
      <vt:variant>
        <vt:lpwstr/>
      </vt:variant>
      <vt:variant>
        <vt:lpwstr>_heading=h.3j2qqm3</vt:lpwstr>
      </vt:variant>
      <vt:variant>
        <vt:i4>7274571</vt:i4>
      </vt:variant>
      <vt:variant>
        <vt:i4>113</vt:i4>
      </vt:variant>
      <vt:variant>
        <vt:i4>0</vt:i4>
      </vt:variant>
      <vt:variant>
        <vt:i4>5</vt:i4>
      </vt:variant>
      <vt:variant>
        <vt:lpwstr/>
      </vt:variant>
      <vt:variant>
        <vt:lpwstr>_heading=h.1ksv4uv</vt:lpwstr>
      </vt:variant>
      <vt:variant>
        <vt:i4>7274571</vt:i4>
      </vt:variant>
      <vt:variant>
        <vt:i4>110</vt:i4>
      </vt:variant>
      <vt:variant>
        <vt:i4>0</vt:i4>
      </vt:variant>
      <vt:variant>
        <vt:i4>5</vt:i4>
      </vt:variant>
      <vt:variant>
        <vt:lpwstr/>
      </vt:variant>
      <vt:variant>
        <vt:lpwstr>_heading=h.1ksv4uv</vt:lpwstr>
      </vt:variant>
      <vt:variant>
        <vt:i4>7012447</vt:i4>
      </vt:variant>
      <vt:variant>
        <vt:i4>104</vt:i4>
      </vt:variant>
      <vt:variant>
        <vt:i4>0</vt:i4>
      </vt:variant>
      <vt:variant>
        <vt:i4>5</vt:i4>
      </vt:variant>
      <vt:variant>
        <vt:lpwstr/>
      </vt:variant>
      <vt:variant>
        <vt:lpwstr>_heading=h.bupqdqpcrjpc</vt:lpwstr>
      </vt:variant>
      <vt:variant>
        <vt:i4>7012447</vt:i4>
      </vt:variant>
      <vt:variant>
        <vt:i4>101</vt:i4>
      </vt:variant>
      <vt:variant>
        <vt:i4>0</vt:i4>
      </vt:variant>
      <vt:variant>
        <vt:i4>5</vt:i4>
      </vt:variant>
      <vt:variant>
        <vt:lpwstr/>
      </vt:variant>
      <vt:variant>
        <vt:lpwstr>_heading=h.bupqdqpcrjpc</vt:lpwstr>
      </vt:variant>
      <vt:variant>
        <vt:i4>4063308</vt:i4>
      </vt:variant>
      <vt:variant>
        <vt:i4>95</vt:i4>
      </vt:variant>
      <vt:variant>
        <vt:i4>0</vt:i4>
      </vt:variant>
      <vt:variant>
        <vt:i4>5</vt:i4>
      </vt:variant>
      <vt:variant>
        <vt:lpwstr/>
      </vt:variant>
      <vt:variant>
        <vt:lpwstr>_heading=h.1t3h5sf</vt:lpwstr>
      </vt:variant>
      <vt:variant>
        <vt:i4>4063308</vt:i4>
      </vt:variant>
      <vt:variant>
        <vt:i4>92</vt:i4>
      </vt:variant>
      <vt:variant>
        <vt:i4>0</vt:i4>
      </vt:variant>
      <vt:variant>
        <vt:i4>5</vt:i4>
      </vt:variant>
      <vt:variant>
        <vt:lpwstr/>
      </vt:variant>
      <vt:variant>
        <vt:lpwstr>_heading=h.1t3h5sf</vt:lpwstr>
      </vt:variant>
      <vt:variant>
        <vt:i4>2359389</vt:i4>
      </vt:variant>
      <vt:variant>
        <vt:i4>86</vt:i4>
      </vt:variant>
      <vt:variant>
        <vt:i4>0</vt:i4>
      </vt:variant>
      <vt:variant>
        <vt:i4>5</vt:i4>
      </vt:variant>
      <vt:variant>
        <vt:lpwstr/>
      </vt:variant>
      <vt:variant>
        <vt:lpwstr>_heading=h.yb2qfijeoacn</vt:lpwstr>
      </vt:variant>
      <vt:variant>
        <vt:i4>2359389</vt:i4>
      </vt:variant>
      <vt:variant>
        <vt:i4>83</vt:i4>
      </vt:variant>
      <vt:variant>
        <vt:i4>0</vt:i4>
      </vt:variant>
      <vt:variant>
        <vt:i4>5</vt:i4>
      </vt:variant>
      <vt:variant>
        <vt:lpwstr/>
      </vt:variant>
      <vt:variant>
        <vt:lpwstr>_heading=h.yb2qfijeoacn</vt:lpwstr>
      </vt:variant>
      <vt:variant>
        <vt:i4>4063258</vt:i4>
      </vt:variant>
      <vt:variant>
        <vt:i4>77</vt:i4>
      </vt:variant>
      <vt:variant>
        <vt:i4>0</vt:i4>
      </vt:variant>
      <vt:variant>
        <vt:i4>5</vt:i4>
      </vt:variant>
      <vt:variant>
        <vt:lpwstr/>
      </vt:variant>
      <vt:variant>
        <vt:lpwstr>_heading=h.3dy6vkm</vt:lpwstr>
      </vt:variant>
      <vt:variant>
        <vt:i4>4063258</vt:i4>
      </vt:variant>
      <vt:variant>
        <vt:i4>74</vt:i4>
      </vt:variant>
      <vt:variant>
        <vt:i4>0</vt:i4>
      </vt:variant>
      <vt:variant>
        <vt:i4>5</vt:i4>
      </vt:variant>
      <vt:variant>
        <vt:lpwstr/>
      </vt:variant>
      <vt:variant>
        <vt:lpwstr>_heading=h.3dy6vkm</vt:lpwstr>
      </vt:variant>
      <vt:variant>
        <vt:i4>6946894</vt:i4>
      </vt:variant>
      <vt:variant>
        <vt:i4>68</vt:i4>
      </vt:variant>
      <vt:variant>
        <vt:i4>0</vt:i4>
      </vt:variant>
      <vt:variant>
        <vt:i4>5</vt:i4>
      </vt:variant>
      <vt:variant>
        <vt:lpwstr/>
      </vt:variant>
      <vt:variant>
        <vt:lpwstr>_heading=h.s3fbi99055u4</vt:lpwstr>
      </vt:variant>
      <vt:variant>
        <vt:i4>6946894</vt:i4>
      </vt:variant>
      <vt:variant>
        <vt:i4>65</vt:i4>
      </vt:variant>
      <vt:variant>
        <vt:i4>0</vt:i4>
      </vt:variant>
      <vt:variant>
        <vt:i4>5</vt:i4>
      </vt:variant>
      <vt:variant>
        <vt:lpwstr/>
      </vt:variant>
      <vt:variant>
        <vt:lpwstr>_heading=h.s3fbi99055u4</vt:lpwstr>
      </vt:variant>
      <vt:variant>
        <vt:i4>2097231</vt:i4>
      </vt:variant>
      <vt:variant>
        <vt:i4>59</vt:i4>
      </vt:variant>
      <vt:variant>
        <vt:i4>0</vt:i4>
      </vt:variant>
      <vt:variant>
        <vt:i4>5</vt:i4>
      </vt:variant>
      <vt:variant>
        <vt:lpwstr/>
      </vt:variant>
      <vt:variant>
        <vt:lpwstr>_heading=h.30j0zll</vt:lpwstr>
      </vt:variant>
      <vt:variant>
        <vt:i4>2097231</vt:i4>
      </vt:variant>
      <vt:variant>
        <vt:i4>56</vt:i4>
      </vt:variant>
      <vt:variant>
        <vt:i4>0</vt:i4>
      </vt:variant>
      <vt:variant>
        <vt:i4>5</vt:i4>
      </vt:variant>
      <vt:variant>
        <vt:lpwstr/>
      </vt:variant>
      <vt:variant>
        <vt:lpwstr>_heading=h.30j0zll</vt:lpwstr>
      </vt:variant>
      <vt:variant>
        <vt:i4>7995463</vt:i4>
      </vt:variant>
      <vt:variant>
        <vt:i4>50</vt:i4>
      </vt:variant>
      <vt:variant>
        <vt:i4>0</vt:i4>
      </vt:variant>
      <vt:variant>
        <vt:i4>5</vt:i4>
      </vt:variant>
      <vt:variant>
        <vt:lpwstr/>
      </vt:variant>
      <vt:variant>
        <vt:lpwstr>_heading=h.cgrb4nuk3dvp</vt:lpwstr>
      </vt:variant>
      <vt:variant>
        <vt:i4>7995463</vt:i4>
      </vt:variant>
      <vt:variant>
        <vt:i4>47</vt:i4>
      </vt:variant>
      <vt:variant>
        <vt:i4>0</vt:i4>
      </vt:variant>
      <vt:variant>
        <vt:i4>5</vt:i4>
      </vt:variant>
      <vt:variant>
        <vt:lpwstr/>
      </vt:variant>
      <vt:variant>
        <vt:lpwstr>_heading=h.cgrb4nuk3dvp</vt:lpwstr>
      </vt:variant>
      <vt:variant>
        <vt:i4>2097181</vt:i4>
      </vt:variant>
      <vt:variant>
        <vt:i4>41</vt:i4>
      </vt:variant>
      <vt:variant>
        <vt:i4>0</vt:i4>
      </vt:variant>
      <vt:variant>
        <vt:i4>5</vt:i4>
      </vt:variant>
      <vt:variant>
        <vt:lpwstr/>
      </vt:variant>
      <vt:variant>
        <vt:lpwstr>_heading=h.s030sl9k09uq</vt:lpwstr>
      </vt:variant>
      <vt:variant>
        <vt:i4>2097181</vt:i4>
      </vt:variant>
      <vt:variant>
        <vt:i4>38</vt:i4>
      </vt:variant>
      <vt:variant>
        <vt:i4>0</vt:i4>
      </vt:variant>
      <vt:variant>
        <vt:i4>5</vt:i4>
      </vt:variant>
      <vt:variant>
        <vt:lpwstr/>
      </vt:variant>
      <vt:variant>
        <vt:lpwstr>_heading=h.s030sl9k09uq</vt:lpwstr>
      </vt:variant>
      <vt:variant>
        <vt:i4>4128832</vt:i4>
      </vt:variant>
      <vt:variant>
        <vt:i4>32</vt:i4>
      </vt:variant>
      <vt:variant>
        <vt:i4>0</vt:i4>
      </vt:variant>
      <vt:variant>
        <vt:i4>5</vt:i4>
      </vt:variant>
      <vt:variant>
        <vt:lpwstr/>
      </vt:variant>
      <vt:variant>
        <vt:lpwstr>_heading=h.bipjxmszpw9h</vt:lpwstr>
      </vt:variant>
      <vt:variant>
        <vt:i4>4128832</vt:i4>
      </vt:variant>
      <vt:variant>
        <vt:i4>29</vt:i4>
      </vt:variant>
      <vt:variant>
        <vt:i4>0</vt:i4>
      </vt:variant>
      <vt:variant>
        <vt:i4>5</vt:i4>
      </vt:variant>
      <vt:variant>
        <vt:lpwstr/>
      </vt:variant>
      <vt:variant>
        <vt:lpwstr>_heading=h.bipjxmszpw9h</vt:lpwstr>
      </vt:variant>
      <vt:variant>
        <vt:i4>2686980</vt:i4>
      </vt:variant>
      <vt:variant>
        <vt:i4>23</vt:i4>
      </vt:variant>
      <vt:variant>
        <vt:i4>0</vt:i4>
      </vt:variant>
      <vt:variant>
        <vt:i4>5</vt:i4>
      </vt:variant>
      <vt:variant>
        <vt:lpwstr/>
      </vt:variant>
      <vt:variant>
        <vt:lpwstr>_heading=h.khc6lk9jjxqx</vt:lpwstr>
      </vt:variant>
      <vt:variant>
        <vt:i4>2686980</vt:i4>
      </vt:variant>
      <vt:variant>
        <vt:i4>20</vt:i4>
      </vt:variant>
      <vt:variant>
        <vt:i4>0</vt:i4>
      </vt:variant>
      <vt:variant>
        <vt:i4>5</vt:i4>
      </vt:variant>
      <vt:variant>
        <vt:lpwstr/>
      </vt:variant>
      <vt:variant>
        <vt:lpwstr>_heading=h.khc6lk9jjxqx</vt:lpwstr>
      </vt:variant>
      <vt:variant>
        <vt:i4>2490374</vt:i4>
      </vt:variant>
      <vt:variant>
        <vt:i4>14</vt:i4>
      </vt:variant>
      <vt:variant>
        <vt:i4>0</vt:i4>
      </vt:variant>
      <vt:variant>
        <vt:i4>5</vt:i4>
      </vt:variant>
      <vt:variant>
        <vt:lpwstr/>
      </vt:variant>
      <vt:variant>
        <vt:lpwstr>_heading=h.hk1ov7kz9l4g</vt:lpwstr>
      </vt:variant>
      <vt:variant>
        <vt:i4>2490374</vt:i4>
      </vt:variant>
      <vt:variant>
        <vt:i4>11</vt:i4>
      </vt:variant>
      <vt:variant>
        <vt:i4>0</vt:i4>
      </vt:variant>
      <vt:variant>
        <vt:i4>5</vt:i4>
      </vt:variant>
      <vt:variant>
        <vt:lpwstr/>
      </vt:variant>
      <vt:variant>
        <vt:lpwstr>_heading=h.hk1ov7kz9l4g</vt:lpwstr>
      </vt:variant>
      <vt:variant>
        <vt:i4>2162700</vt:i4>
      </vt:variant>
      <vt:variant>
        <vt:i4>5</vt:i4>
      </vt:variant>
      <vt:variant>
        <vt:i4>0</vt:i4>
      </vt:variant>
      <vt:variant>
        <vt:i4>5</vt:i4>
      </vt:variant>
      <vt:variant>
        <vt:lpwstr/>
      </vt:variant>
      <vt:variant>
        <vt:lpwstr>_heading=h.d256kxefe5tr</vt:lpwstr>
      </vt:variant>
      <vt:variant>
        <vt:i4>2162700</vt:i4>
      </vt:variant>
      <vt:variant>
        <vt:i4>2</vt:i4>
      </vt:variant>
      <vt:variant>
        <vt:i4>0</vt:i4>
      </vt:variant>
      <vt:variant>
        <vt:i4>5</vt:i4>
      </vt:variant>
      <vt:variant>
        <vt:lpwstr/>
      </vt:variant>
      <vt:variant>
        <vt:lpwstr>_heading=h.d256kxefe5tr</vt:lpwstr>
      </vt:variant>
      <vt:variant>
        <vt:i4>6160471</vt:i4>
      </vt:variant>
      <vt:variant>
        <vt:i4>33</vt:i4>
      </vt:variant>
      <vt:variant>
        <vt:i4>0</vt:i4>
      </vt:variant>
      <vt:variant>
        <vt:i4>5</vt:i4>
      </vt:variant>
      <vt:variant>
        <vt:lpwstr>https://gbvaor.net/node/1160</vt:lpwstr>
      </vt:variant>
      <vt:variant>
        <vt:lpwstr/>
      </vt:variant>
      <vt:variant>
        <vt:i4>2752590</vt:i4>
      </vt:variant>
      <vt:variant>
        <vt:i4>30</vt:i4>
      </vt:variant>
      <vt:variant>
        <vt:i4>0</vt:i4>
      </vt:variant>
      <vt:variant>
        <vt:i4>5</vt:i4>
      </vt:variant>
      <vt:variant>
        <vt:lpwstr>https://gbvaor.net/sites/default/files/2021-11/Guidance Note Male Survivors_FINAL29.9.21.pdf</vt:lpwstr>
      </vt:variant>
      <vt:variant>
        <vt:lpwstr/>
      </vt:variant>
      <vt:variant>
        <vt:i4>2228268</vt:i4>
      </vt:variant>
      <vt:variant>
        <vt:i4>27</vt:i4>
      </vt:variant>
      <vt:variant>
        <vt:i4>0</vt:i4>
      </vt:variant>
      <vt:variant>
        <vt:i4>5</vt:i4>
      </vt:variant>
      <vt:variant>
        <vt:lpwstr>https://reliefweb.int/report/syrian-arab-republic/gender-based-violence-prevention-and-response-older-women-whole-syria</vt:lpwstr>
      </vt:variant>
      <vt:variant>
        <vt:lpwstr/>
      </vt:variant>
      <vt:variant>
        <vt:i4>7536723</vt:i4>
      </vt:variant>
      <vt:variant>
        <vt:i4>24</vt:i4>
      </vt:variant>
      <vt:variant>
        <vt:i4>0</vt:i4>
      </vt:variant>
      <vt:variant>
        <vt:i4>5</vt:i4>
      </vt:variant>
      <vt:variant>
        <vt:lpwstr>https://gbvresponders.org/wp-content/uploads/2021/01/IRC-Inclusion_Guidance-FRA-screen.pdf</vt:lpwstr>
      </vt:variant>
      <vt:variant>
        <vt:lpwstr/>
      </vt:variant>
      <vt:variant>
        <vt:i4>7274617</vt:i4>
      </vt:variant>
      <vt:variant>
        <vt:i4>21</vt:i4>
      </vt:variant>
      <vt:variant>
        <vt:i4>0</vt:i4>
      </vt:variant>
      <vt:variant>
        <vt:i4>5</vt:i4>
      </vt:variant>
      <vt:variant>
        <vt:lpwstr>https://www.unhcr.org/fr/global-trends</vt:lpwstr>
      </vt:variant>
      <vt:variant>
        <vt:lpwstr/>
      </vt:variant>
      <vt:variant>
        <vt:i4>7143528</vt:i4>
      </vt:variant>
      <vt:variant>
        <vt:i4>18</vt:i4>
      </vt:variant>
      <vt:variant>
        <vt:i4>0</vt:i4>
      </vt:variant>
      <vt:variant>
        <vt:i4>5</vt:i4>
      </vt:variant>
      <vt:variant>
        <vt:lpwstr>https://gbvaor.net/node/825</vt:lpwstr>
      </vt:variant>
      <vt:variant>
        <vt:lpwstr/>
      </vt:variant>
      <vt:variant>
        <vt:i4>4063316</vt:i4>
      </vt:variant>
      <vt:variant>
        <vt:i4>15</vt:i4>
      </vt:variant>
      <vt:variant>
        <vt:i4>0</vt:i4>
      </vt:variant>
      <vt:variant>
        <vt:i4>5</vt:i4>
      </vt:variant>
      <vt:variant>
        <vt:lpwstr>https://interagencystandingcommittee.org/sites/default/files/migrated/2021-02/IASC Guidelines on the Inclusion of Persons with Disabilities in Humanitarian Action %28French%29_0.pdf</vt:lpwstr>
      </vt:variant>
      <vt:variant>
        <vt:lpwstr/>
      </vt:variant>
      <vt:variant>
        <vt:i4>7143528</vt:i4>
      </vt:variant>
      <vt:variant>
        <vt:i4>12</vt:i4>
      </vt:variant>
      <vt:variant>
        <vt:i4>0</vt:i4>
      </vt:variant>
      <vt:variant>
        <vt:i4>5</vt:i4>
      </vt:variant>
      <vt:variant>
        <vt:lpwstr>https://gbvaor.net/node/825</vt:lpwstr>
      </vt:variant>
      <vt:variant>
        <vt:lpwstr/>
      </vt:variant>
      <vt:variant>
        <vt:i4>327766</vt:i4>
      </vt:variant>
      <vt:variant>
        <vt:i4>9</vt:i4>
      </vt:variant>
      <vt:variant>
        <vt:i4>0</vt:i4>
      </vt:variant>
      <vt:variant>
        <vt:i4>5</vt:i4>
      </vt:variant>
      <vt:variant>
        <vt:lpwstr>https://www.who.int/fr/publications/i/item/9789241595681</vt:lpwstr>
      </vt:variant>
      <vt:variant>
        <vt:lpwstr/>
      </vt:variant>
      <vt:variant>
        <vt:i4>7143528</vt:i4>
      </vt:variant>
      <vt:variant>
        <vt:i4>6</vt:i4>
      </vt:variant>
      <vt:variant>
        <vt:i4>0</vt:i4>
      </vt:variant>
      <vt:variant>
        <vt:i4>5</vt:i4>
      </vt:variant>
      <vt:variant>
        <vt:lpwstr>https://gbvaor.net/node/825</vt:lpwstr>
      </vt:variant>
      <vt:variant>
        <vt:lpwstr/>
      </vt:variant>
      <vt:variant>
        <vt:i4>1835048</vt:i4>
      </vt:variant>
      <vt:variant>
        <vt:i4>3</vt:i4>
      </vt:variant>
      <vt:variant>
        <vt:i4>0</vt:i4>
      </vt:variant>
      <vt:variant>
        <vt:i4>5</vt:i4>
      </vt:variant>
      <vt:variant>
        <vt:lpwstr>https://gbvguidelines.org/wp/wp-content/uploads/2016/03/2015-IASC-Directrices-VBG_version-francaise.pdf</vt:lpwstr>
      </vt:variant>
      <vt:variant>
        <vt:lpwstr/>
      </vt:variant>
      <vt:variant>
        <vt:i4>7143528</vt:i4>
      </vt:variant>
      <vt:variant>
        <vt:i4>0</vt:i4>
      </vt:variant>
      <vt:variant>
        <vt:i4>0</vt:i4>
      </vt:variant>
      <vt:variant>
        <vt:i4>5</vt:i4>
      </vt:variant>
      <vt:variant>
        <vt:lpwstr>https://gbvaor.net/node/825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 Amirali</dc:creator>
  <cp:lastModifiedBy>Kate McCallister</cp:lastModifiedBy>
  <cp:revision>63</cp:revision>
  <dcterms:created xsi:type="dcterms:W3CDTF">2024-04-02T10:11:00Z</dcterms:created>
  <dcterms:modified xsi:type="dcterms:W3CDTF">2024-07-26T12:10:00Z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0x01010085D04287FC228141BE6DC2E279D316A3</vt:lpwstr>
  </property>
</Properties>
</file>