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83485" w14:textId="0183D303" w:rsidR="009416F3" w:rsidRPr="00CE34E6" w:rsidRDefault="00CE34E6" w:rsidP="00B607EA">
      <w:pPr>
        <w:bidi/>
        <w:spacing w:before="240"/>
        <w:jc w:val="center"/>
        <w:rPr>
          <w:rFonts w:ascii="Calibri" w:hAnsi="Calibri" w:cs="Calibri"/>
          <w:color w:val="0070C0"/>
          <w:sz w:val="28"/>
          <w:szCs w:val="28"/>
          <w:rtl/>
        </w:rPr>
      </w:pPr>
      <w:r>
        <w:rPr>
          <w:rFonts w:ascii="Calibri" w:hAnsi="Calibri" w:hint="cs"/>
          <w:b/>
          <w:color w:val="0070C0"/>
          <w:sz w:val="28"/>
          <w:rtl/>
        </w:rPr>
        <w:t xml:space="preserve">إجراء المصالح الفضلى </w:t>
      </w:r>
      <w:r w:rsidR="002A463F">
        <w:rPr>
          <w:rFonts w:ascii="Calibri" w:hAnsi="Calibri"/>
          <w:b/>
          <w:color w:val="0070C0"/>
          <w:sz w:val="28"/>
          <w:rtl/>
        </w:rPr>
        <w:t>–</w:t>
      </w:r>
      <w:r>
        <w:rPr>
          <w:rFonts w:ascii="Calibri" w:hAnsi="Calibri" w:hint="cs"/>
          <w:b/>
          <w:color w:val="0070C0"/>
          <w:sz w:val="28"/>
          <w:rtl/>
        </w:rPr>
        <w:t xml:space="preserve"> قائمة</w:t>
      </w:r>
      <w:r w:rsidR="002A463F">
        <w:rPr>
          <w:rFonts w:ascii="Calibri" w:hAnsi="Calibri" w:hint="cs"/>
          <w:b/>
          <w:color w:val="0070C0"/>
          <w:sz w:val="28"/>
          <w:rtl/>
        </w:rPr>
        <w:t xml:space="preserve"> التدقيق</w:t>
      </w:r>
      <w:r>
        <w:rPr>
          <w:rFonts w:ascii="Calibri" w:hAnsi="Calibri" w:hint="cs"/>
          <w:b/>
          <w:color w:val="0070C0"/>
          <w:sz w:val="28"/>
          <w:rtl/>
        </w:rPr>
        <w:t xml:space="preserve"> المرجعية لمشرف تحديد المصالح الفضلى</w:t>
      </w:r>
    </w:p>
    <w:p w14:paraId="2143B8F8" w14:textId="77777777" w:rsidR="009416F3" w:rsidRPr="00CE34E6" w:rsidRDefault="009416F3" w:rsidP="00CE34E6">
      <w:pPr>
        <w:spacing w:before="80"/>
        <w:rPr>
          <w:rFonts w:ascii="Calibri" w:hAnsi="Calibri" w:cs="Calibri"/>
          <w:sz w:val="20"/>
          <w:szCs w:val="20"/>
        </w:rPr>
      </w:pPr>
    </w:p>
    <w:p w14:paraId="4CF0FB95" w14:textId="45D0888F" w:rsidR="009416F3" w:rsidRPr="00CE34E6" w:rsidRDefault="009416F3" w:rsidP="00CE34E6">
      <w:pPr>
        <w:bidi/>
        <w:spacing w:before="80"/>
        <w:rPr>
          <w:rFonts w:ascii="Calibri" w:hAnsi="Calibri" w:cs="Calibri"/>
          <w:color w:val="0070C0"/>
          <w:sz w:val="20"/>
          <w:szCs w:val="20"/>
          <w:rtl/>
        </w:rPr>
      </w:pPr>
      <w:r>
        <w:rPr>
          <w:rFonts w:ascii="Calibri" w:hAnsi="Calibri" w:hint="cs"/>
          <w:b/>
          <w:color w:val="0070C0"/>
          <w:sz w:val="20"/>
          <w:rtl/>
        </w:rPr>
        <w:t>إعداد / تعزيز عملية تحديد المصالح الفضلى</w:t>
      </w:r>
    </w:p>
    <w:p w14:paraId="4947CF74" w14:textId="628CE80E" w:rsidR="009416F3" w:rsidRPr="00CE34E6" w:rsidRDefault="009416F3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 xml:space="preserve">إنشاء </w:t>
      </w:r>
      <w:r w:rsidR="00E04902">
        <w:rPr>
          <w:rFonts w:ascii="Calibri" w:hAnsi="Calibri" w:hint="cs"/>
          <w:sz w:val="20"/>
          <w:rtl/>
        </w:rPr>
        <w:t>لجنة</w:t>
      </w:r>
      <w:r>
        <w:rPr>
          <w:rFonts w:ascii="Calibri" w:hAnsi="Calibri" w:hint="cs"/>
          <w:sz w:val="20"/>
          <w:rtl/>
        </w:rPr>
        <w:t xml:space="preserve"> تحديد المصالح الفضلى متعدد الوظائف</w:t>
      </w:r>
    </w:p>
    <w:p w14:paraId="62EE6709" w14:textId="77777777" w:rsidR="00EE4998" w:rsidRPr="00CE34E6" w:rsidRDefault="009416F3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صياغة جميع الإجراءات التشغيلية القياسية ذات الصلة أو تعديلها أو تحديثها؛</w:t>
      </w:r>
    </w:p>
    <w:p w14:paraId="6EF3B290" w14:textId="77777777" w:rsidR="009416F3" w:rsidRPr="00CE34E6" w:rsidRDefault="009416F3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 xml:space="preserve"> تقديم التدريب اللازم إلى فريق تحديد المصالح الفضلى على:</w:t>
      </w:r>
    </w:p>
    <w:p w14:paraId="715AD69B" w14:textId="77777777" w:rsidR="00E04902" w:rsidRDefault="00E04902" w:rsidP="00E04902">
      <w:pPr>
        <w:pStyle w:val="CommentText"/>
        <w:numPr>
          <w:ilvl w:val="0"/>
          <w:numId w:val="3"/>
        </w:numPr>
      </w:pPr>
      <w:r>
        <w:rPr>
          <w:rFonts w:hint="cs"/>
          <w:rtl/>
        </w:rPr>
        <w:t>الإرشادات</w:t>
      </w:r>
    </w:p>
    <w:p w14:paraId="1616268A" w14:textId="0ED736B7" w:rsidR="00EE4998" w:rsidRPr="00CE34E6" w:rsidRDefault="009416F3" w:rsidP="00CE34E6">
      <w:pPr>
        <w:pStyle w:val="ListParagraph"/>
        <w:numPr>
          <w:ilvl w:val="1"/>
          <w:numId w:val="3"/>
        </w:numPr>
        <w:bidi/>
        <w:spacing w:before="80"/>
        <w:contextualSpacing w:val="0"/>
        <w:jc w:val="both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لإجراء المصالح الفضلى</w:t>
      </w:r>
    </w:p>
    <w:p w14:paraId="6AD14915" w14:textId="77777777" w:rsidR="009416F3" w:rsidRPr="00CE34E6" w:rsidRDefault="009416F3" w:rsidP="00CE34E6">
      <w:pPr>
        <w:pStyle w:val="ListParagraph"/>
        <w:numPr>
          <w:ilvl w:val="1"/>
          <w:numId w:val="3"/>
        </w:numPr>
        <w:bidi/>
        <w:spacing w:before="80"/>
        <w:contextualSpacing w:val="0"/>
        <w:jc w:val="both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 xml:space="preserve"> جمع البيانات</w:t>
      </w:r>
    </w:p>
    <w:p w14:paraId="79ED995F" w14:textId="77777777" w:rsidR="00EE4998" w:rsidRPr="00CE34E6" w:rsidRDefault="009416F3" w:rsidP="00CE34E6">
      <w:pPr>
        <w:pStyle w:val="ListParagraph"/>
        <w:numPr>
          <w:ilvl w:val="1"/>
          <w:numId w:val="3"/>
        </w:numPr>
        <w:bidi/>
        <w:spacing w:before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كيفية إجراء مقابلة شخصية مع الأطفال</w:t>
      </w:r>
    </w:p>
    <w:p w14:paraId="2B21BD56" w14:textId="77777777" w:rsidR="009416F3" w:rsidRPr="00CE34E6" w:rsidRDefault="009416F3" w:rsidP="00CE34E6">
      <w:pPr>
        <w:pStyle w:val="ListParagraph"/>
        <w:numPr>
          <w:ilvl w:val="1"/>
          <w:numId w:val="3"/>
        </w:numPr>
        <w:bidi/>
        <w:spacing w:before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أساليب الكتابة؛</w:t>
      </w:r>
    </w:p>
    <w:p w14:paraId="48694E67" w14:textId="77777777" w:rsidR="009416F3" w:rsidRPr="00CE34E6" w:rsidRDefault="009416F3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التأكد من توقيع جميع أعضاء فريق تحديد المصالح الفضلى على مدونة قواعد السلوك وتعهد السرية؛</w:t>
      </w:r>
    </w:p>
    <w:p w14:paraId="0AF1AE2C" w14:textId="77777777" w:rsidR="009416F3" w:rsidRPr="00CE34E6" w:rsidRDefault="009416F3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تحديد السلطات الوطنية أو المحلية المختصة، وإطلاعها بانتظام على عملية إجراء المصالح الفضلى وإشراكها في العملية، إن أمكن؛</w:t>
      </w:r>
    </w:p>
    <w:p w14:paraId="74B37EE9" w14:textId="77777777" w:rsidR="009416F3" w:rsidRPr="00CE34E6" w:rsidRDefault="009416F3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التشاور مع جميع المنظمات غير الحكومية التي تعمل في مجال حماية الطفل أو قضايا رعاية الطفل من أجل تحديد الأدوار والمسؤوليات في عملية إجراء المصالح الفضلى؛</w:t>
      </w:r>
    </w:p>
    <w:p w14:paraId="2518A1F0" w14:textId="77777777" w:rsidR="00EE4998" w:rsidRPr="00CE34E6" w:rsidRDefault="009416F3" w:rsidP="00CE34E6">
      <w:pPr>
        <w:pStyle w:val="ListParagraph"/>
        <w:numPr>
          <w:ilvl w:val="1"/>
          <w:numId w:val="3"/>
        </w:numPr>
        <w:bidi/>
        <w:spacing w:before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تحديد كيفية إعلام المجتمع بعملية تحديد المصالح الفضلى والغرض منها؛</w:t>
      </w:r>
    </w:p>
    <w:p w14:paraId="3D09403D" w14:textId="77777777" w:rsidR="009416F3" w:rsidRPr="00CE34E6" w:rsidRDefault="009416F3" w:rsidP="00CE34E6">
      <w:pPr>
        <w:pStyle w:val="ListParagraph"/>
        <w:numPr>
          <w:ilvl w:val="1"/>
          <w:numId w:val="3"/>
        </w:numPr>
        <w:bidi/>
        <w:spacing w:before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 xml:space="preserve"> تحديد كيفية ترتيب أولويات الحالات.</w:t>
      </w:r>
    </w:p>
    <w:p w14:paraId="0F7399AB" w14:textId="77777777" w:rsidR="00CE34E6" w:rsidRPr="00CE34E6" w:rsidRDefault="00CE34E6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113C946E" w14:textId="20BE7663" w:rsidR="009416F3" w:rsidRPr="00CE34E6" w:rsidRDefault="009416F3" w:rsidP="00CE34E6">
      <w:pPr>
        <w:bidi/>
        <w:spacing w:before="80"/>
        <w:rPr>
          <w:rFonts w:ascii="Calibri" w:hAnsi="Calibri" w:cs="Calibri"/>
          <w:color w:val="0070C0"/>
          <w:sz w:val="20"/>
          <w:szCs w:val="20"/>
          <w:rtl/>
        </w:rPr>
      </w:pPr>
      <w:r>
        <w:rPr>
          <w:rFonts w:ascii="Calibri" w:hAnsi="Calibri" w:hint="cs"/>
          <w:b/>
          <w:color w:val="0070C0"/>
          <w:sz w:val="20"/>
          <w:rtl/>
        </w:rPr>
        <w:t>مراجعة نموذج تقرير تحديد المصالح الفضلى (إذا كان ذا صلة)</w:t>
      </w:r>
    </w:p>
    <w:p w14:paraId="5C170784" w14:textId="77777777" w:rsidR="00EE4998" w:rsidRPr="00CE34E6" w:rsidRDefault="009416F3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تحقق مما إذا كان قد تم ذكر البيانات الحيوية للطفل في نموذج تقرير تحديد المصالح الفضلى بشكلٍ صحيح؛</w:t>
      </w:r>
    </w:p>
    <w:p w14:paraId="7A883EB2" w14:textId="77777777" w:rsidR="009416F3" w:rsidRPr="00CE34E6" w:rsidRDefault="00EE4998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 xml:space="preserve"> تحقق مما إذا كان قد تم الإبلاغ بوضوح عن سجل الانفصال / الهروب، أو تقييم سوء المعاملة أو الإهمال؛</w:t>
      </w:r>
    </w:p>
    <w:p w14:paraId="57DA3A82" w14:textId="77777777" w:rsidR="009416F3" w:rsidRPr="00CE34E6" w:rsidRDefault="009416F3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تحقق من أن جميع الوثائق المستخدمة في صياغة التوصيات متاحة ومرفقة بنموذج تقرير تحديد المصالح الفضلى؛</w:t>
      </w:r>
    </w:p>
    <w:p w14:paraId="6A037334" w14:textId="77777777" w:rsidR="009416F3" w:rsidRPr="00CE34E6" w:rsidRDefault="009416F3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في حالة إعادة التوطين من أجل لمّ شمل الأسرة، تأكد من أنه قد تم التواصل مع الوالدين/الأقارب وإجراء مقابلة شخصية معهم؛</w:t>
      </w:r>
    </w:p>
    <w:p w14:paraId="216773E6" w14:textId="77777777" w:rsidR="009416F3" w:rsidRPr="00CE34E6" w:rsidRDefault="009416F3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راجع ما إذا كانت التوصيات المقترحة متسقة مع المبادئ التوجيهية لإجراء المصالح الفضلى.</w:t>
      </w:r>
    </w:p>
    <w:p w14:paraId="49844441" w14:textId="77777777" w:rsidR="00CE34E6" w:rsidRPr="00CE34E6" w:rsidRDefault="00CE34E6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661147C7" w14:textId="31F61B5B" w:rsidR="009416F3" w:rsidRPr="00CE34E6" w:rsidRDefault="009416F3" w:rsidP="00CE34E6">
      <w:pPr>
        <w:bidi/>
        <w:spacing w:before="80"/>
        <w:rPr>
          <w:rFonts w:ascii="Calibri" w:hAnsi="Calibri" w:cs="Calibri"/>
          <w:color w:val="0070C0"/>
          <w:sz w:val="20"/>
          <w:szCs w:val="20"/>
          <w:rtl/>
        </w:rPr>
      </w:pPr>
      <w:r>
        <w:rPr>
          <w:rFonts w:ascii="Calibri" w:hAnsi="Calibri" w:hint="cs"/>
          <w:b/>
          <w:color w:val="0070C0"/>
          <w:sz w:val="20"/>
          <w:rtl/>
        </w:rPr>
        <w:t>التنسيق مع فريق تحديد المصالح الفضلى</w:t>
      </w:r>
    </w:p>
    <w:p w14:paraId="44DC81EE" w14:textId="3F1BF478" w:rsidR="009416F3" w:rsidRPr="00CE34E6" w:rsidRDefault="009416F3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أرسل نماذج تقرير تحديد المصالح الفضلى مع الوثائق ذات الصلة إلى الفريق مع إشعار مسبق مناسب؛</w:t>
      </w:r>
    </w:p>
    <w:p w14:paraId="5A714E58" w14:textId="77777777" w:rsidR="009416F3" w:rsidRPr="00CE34E6" w:rsidRDefault="009416F3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قم بدور النقطة المرجعية للفريق في حال كانت هناك حاجة إلى مزيد من المعلومات أو التوضيحات بشأن حالات تحديد المصالح الفضلى؛</w:t>
      </w:r>
    </w:p>
    <w:p w14:paraId="47D7595D" w14:textId="77777777" w:rsidR="009416F3" w:rsidRPr="00CE34E6" w:rsidRDefault="009416F3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تسلَّم القرارات من الفريق واحرص على مراقبة تنفيذ القرار وأي تدابير متابعة؛</w:t>
      </w:r>
    </w:p>
    <w:p w14:paraId="2B8C24FF" w14:textId="77777777" w:rsidR="009416F3" w:rsidRPr="00CE34E6" w:rsidRDefault="009416F3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تأكد من إبلاغ الطفل ووالديه أو مقدم الرعاية بالقرار في الوقت المناسب.</w:t>
      </w:r>
    </w:p>
    <w:p w14:paraId="3BD5B610" w14:textId="77777777" w:rsidR="00CE34E6" w:rsidRPr="00CE34E6" w:rsidRDefault="00CE34E6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1035E135" w14:textId="1F5931BC" w:rsidR="009416F3" w:rsidRPr="00CE34E6" w:rsidRDefault="009416F3" w:rsidP="00CE34E6">
      <w:pPr>
        <w:bidi/>
        <w:spacing w:before="80"/>
        <w:rPr>
          <w:rFonts w:ascii="Calibri" w:hAnsi="Calibri" w:cs="Calibri"/>
          <w:color w:val="0070C0"/>
          <w:sz w:val="20"/>
          <w:szCs w:val="20"/>
          <w:rtl/>
        </w:rPr>
      </w:pPr>
      <w:r>
        <w:rPr>
          <w:rFonts w:ascii="Calibri" w:hAnsi="Calibri" w:hint="cs"/>
          <w:b/>
          <w:color w:val="0070C0"/>
          <w:sz w:val="20"/>
          <w:rtl/>
        </w:rPr>
        <w:t>الحفاظ على السجلات</w:t>
      </w:r>
    </w:p>
    <w:p w14:paraId="0F46062E" w14:textId="5A028703" w:rsidR="009416F3" w:rsidRPr="00CE34E6" w:rsidRDefault="009416F3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قم بإنشاء نسخة إلكترونية للقراءة فقط من نموذج تقرير تحديد المصالح الفضلى؛</w:t>
      </w:r>
    </w:p>
    <w:p w14:paraId="0C67D301" w14:textId="77777777" w:rsidR="00EE4998" w:rsidRPr="00CE34E6" w:rsidRDefault="009416F3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تأكد من الحفظ الآمن لنموذج تقرير تحديد المصالح الفضلى ووثائق تحديد المصالح الفضلى ذات الصلة الأخرى؛</w:t>
      </w:r>
    </w:p>
    <w:p w14:paraId="06167B00" w14:textId="77777777" w:rsidR="009416F3" w:rsidRPr="00CE34E6" w:rsidRDefault="00EE4998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 xml:space="preserve"> في حالة مغادرة الطفل لبلدٍ آخر، تأكد من سفر نسخة من نموذج تقرير تحديد المصالح الفضلى والوثائق الأساسية الأخرى مثل: قرارات الحضانة معه.</w:t>
      </w:r>
    </w:p>
    <w:p w14:paraId="2B10D5D7" w14:textId="77777777" w:rsidR="00CE34E6" w:rsidRPr="00CE34E6" w:rsidRDefault="00CE34E6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74932D35" w14:textId="2E0258AE" w:rsidR="009416F3" w:rsidRPr="00CE34E6" w:rsidRDefault="009416F3" w:rsidP="00CE34E6">
      <w:pPr>
        <w:bidi/>
        <w:spacing w:before="80"/>
        <w:rPr>
          <w:rFonts w:ascii="Calibri" w:hAnsi="Calibri" w:cs="Calibri"/>
          <w:color w:val="0070C0"/>
          <w:sz w:val="20"/>
          <w:szCs w:val="20"/>
          <w:rtl/>
        </w:rPr>
      </w:pPr>
      <w:r>
        <w:rPr>
          <w:rFonts w:ascii="Calibri" w:hAnsi="Calibri" w:hint="cs"/>
          <w:b/>
          <w:color w:val="0070C0"/>
          <w:sz w:val="20"/>
          <w:rtl/>
        </w:rPr>
        <w:t>إعادة الفتح</w:t>
      </w:r>
    </w:p>
    <w:p w14:paraId="4FE86098" w14:textId="77777777" w:rsidR="009416F3" w:rsidRPr="00CE34E6" w:rsidRDefault="009416F3" w:rsidP="00CE34E6">
      <w:pPr>
        <w:pStyle w:val="ListParagraph"/>
        <w:numPr>
          <w:ilvl w:val="0"/>
          <w:numId w:val="3"/>
        </w:numPr>
        <w:bidi/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ارصد الحاجة المحتملة إلى إعادة فتح قرار تحديد المصالح الفضلى وبدء العملية إذا لزم الأمر.</w:t>
      </w:r>
      <w:bookmarkStart w:id="0" w:name="page97"/>
      <w:bookmarkEnd w:id="0"/>
    </w:p>
    <w:sectPr w:rsidR="009416F3" w:rsidRPr="00CE34E6" w:rsidSect="00CE34E6">
      <w:headerReference w:type="default" r:id="rId10"/>
      <w:pgSz w:w="11900" w:h="16820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C4547" w14:textId="77777777" w:rsidR="00073AB2" w:rsidRDefault="00073AB2" w:rsidP="00CE34E6">
      <w:r>
        <w:separator/>
      </w:r>
    </w:p>
  </w:endnote>
  <w:endnote w:type="continuationSeparator" w:id="0">
    <w:p w14:paraId="0FF2A843" w14:textId="77777777" w:rsidR="00073AB2" w:rsidRDefault="00073AB2" w:rsidP="00CE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FEF1C" w14:textId="77777777" w:rsidR="00073AB2" w:rsidRDefault="00073AB2" w:rsidP="00CE34E6">
      <w:r>
        <w:separator/>
      </w:r>
    </w:p>
  </w:footnote>
  <w:footnote w:type="continuationSeparator" w:id="0">
    <w:p w14:paraId="3E0ECC5D" w14:textId="77777777" w:rsidR="00073AB2" w:rsidRDefault="00073AB2" w:rsidP="00CE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F68D6" w14:textId="77777777" w:rsidR="00262F37" w:rsidRDefault="00262F37">
    <w:pPr>
      <w:pStyle w:val="Header"/>
    </w:pPr>
  </w:p>
  <w:p w14:paraId="3AE2A4F7" w14:textId="77777777" w:rsidR="00376BD2" w:rsidRDefault="00376BD2" w:rsidP="00376BD2">
    <w:pPr>
      <w:pStyle w:val="Header"/>
      <w:jc w:val="right"/>
    </w:pPr>
  </w:p>
  <w:p w14:paraId="629EFF19" w14:textId="27F7C5A3" w:rsidR="00CE34E6" w:rsidRDefault="00063D0B" w:rsidP="00376BD2">
    <w:pPr>
      <w:pStyle w:val="Header"/>
      <w:bidi/>
      <w:jc w:val="right"/>
      <w:rPr>
        <w:rtl/>
      </w:rPr>
    </w:pPr>
    <w:r>
      <w:rPr>
        <w:noProof/>
        <w:rtl/>
        <w:lang w:val="ar-EG"/>
      </w:rPr>
      <w:drawing>
        <wp:inline distT="0" distB="0" distL="0" distR="0" wp14:anchorId="6765CC70" wp14:editId="4760D6CE">
          <wp:extent cx="2722099" cy="641525"/>
          <wp:effectExtent l="0" t="0" r="0" b="635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972" cy="648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A3148"/>
    <w:multiLevelType w:val="hybridMultilevel"/>
    <w:tmpl w:val="C35AF91E"/>
    <w:lvl w:ilvl="0" w:tplc="86805B76">
      <w:start w:val="3"/>
      <w:numFmt w:val="lowerLetter"/>
      <w:lvlText w:val="%1)"/>
      <w:lvlJc w:val="left"/>
    </w:lvl>
    <w:lvl w:ilvl="1" w:tplc="15B0819A">
      <w:start w:val="1"/>
      <w:numFmt w:val="bullet"/>
      <w:lvlText w:val="  "/>
      <w:lvlJc w:val="left"/>
    </w:lvl>
    <w:lvl w:ilvl="2" w:tplc="6D386428">
      <w:numFmt w:val="decimal"/>
      <w:lvlText w:val=""/>
      <w:lvlJc w:val="left"/>
    </w:lvl>
    <w:lvl w:ilvl="3" w:tplc="C254921C">
      <w:numFmt w:val="decimal"/>
      <w:lvlText w:val=""/>
      <w:lvlJc w:val="left"/>
    </w:lvl>
    <w:lvl w:ilvl="4" w:tplc="D716EDD0">
      <w:numFmt w:val="decimal"/>
      <w:lvlText w:val=""/>
      <w:lvlJc w:val="left"/>
    </w:lvl>
    <w:lvl w:ilvl="5" w:tplc="D510642A">
      <w:numFmt w:val="decimal"/>
      <w:lvlText w:val=""/>
      <w:lvlJc w:val="left"/>
    </w:lvl>
    <w:lvl w:ilvl="6" w:tplc="25CEC33C">
      <w:numFmt w:val="decimal"/>
      <w:lvlText w:val=""/>
      <w:lvlJc w:val="left"/>
    </w:lvl>
    <w:lvl w:ilvl="7" w:tplc="5A4EF1FA">
      <w:numFmt w:val="decimal"/>
      <w:lvlText w:val=""/>
      <w:lvlJc w:val="left"/>
    </w:lvl>
    <w:lvl w:ilvl="8" w:tplc="BCE2C2BC">
      <w:numFmt w:val="decimal"/>
      <w:lvlText w:val=""/>
      <w:lvlJc w:val="left"/>
    </w:lvl>
  </w:abstractNum>
  <w:abstractNum w:abstractNumId="1" w15:restartNumberingAfterBreak="0">
    <w:nsid w:val="1E625ECA"/>
    <w:multiLevelType w:val="hybridMultilevel"/>
    <w:tmpl w:val="73FCE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5E7FD0"/>
    <w:multiLevelType w:val="hybridMultilevel"/>
    <w:tmpl w:val="6B783118"/>
    <w:lvl w:ilvl="0" w:tplc="C2085060">
      <w:start w:val="2"/>
      <w:numFmt w:val="lowerLetter"/>
      <w:lvlText w:val="%1)"/>
      <w:lvlJc w:val="left"/>
    </w:lvl>
    <w:lvl w:ilvl="1" w:tplc="E7122A86">
      <w:start w:val="1"/>
      <w:numFmt w:val="bullet"/>
      <w:lvlText w:val="  "/>
      <w:lvlJc w:val="left"/>
    </w:lvl>
    <w:lvl w:ilvl="2" w:tplc="C24A394E">
      <w:numFmt w:val="decimal"/>
      <w:lvlText w:val=""/>
      <w:lvlJc w:val="left"/>
    </w:lvl>
    <w:lvl w:ilvl="3" w:tplc="D1124BEC">
      <w:numFmt w:val="decimal"/>
      <w:lvlText w:val=""/>
      <w:lvlJc w:val="left"/>
    </w:lvl>
    <w:lvl w:ilvl="4" w:tplc="0BEEE9DE">
      <w:numFmt w:val="decimal"/>
      <w:lvlText w:val=""/>
      <w:lvlJc w:val="left"/>
    </w:lvl>
    <w:lvl w:ilvl="5" w:tplc="8408A198">
      <w:numFmt w:val="decimal"/>
      <w:lvlText w:val=""/>
      <w:lvlJc w:val="left"/>
    </w:lvl>
    <w:lvl w:ilvl="6" w:tplc="E91EC222">
      <w:numFmt w:val="decimal"/>
      <w:lvlText w:val=""/>
      <w:lvlJc w:val="left"/>
    </w:lvl>
    <w:lvl w:ilvl="7" w:tplc="41A4945A">
      <w:numFmt w:val="decimal"/>
      <w:lvlText w:val=""/>
      <w:lvlJc w:val="left"/>
    </w:lvl>
    <w:lvl w:ilvl="8" w:tplc="BF5E1D76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F3"/>
    <w:rsid w:val="00063D0B"/>
    <w:rsid w:val="00073AB2"/>
    <w:rsid w:val="0018076E"/>
    <w:rsid w:val="001B2932"/>
    <w:rsid w:val="00262F37"/>
    <w:rsid w:val="002A463F"/>
    <w:rsid w:val="002E1B73"/>
    <w:rsid w:val="00376BD2"/>
    <w:rsid w:val="004E6491"/>
    <w:rsid w:val="005742D7"/>
    <w:rsid w:val="009416F3"/>
    <w:rsid w:val="00B607EA"/>
    <w:rsid w:val="00CE34E6"/>
    <w:rsid w:val="00D00B0C"/>
    <w:rsid w:val="00E04902"/>
    <w:rsid w:val="00E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94FA"/>
  <w15:chartTrackingRefBased/>
  <w15:docId w15:val="{B53E5157-72A6-45A2-9872-26CF5AAC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6F3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4E6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E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4E6"/>
    <w:rPr>
      <w:rFonts w:ascii="Times New Roman" w:eastAsiaTheme="minorEastAsia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7E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7EA"/>
    <w:rPr>
      <w:rFonts w:ascii="Times New Roman" w:eastAsiaTheme="minorEastAsia" w:hAnsi="Times New Roman" w:cs="Times New Roman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00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B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B0C"/>
    <w:rPr>
      <w:rFonts w:ascii="Times New Roman" w:eastAsiaTheme="minorEastAsia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B0C"/>
    <w:rPr>
      <w:rFonts w:ascii="Times New Roman" w:eastAsiaTheme="minorEastAsia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45A00-EA30-41D2-8A3A-913D03609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48F27-E4FF-47AF-8144-83AEA70CD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6C9506-3FBE-40EE-BDA9-7882E2164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344</Words>
  <Characters>1894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Lola Zhou</dc:creator>
  <cp:keywords/>
  <dc:description/>
  <cp:lastModifiedBy>Cliff Speck</cp:lastModifiedBy>
  <cp:revision>9</cp:revision>
  <cp:lastPrinted>2020-06-18T14:16:00Z</cp:lastPrinted>
  <dcterms:created xsi:type="dcterms:W3CDTF">2020-06-18T14:16:00Z</dcterms:created>
  <dcterms:modified xsi:type="dcterms:W3CDTF">2020-12-11T14:19:00Z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