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87B20" w14:textId="77777777" w:rsidR="00053F28" w:rsidRDefault="00754C8E"/>
    <w:p w14:paraId="1E384BC6" w14:textId="6DDB5201" w:rsidR="0099454D" w:rsidRPr="00BE1EC9" w:rsidRDefault="0099454D" w:rsidP="0099454D">
      <w:pPr>
        <w:bidi/>
        <w:jc w:val="center"/>
        <w:rPr>
          <w:b/>
          <w:bCs/>
          <w:color w:val="0070C0"/>
          <w:sz w:val="28"/>
          <w:szCs w:val="28"/>
          <w:rtl/>
        </w:rPr>
      </w:pPr>
      <w:r>
        <w:rPr>
          <w:rFonts w:hint="cs"/>
          <w:b/>
          <w:color w:val="0070C0"/>
          <w:sz w:val="28"/>
          <w:rtl/>
        </w:rPr>
        <w:t xml:space="preserve">الاختصاصات - </w:t>
      </w:r>
      <w:r w:rsidR="00FF1ECB">
        <w:rPr>
          <w:rFonts w:cs="Arial" w:hint="cs"/>
          <w:b/>
          <w:color w:val="0070C0"/>
          <w:sz w:val="28"/>
          <w:rtl/>
        </w:rPr>
        <w:t>ال</w:t>
      </w:r>
      <w:r>
        <w:rPr>
          <w:rFonts w:hint="cs"/>
          <w:b/>
          <w:color w:val="0070C0"/>
          <w:sz w:val="28"/>
          <w:rtl/>
        </w:rPr>
        <w:t xml:space="preserve">موظف </w:t>
      </w:r>
      <w:r w:rsidR="00FF1ECB">
        <w:rPr>
          <w:rFonts w:cs="Arial" w:hint="cs"/>
          <w:b/>
          <w:color w:val="0070C0"/>
          <w:sz w:val="28"/>
          <w:rtl/>
        </w:rPr>
        <w:t>ال</w:t>
      </w:r>
      <w:r w:rsidR="00EF5985">
        <w:rPr>
          <w:rFonts w:cs="Arial" w:hint="cs"/>
          <w:b/>
          <w:color w:val="0070C0"/>
          <w:sz w:val="28"/>
          <w:rtl/>
          <w:lang w:bidi="ar-IQ"/>
        </w:rPr>
        <w:t>مسؤول عن مراجعة</w:t>
      </w:r>
      <w:r w:rsidR="00C264FD">
        <w:rPr>
          <w:rFonts w:cs="Arial" w:hint="cs"/>
          <w:b/>
          <w:color w:val="0070C0"/>
          <w:sz w:val="28"/>
          <w:rtl/>
          <w:lang w:bidi="ar-IQ"/>
        </w:rPr>
        <w:t xml:space="preserve"> </w:t>
      </w:r>
      <w:r>
        <w:rPr>
          <w:rFonts w:hint="cs"/>
          <w:b/>
          <w:color w:val="0070C0"/>
          <w:sz w:val="28"/>
          <w:rtl/>
        </w:rPr>
        <w:t>تحديد المصالح الفضلى</w:t>
      </w:r>
    </w:p>
    <w:p w14:paraId="70BFB9E7" w14:textId="77777777" w:rsidR="0099454D" w:rsidRPr="0099454D" w:rsidRDefault="0099454D" w:rsidP="0099454D">
      <w:pPr>
        <w:bidi/>
        <w:jc w:val="center"/>
        <w:rPr>
          <w:color w:val="FF0000"/>
          <w:rtl/>
        </w:rPr>
      </w:pPr>
      <w:r>
        <w:rPr>
          <w:rFonts w:hint="cs"/>
          <w:color w:val="FF0000"/>
          <w:rtl/>
        </w:rPr>
        <w:t>(عينة)</w:t>
      </w:r>
    </w:p>
    <w:p w14:paraId="064BBDFF" w14:textId="77777777" w:rsidR="0099454D" w:rsidRPr="00B2516E" w:rsidRDefault="0099454D"/>
    <w:p w14:paraId="22C4827B" w14:textId="741B962A" w:rsidR="00034DFC" w:rsidRPr="00BE1EC9" w:rsidRDefault="00217877" w:rsidP="00A05855">
      <w:pPr>
        <w:bidi/>
        <w:rPr>
          <w:i/>
          <w:iCs/>
          <w:sz w:val="20"/>
          <w:szCs w:val="20"/>
          <w:rtl/>
        </w:rPr>
      </w:pPr>
      <w:r>
        <w:rPr>
          <w:rFonts w:cs="Arial" w:hint="cs"/>
          <w:i/>
          <w:sz w:val="20"/>
          <w:rtl/>
        </w:rPr>
        <w:t>ال</w:t>
      </w:r>
      <w:r w:rsidR="0099454D" w:rsidRPr="00B2516E">
        <w:rPr>
          <w:rFonts w:hint="cs"/>
          <w:i/>
          <w:sz w:val="20"/>
          <w:rtl/>
        </w:rPr>
        <w:t xml:space="preserve">موظف </w:t>
      </w:r>
      <w:r>
        <w:rPr>
          <w:rFonts w:cs="Arial" w:hint="cs"/>
          <w:i/>
          <w:sz w:val="20"/>
          <w:rtl/>
        </w:rPr>
        <w:t>ال</w:t>
      </w:r>
      <w:r w:rsidR="00B2516E" w:rsidRPr="00B2516E">
        <w:rPr>
          <w:rFonts w:cs="Arial" w:hint="cs"/>
          <w:b/>
          <w:sz w:val="28"/>
          <w:rtl/>
          <w:lang w:bidi="ar-IQ"/>
        </w:rPr>
        <w:t xml:space="preserve">مسؤول عن مراجعة </w:t>
      </w:r>
      <w:r w:rsidR="0099454D" w:rsidRPr="00B2516E">
        <w:rPr>
          <w:rFonts w:hint="cs"/>
          <w:i/>
          <w:sz w:val="20"/>
          <w:rtl/>
        </w:rPr>
        <w:t xml:space="preserve">تحديد </w:t>
      </w:r>
      <w:r w:rsidR="0099454D">
        <w:rPr>
          <w:rFonts w:hint="cs"/>
          <w:i/>
          <w:sz w:val="20"/>
          <w:rtl/>
        </w:rPr>
        <w:t>المصالح الفضلى هو أحد الموظفين الذين يتم تحديدهم من داخل العملية لدعم الحالات التي تُجرى مراجعتها قبل تقديمها إلى اللجنة المعنية بتحديد المصالح الفضلى، ومن ثمَّ، ضمان إجراء فحوصات جودة إضافية وتوفير التوجيه بشأن عمليات جمع المعلومات والمتابعة. عادةً ما يتم تعيينه في العمليات ذات الأعداد الكبيرة من الأطفال اللازم لهم تحديد المصالح الفضلى. في العمليات/المكاتب ذات الحالات القليلة في أي وقت من الأوقات، سيتحمل مشرف تحديد المصالح الفضلى أو منسق تحديد المصالح الفضلى المسؤولية عن مراجعة الحالات. عادةً ما يكون موظفو</w:t>
      </w:r>
      <w:r w:rsidR="00855533">
        <w:rPr>
          <w:rFonts w:cs="Arial" w:hint="cs"/>
          <w:i/>
          <w:sz w:val="20"/>
          <w:rtl/>
        </w:rPr>
        <w:t>ا</w:t>
      </w:r>
      <w:r w:rsidR="00027105" w:rsidRPr="00B2516E">
        <w:rPr>
          <w:rFonts w:cs="Arial" w:hint="cs"/>
          <w:b/>
          <w:sz w:val="28"/>
          <w:rtl/>
          <w:lang w:bidi="ar-IQ"/>
        </w:rPr>
        <w:t xml:space="preserve"> مراجعة </w:t>
      </w:r>
      <w:r w:rsidR="0099454D">
        <w:rPr>
          <w:rFonts w:hint="cs"/>
          <w:i/>
          <w:sz w:val="20"/>
          <w:rtl/>
        </w:rPr>
        <w:t>تحديد المصالح الفضلى من كبار المرشدين الاجتماعيين أو مشرفي المرشدين الاجتماعيين، ولكن حسب السياق التشغيلي، قد يكونون أيضًا من موظفي الحماية أو الحماية المجتمعية. يتولى تعيينه مشرف تحديد المصالح الفضلى ويؤكد عليه رئيس المكتب.</w:t>
      </w:r>
    </w:p>
    <w:p w14:paraId="67CE6DEA" w14:textId="77777777" w:rsidR="001D5440" w:rsidRPr="00BE1EC9" w:rsidRDefault="001D5440" w:rsidP="001D5440">
      <w:pPr>
        <w:rPr>
          <w:sz w:val="20"/>
          <w:szCs w:val="20"/>
        </w:rPr>
      </w:pPr>
    </w:p>
    <w:p w14:paraId="755BA3EA" w14:textId="77777777" w:rsidR="0099454D" w:rsidRPr="00BE1EC9" w:rsidRDefault="0099454D" w:rsidP="0099454D">
      <w:pPr>
        <w:rPr>
          <w:sz w:val="20"/>
          <w:szCs w:val="20"/>
        </w:rPr>
      </w:pPr>
    </w:p>
    <w:p w14:paraId="57AC3627" w14:textId="77777777" w:rsidR="0099454D" w:rsidRPr="00BE1EC9" w:rsidRDefault="00C44A7B" w:rsidP="0099454D">
      <w:pPr>
        <w:bidi/>
        <w:rPr>
          <w:i/>
          <w:iCs/>
          <w:sz w:val="20"/>
          <w:szCs w:val="20"/>
          <w:rtl/>
        </w:rPr>
      </w:pPr>
      <w:r>
        <w:rPr>
          <w:rFonts w:hint="cs"/>
          <w:i/>
          <w:sz w:val="20"/>
          <w:rtl/>
        </w:rPr>
        <w:t>المسؤوليات:</w:t>
      </w:r>
    </w:p>
    <w:p w14:paraId="04A6509C" w14:textId="77777777" w:rsidR="00E322E6" w:rsidRPr="00BE1EC9" w:rsidRDefault="00E322E6" w:rsidP="0099454D">
      <w:pPr>
        <w:rPr>
          <w:color w:val="000000" w:themeColor="text1"/>
          <w:sz w:val="20"/>
          <w:szCs w:val="20"/>
          <w:lang w:val="en-US"/>
        </w:rPr>
      </w:pPr>
    </w:p>
    <w:p w14:paraId="7B6F2D5C" w14:textId="77777777" w:rsidR="000F1668" w:rsidRPr="00BE1EC9" w:rsidRDefault="00930ADF" w:rsidP="000F1668">
      <w:pPr>
        <w:numPr>
          <w:ilvl w:val="0"/>
          <w:numId w:val="1"/>
        </w:numPr>
        <w:bidi/>
        <w:rPr>
          <w:color w:val="000000" w:themeColor="text1"/>
          <w:sz w:val="20"/>
          <w:szCs w:val="20"/>
          <w:rtl/>
        </w:rPr>
      </w:pPr>
      <w:r>
        <w:rPr>
          <w:rFonts w:hint="cs"/>
          <w:color w:val="000000" w:themeColor="text1"/>
          <w:sz w:val="20"/>
          <w:rtl/>
        </w:rPr>
        <w:t>إجراء الاتصالات مع المرشدين الاجتماعيين لتسلُّم تقارير المصالح الفضلى ومراجعتها في الوقت المناسب. قد يشمل ذلك تشجيع المرشدين الاجتماعيين على إكمال الحالات المعلقة دون المساس بجودة العمليات وحمايتها؛</w:t>
      </w:r>
    </w:p>
    <w:p w14:paraId="732C2791" w14:textId="77777777" w:rsidR="009402DC" w:rsidRPr="00BE1EC9" w:rsidRDefault="009402DC" w:rsidP="000F1668">
      <w:pPr>
        <w:ind w:left="360"/>
        <w:rPr>
          <w:color w:val="000000" w:themeColor="text1"/>
          <w:sz w:val="20"/>
          <w:szCs w:val="20"/>
          <w:lang w:val="en-US"/>
        </w:rPr>
      </w:pPr>
    </w:p>
    <w:p w14:paraId="7FF6DD55" w14:textId="77777777" w:rsidR="00A702C4" w:rsidRPr="00BE1EC9" w:rsidRDefault="00A702C4" w:rsidP="00A702C4">
      <w:pPr>
        <w:numPr>
          <w:ilvl w:val="0"/>
          <w:numId w:val="1"/>
        </w:numPr>
        <w:bidi/>
        <w:rPr>
          <w:color w:val="000000" w:themeColor="text1"/>
          <w:sz w:val="20"/>
          <w:szCs w:val="20"/>
          <w:rtl/>
        </w:rPr>
      </w:pPr>
      <w:r>
        <w:rPr>
          <w:rFonts w:hint="cs"/>
          <w:color w:val="000000" w:themeColor="text1"/>
          <w:sz w:val="20"/>
          <w:rtl/>
        </w:rPr>
        <w:t>تقديم التوجيه إلى المرشدين الاجتماعيين بشأن إكمال تقارير تحديد المصالح الفضلى، وجمع المعلومات الإضافية، وكتابة تقارير تحديد المصالح الفضلى.</w:t>
      </w:r>
    </w:p>
    <w:p w14:paraId="3C96093B" w14:textId="77777777" w:rsidR="00A702C4" w:rsidRPr="00BE1EC9" w:rsidRDefault="00A702C4" w:rsidP="00A702C4">
      <w:pPr>
        <w:pStyle w:val="ListParagraph"/>
        <w:rPr>
          <w:color w:val="000000" w:themeColor="text1"/>
          <w:sz w:val="20"/>
          <w:szCs w:val="20"/>
          <w:lang w:val="en-US"/>
        </w:rPr>
      </w:pPr>
    </w:p>
    <w:p w14:paraId="62ECDFF1" w14:textId="77777777" w:rsidR="00A702C4" w:rsidRPr="00BE1EC9" w:rsidRDefault="00A702C4" w:rsidP="00A702C4">
      <w:pPr>
        <w:pStyle w:val="ListParagraph"/>
        <w:numPr>
          <w:ilvl w:val="0"/>
          <w:numId w:val="1"/>
        </w:numPr>
        <w:bidi/>
        <w:rPr>
          <w:color w:val="000000" w:themeColor="text1"/>
          <w:sz w:val="20"/>
          <w:szCs w:val="20"/>
          <w:rtl/>
        </w:rPr>
      </w:pPr>
      <w:r>
        <w:rPr>
          <w:rFonts w:hint="cs"/>
          <w:color w:val="000000" w:themeColor="text1"/>
          <w:sz w:val="20"/>
          <w:rtl/>
        </w:rPr>
        <w:t>تجميع/تنظيم التقارير التي تمت مراجعتها ومشاركتها مع مشرف تحديد المصالح الفضلى لتقديمها إلى اللجنة؛</w:t>
      </w:r>
    </w:p>
    <w:p w14:paraId="345813A4" w14:textId="77777777" w:rsidR="00A702C4" w:rsidRPr="00BE1EC9" w:rsidRDefault="00A702C4" w:rsidP="00A702C4">
      <w:pPr>
        <w:pStyle w:val="ListParagraph"/>
        <w:rPr>
          <w:color w:val="000000" w:themeColor="text1"/>
          <w:sz w:val="20"/>
          <w:szCs w:val="20"/>
          <w:lang w:val="en-US"/>
        </w:rPr>
      </w:pPr>
    </w:p>
    <w:p w14:paraId="31F6546B" w14:textId="77777777" w:rsidR="003E48F7" w:rsidRPr="00BE1EC9" w:rsidRDefault="009402DC" w:rsidP="00A702C4">
      <w:pPr>
        <w:pStyle w:val="ListParagraph"/>
        <w:numPr>
          <w:ilvl w:val="0"/>
          <w:numId w:val="1"/>
        </w:numPr>
        <w:bidi/>
        <w:rPr>
          <w:color w:val="000000" w:themeColor="text1"/>
          <w:sz w:val="20"/>
          <w:szCs w:val="20"/>
          <w:rtl/>
        </w:rPr>
      </w:pPr>
      <w:r>
        <w:rPr>
          <w:rFonts w:hint="cs"/>
          <w:color w:val="000000" w:themeColor="text1"/>
          <w:sz w:val="20"/>
          <w:rtl/>
        </w:rPr>
        <w:t>الرد على الأسئلة بشأن الحالات المحددة التي أثارها مشرف تحديد المصالح الفضلى وتوضيحها؛</w:t>
      </w:r>
    </w:p>
    <w:p w14:paraId="52115E8B" w14:textId="77777777" w:rsidR="00A702C4" w:rsidRPr="00BE1EC9" w:rsidRDefault="00A702C4" w:rsidP="00A702C4">
      <w:pPr>
        <w:pStyle w:val="ListParagraph"/>
        <w:rPr>
          <w:color w:val="000000" w:themeColor="text1"/>
          <w:sz w:val="20"/>
          <w:szCs w:val="20"/>
          <w:lang w:val="en-US"/>
        </w:rPr>
      </w:pPr>
    </w:p>
    <w:p w14:paraId="7F64D3E2" w14:textId="77777777" w:rsidR="00030DFA" w:rsidRPr="00BE1EC9" w:rsidRDefault="00A702C4" w:rsidP="00A702C4">
      <w:pPr>
        <w:pStyle w:val="ListParagraph"/>
        <w:numPr>
          <w:ilvl w:val="0"/>
          <w:numId w:val="1"/>
        </w:numPr>
        <w:bidi/>
        <w:rPr>
          <w:color w:val="000000" w:themeColor="text1"/>
          <w:sz w:val="20"/>
          <w:szCs w:val="20"/>
          <w:rtl/>
        </w:rPr>
      </w:pPr>
      <w:r>
        <w:rPr>
          <w:rFonts w:hint="cs"/>
          <w:color w:val="000000" w:themeColor="text1"/>
          <w:sz w:val="20"/>
          <w:rtl/>
        </w:rPr>
        <w:t>عند الطلب، حضور اجتماعات اللجنة المعنية بتحديد المصالح الفضلى لتوفير معلومات إضافية بشأن الحالات قيد المراجعة من جانب اللجنة؛</w:t>
      </w:r>
    </w:p>
    <w:p w14:paraId="5A2179B0" w14:textId="77777777" w:rsidR="00030DFA" w:rsidRPr="00BE1EC9" w:rsidRDefault="00030DFA" w:rsidP="00030DFA">
      <w:pPr>
        <w:pStyle w:val="ListParagraph"/>
        <w:rPr>
          <w:color w:val="000000" w:themeColor="text1"/>
          <w:sz w:val="20"/>
          <w:szCs w:val="20"/>
          <w:lang w:val="en-US"/>
        </w:rPr>
      </w:pPr>
    </w:p>
    <w:p w14:paraId="5146470D" w14:textId="77777777" w:rsidR="00A702C4" w:rsidRPr="00BE1EC9" w:rsidRDefault="00030DFA" w:rsidP="00030DFA">
      <w:pPr>
        <w:pStyle w:val="ListParagraph"/>
        <w:numPr>
          <w:ilvl w:val="0"/>
          <w:numId w:val="1"/>
        </w:numPr>
        <w:bidi/>
        <w:rPr>
          <w:sz w:val="20"/>
          <w:szCs w:val="20"/>
          <w:rtl/>
        </w:rPr>
      </w:pPr>
      <w:r>
        <w:rPr>
          <w:rFonts w:hint="cs"/>
          <w:sz w:val="20"/>
          <w:rtl/>
        </w:rPr>
        <w:t xml:space="preserve"> تعزيز تنفيذ إجراءات المصالح الفضلى والإشراف عليها</w:t>
      </w:r>
      <w:r w:rsidRPr="00BE1EC9">
        <w:rPr>
          <w:rStyle w:val="FootnoteReference"/>
          <w:sz w:val="20"/>
          <w:szCs w:val="20"/>
          <w:lang w:val="en-US"/>
        </w:rPr>
        <w:footnoteReference w:id="1"/>
      </w:r>
      <w:r>
        <w:rPr>
          <w:rFonts w:hint="cs"/>
          <w:sz w:val="20"/>
          <w:rtl/>
        </w:rPr>
        <w:t xml:space="preserve"> بعدّ تلك الإجراءات أداة لحماية الطفل لجميع الأطفال المعرضين للخطر، والعمل على دمج إجراء المصالح الفضلى وعملية تحديد المصالح الفضلى في استراتيجية حماية الطفل بأكملها؛ </w:t>
      </w:r>
      <w:r>
        <w:rPr>
          <w:rFonts w:hint="cs"/>
          <w:color w:val="000000" w:themeColor="text1"/>
          <w:sz w:val="20"/>
          <w:rtl/>
        </w:rPr>
        <w:t>و</w:t>
      </w:r>
    </w:p>
    <w:p w14:paraId="1020B011" w14:textId="77777777" w:rsidR="00A702C4" w:rsidRPr="00BE1EC9" w:rsidRDefault="00A702C4" w:rsidP="00A702C4">
      <w:pPr>
        <w:pStyle w:val="ListParagraph"/>
        <w:rPr>
          <w:color w:val="000000" w:themeColor="text1"/>
          <w:sz w:val="20"/>
          <w:szCs w:val="20"/>
          <w:lang w:val="en-US"/>
        </w:rPr>
      </w:pPr>
    </w:p>
    <w:p w14:paraId="510F36B2" w14:textId="77777777" w:rsidR="00A702C4" w:rsidRPr="00BE1EC9" w:rsidRDefault="007D4A93" w:rsidP="00A702C4">
      <w:pPr>
        <w:pStyle w:val="ListParagraph"/>
        <w:numPr>
          <w:ilvl w:val="0"/>
          <w:numId w:val="1"/>
        </w:numPr>
        <w:bidi/>
        <w:rPr>
          <w:color w:val="000000" w:themeColor="text1"/>
          <w:sz w:val="20"/>
          <w:szCs w:val="20"/>
          <w:rtl/>
        </w:rPr>
      </w:pPr>
      <w:r>
        <w:rPr>
          <w:rFonts w:hint="cs"/>
          <w:color w:val="000000" w:themeColor="text1"/>
          <w:sz w:val="20"/>
          <w:rtl/>
        </w:rPr>
        <w:t>مساعدة مشرف تحديد المصالح الفضلى في تقديم التدريب إلى المرشدين الاجتماعيين، وعلى وجه التحديد بشأن التقييم، وصياغة التوصيات، وكتابة تقارير تحديد المصالح الفضلى.</w:t>
      </w:r>
    </w:p>
    <w:p w14:paraId="4FB21F2F" w14:textId="77777777" w:rsidR="00A702C4" w:rsidRPr="00BE1EC9" w:rsidRDefault="00A702C4">
      <w:pPr>
        <w:rPr>
          <w:sz w:val="20"/>
          <w:szCs w:val="20"/>
        </w:rPr>
      </w:pPr>
    </w:p>
    <w:p w14:paraId="7F6323B7" w14:textId="77777777" w:rsidR="0099454D" w:rsidRPr="00BE1EC9" w:rsidRDefault="0099454D">
      <w:pPr>
        <w:bidi/>
        <w:rPr>
          <w:i/>
          <w:iCs/>
          <w:sz w:val="20"/>
          <w:szCs w:val="20"/>
          <w:rtl/>
        </w:rPr>
      </w:pPr>
      <w:r>
        <w:rPr>
          <w:rFonts w:hint="cs"/>
          <w:i/>
          <w:sz w:val="20"/>
          <w:rtl/>
        </w:rPr>
        <w:t>المتطلب:</w:t>
      </w:r>
    </w:p>
    <w:p w14:paraId="195E14ED" w14:textId="77777777" w:rsidR="0099454D" w:rsidRPr="00BE1EC9" w:rsidRDefault="0099454D">
      <w:pPr>
        <w:rPr>
          <w:sz w:val="20"/>
          <w:szCs w:val="20"/>
        </w:rPr>
      </w:pPr>
    </w:p>
    <w:p w14:paraId="49557BDF" w14:textId="077F16B4" w:rsidR="00074582" w:rsidRPr="00BE1EC9" w:rsidRDefault="00725FA4" w:rsidP="00074582">
      <w:pPr>
        <w:pStyle w:val="ListParagraph"/>
        <w:numPr>
          <w:ilvl w:val="0"/>
          <w:numId w:val="1"/>
        </w:numPr>
        <w:bidi/>
        <w:rPr>
          <w:sz w:val="20"/>
          <w:szCs w:val="20"/>
          <w:rtl/>
        </w:rPr>
      </w:pPr>
      <w:r>
        <w:rPr>
          <w:rFonts w:hint="cs"/>
          <w:sz w:val="20"/>
          <w:rtl/>
        </w:rPr>
        <w:lastRenderedPageBreak/>
        <w:t xml:space="preserve">يمكن أن يكون </w:t>
      </w:r>
      <w:r w:rsidR="001C089E">
        <w:rPr>
          <w:rFonts w:cs="Arial" w:hint="cs"/>
          <w:sz w:val="20"/>
          <w:rtl/>
        </w:rPr>
        <w:t>ال</w:t>
      </w:r>
      <w:r>
        <w:rPr>
          <w:rFonts w:hint="cs"/>
          <w:sz w:val="20"/>
          <w:rtl/>
        </w:rPr>
        <w:t>موظف</w:t>
      </w:r>
      <w:r w:rsidR="006E15DE" w:rsidRPr="006E15DE">
        <w:rPr>
          <w:rFonts w:cs="Arial" w:hint="cs"/>
          <w:b/>
          <w:sz w:val="28"/>
          <w:rtl/>
          <w:lang w:bidi="ar-IQ"/>
        </w:rPr>
        <w:t xml:space="preserve"> </w:t>
      </w:r>
      <w:r w:rsidR="001C089E">
        <w:rPr>
          <w:rFonts w:cs="Arial" w:hint="cs"/>
          <w:b/>
          <w:sz w:val="28"/>
          <w:rtl/>
          <w:lang w:bidi="ar-IQ"/>
        </w:rPr>
        <w:t>ال</w:t>
      </w:r>
      <w:r w:rsidR="006E15DE" w:rsidRPr="00B2516E">
        <w:rPr>
          <w:rFonts w:cs="Arial" w:hint="cs"/>
          <w:b/>
          <w:sz w:val="28"/>
          <w:rtl/>
          <w:lang w:bidi="ar-IQ"/>
        </w:rPr>
        <w:t xml:space="preserve">مسؤول عن مراجعة </w:t>
      </w:r>
      <w:r>
        <w:rPr>
          <w:rFonts w:hint="cs"/>
          <w:sz w:val="20"/>
          <w:rtl/>
        </w:rPr>
        <w:t>تحديد المصالح الفضلى أحد موظفي مفوضية الأمم المتحدة السامية لشؤون اللاجئين (</w:t>
      </w:r>
      <w:r>
        <w:rPr>
          <w:sz w:val="20"/>
        </w:rPr>
        <w:t>UNHCR</w:t>
      </w:r>
      <w:r>
        <w:rPr>
          <w:rFonts w:hint="cs"/>
          <w:sz w:val="20"/>
          <w:rtl/>
        </w:rPr>
        <w:t>) أو موظفًا من منظمة شريكة؛</w:t>
      </w:r>
    </w:p>
    <w:p w14:paraId="6F7E078E" w14:textId="77777777" w:rsidR="00074582" w:rsidRPr="00BE1EC9" w:rsidRDefault="00074582" w:rsidP="00074582">
      <w:pPr>
        <w:pStyle w:val="ListParagraph"/>
        <w:ind w:left="360"/>
        <w:rPr>
          <w:sz w:val="20"/>
          <w:szCs w:val="20"/>
        </w:rPr>
      </w:pPr>
    </w:p>
    <w:p w14:paraId="50F4C1DB" w14:textId="77777777" w:rsidR="00B40AAD" w:rsidRPr="00BE1EC9" w:rsidRDefault="00A05855" w:rsidP="00074582">
      <w:pPr>
        <w:pStyle w:val="ListParagraph"/>
        <w:numPr>
          <w:ilvl w:val="0"/>
          <w:numId w:val="1"/>
        </w:numPr>
        <w:bidi/>
        <w:rPr>
          <w:sz w:val="20"/>
          <w:szCs w:val="20"/>
          <w:rtl/>
        </w:rPr>
      </w:pPr>
      <w:r>
        <w:rPr>
          <w:rFonts w:hint="cs"/>
          <w:sz w:val="20"/>
          <w:rtl/>
        </w:rPr>
        <w:t>يتمتع الموظف المختار بخلفية قوية في مجال الحماية، بما في ذلك حماية الطفل؛</w:t>
      </w:r>
    </w:p>
    <w:p w14:paraId="58BDBE5B" w14:textId="77777777" w:rsidR="00074582" w:rsidRPr="00BE1EC9" w:rsidRDefault="00074582" w:rsidP="00074582">
      <w:pPr>
        <w:pStyle w:val="ListParagraph"/>
        <w:rPr>
          <w:sz w:val="20"/>
          <w:szCs w:val="20"/>
        </w:rPr>
      </w:pPr>
    </w:p>
    <w:p w14:paraId="023C940F" w14:textId="77777777" w:rsidR="00074582" w:rsidRPr="00BE1EC9" w:rsidRDefault="00074582" w:rsidP="00074582">
      <w:pPr>
        <w:pStyle w:val="ListParagraph"/>
        <w:numPr>
          <w:ilvl w:val="0"/>
          <w:numId w:val="1"/>
        </w:numPr>
        <w:bidi/>
        <w:rPr>
          <w:sz w:val="20"/>
          <w:szCs w:val="20"/>
          <w:rtl/>
        </w:rPr>
      </w:pPr>
      <w:r>
        <w:rPr>
          <w:rFonts w:hint="cs"/>
          <w:sz w:val="20"/>
          <w:rtl/>
        </w:rPr>
        <w:t>معرفة جيدة بإجراء المصالح الفضلى (إدارة القضايا)؛</w:t>
      </w:r>
    </w:p>
    <w:p w14:paraId="6908C59C" w14:textId="77777777" w:rsidR="00074582" w:rsidRPr="00BE1EC9" w:rsidRDefault="00074582" w:rsidP="000844E6">
      <w:pPr>
        <w:rPr>
          <w:sz w:val="20"/>
          <w:szCs w:val="20"/>
        </w:rPr>
      </w:pPr>
    </w:p>
    <w:p w14:paraId="1091DA6D" w14:textId="77777777" w:rsidR="00074582" w:rsidRPr="00BE1EC9" w:rsidRDefault="00074582" w:rsidP="00074582">
      <w:pPr>
        <w:pStyle w:val="ListParagraph"/>
        <w:numPr>
          <w:ilvl w:val="0"/>
          <w:numId w:val="1"/>
        </w:numPr>
        <w:bidi/>
        <w:rPr>
          <w:sz w:val="20"/>
          <w:szCs w:val="20"/>
          <w:rtl/>
        </w:rPr>
      </w:pPr>
      <w:r>
        <w:rPr>
          <w:rFonts w:hint="cs"/>
          <w:sz w:val="20"/>
          <w:rtl/>
        </w:rPr>
        <w:t>مهارات تواصل جيدة، بما تشمل مهارات الكتابة</w:t>
      </w:r>
    </w:p>
    <w:p w14:paraId="46754F87" w14:textId="77777777" w:rsidR="00074582" w:rsidRPr="00BE1EC9" w:rsidRDefault="00074582">
      <w:pPr>
        <w:rPr>
          <w:sz w:val="20"/>
          <w:szCs w:val="20"/>
        </w:rPr>
      </w:pPr>
    </w:p>
    <w:sectPr w:rsidR="00074582" w:rsidRPr="00BE1EC9" w:rsidSect="00BE1EC9">
      <w:headerReference w:type="default" r:id="rId10"/>
      <w:footerReference w:type="default" r:id="rId11"/>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866BD" w14:textId="77777777" w:rsidR="00754C8E" w:rsidRDefault="00754C8E" w:rsidP="0099454D">
      <w:r>
        <w:separator/>
      </w:r>
    </w:p>
  </w:endnote>
  <w:endnote w:type="continuationSeparator" w:id="0">
    <w:p w14:paraId="4D578223" w14:textId="77777777" w:rsidR="00754C8E" w:rsidRDefault="00754C8E"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EDFB" w14:textId="36297442" w:rsidR="00092919" w:rsidRPr="00092919" w:rsidRDefault="00092919" w:rsidP="00092919">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E446B" w14:textId="77777777" w:rsidR="00754C8E" w:rsidRDefault="00754C8E" w:rsidP="0099454D">
      <w:r>
        <w:separator/>
      </w:r>
    </w:p>
  </w:footnote>
  <w:footnote w:type="continuationSeparator" w:id="0">
    <w:p w14:paraId="06BAE152" w14:textId="77777777" w:rsidR="00754C8E" w:rsidRDefault="00754C8E" w:rsidP="0099454D">
      <w:r>
        <w:continuationSeparator/>
      </w:r>
    </w:p>
  </w:footnote>
  <w:footnote w:id="1">
    <w:p w14:paraId="49C5DB48" w14:textId="77777777" w:rsidR="00030DFA" w:rsidRPr="00E330AD" w:rsidRDefault="00030DFA" w:rsidP="00030DFA">
      <w:pPr>
        <w:pStyle w:val="FootnoteText"/>
        <w:bidi/>
        <w:rPr>
          <w:rtl/>
        </w:rPr>
      </w:pPr>
      <w:r>
        <w:rPr>
          <w:rStyle w:val="FootnoteReference"/>
        </w:rPr>
        <w:footnoteRef/>
      </w:r>
      <w:r>
        <w:rPr>
          <w:rFonts w:hint="cs"/>
          <w:rtl/>
        </w:rPr>
        <w:t xml:space="preserve"> اعتمادًا على السياق التشغيلي، قد يتم الإشراف على تنفيذ إجراءات المصالح الفضلى من جانب مشرف تحديد المصالح الفضلى أو منسق تحديد المصالح الفضلى.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7961" w14:textId="176802DB" w:rsidR="0099454D" w:rsidRPr="00BE1EC9" w:rsidRDefault="00BF1CD0" w:rsidP="00BE1EC9">
    <w:pPr>
      <w:pStyle w:val="Header"/>
      <w:bidi/>
      <w:jc w:val="right"/>
      <w:rPr>
        <w:rtl/>
      </w:rPr>
    </w:pPr>
    <w:r>
      <w:rPr>
        <w:noProof/>
        <w:rtl/>
        <w:lang w:val="ar-EG"/>
      </w:rPr>
      <w:drawing>
        <wp:inline distT="0" distB="0" distL="0" distR="0" wp14:anchorId="0C425391" wp14:editId="678CAA81">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ED2C716C"/>
    <w:lvl w:ilvl="0" w:tplc="964439A2">
      <w:numFmt w:val="bullet"/>
      <w:lvlText w:val=""/>
      <w:lvlJc w:val="left"/>
      <w:pPr>
        <w:ind w:left="360" w:hanging="360"/>
      </w:pPr>
      <w:rPr>
        <w:rFonts w:ascii="Symbol" w:eastAsiaTheme="minorHAnsi" w:hAnsi="Symbol" w:cstheme="minorBidi"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27105"/>
    <w:rsid w:val="00030DFA"/>
    <w:rsid w:val="00034DFC"/>
    <w:rsid w:val="00037BCE"/>
    <w:rsid w:val="00074582"/>
    <w:rsid w:val="000844E6"/>
    <w:rsid w:val="00092919"/>
    <w:rsid w:val="000936FA"/>
    <w:rsid w:val="000F1668"/>
    <w:rsid w:val="001217D9"/>
    <w:rsid w:val="00156430"/>
    <w:rsid w:val="001818DE"/>
    <w:rsid w:val="00184809"/>
    <w:rsid w:val="001C089E"/>
    <w:rsid w:val="001D5440"/>
    <w:rsid w:val="00217877"/>
    <w:rsid w:val="002637FC"/>
    <w:rsid w:val="0028491B"/>
    <w:rsid w:val="002E5241"/>
    <w:rsid w:val="00314820"/>
    <w:rsid w:val="00322666"/>
    <w:rsid w:val="003E48F7"/>
    <w:rsid w:val="004244B0"/>
    <w:rsid w:val="00450156"/>
    <w:rsid w:val="004811AF"/>
    <w:rsid w:val="004B14D6"/>
    <w:rsid w:val="004C3C62"/>
    <w:rsid w:val="00541B4D"/>
    <w:rsid w:val="00662A7D"/>
    <w:rsid w:val="006755AE"/>
    <w:rsid w:val="00681A55"/>
    <w:rsid w:val="006E15DE"/>
    <w:rsid w:val="00725FA4"/>
    <w:rsid w:val="00754C8E"/>
    <w:rsid w:val="007D4A93"/>
    <w:rsid w:val="007F03A3"/>
    <w:rsid w:val="008236A4"/>
    <w:rsid w:val="00855533"/>
    <w:rsid w:val="00875510"/>
    <w:rsid w:val="0090620F"/>
    <w:rsid w:val="00930ADF"/>
    <w:rsid w:val="009402DC"/>
    <w:rsid w:val="00953168"/>
    <w:rsid w:val="00966318"/>
    <w:rsid w:val="0099454D"/>
    <w:rsid w:val="00A05855"/>
    <w:rsid w:val="00A23877"/>
    <w:rsid w:val="00A702C4"/>
    <w:rsid w:val="00A7768D"/>
    <w:rsid w:val="00A9722A"/>
    <w:rsid w:val="00AD113C"/>
    <w:rsid w:val="00B00206"/>
    <w:rsid w:val="00B16C89"/>
    <w:rsid w:val="00B2516E"/>
    <w:rsid w:val="00B40AAD"/>
    <w:rsid w:val="00B55A61"/>
    <w:rsid w:val="00B97E9F"/>
    <w:rsid w:val="00BE1EC9"/>
    <w:rsid w:val="00BF1CD0"/>
    <w:rsid w:val="00C01C84"/>
    <w:rsid w:val="00C264FD"/>
    <w:rsid w:val="00C44A7B"/>
    <w:rsid w:val="00C551E8"/>
    <w:rsid w:val="00C614CE"/>
    <w:rsid w:val="00C6462A"/>
    <w:rsid w:val="00C91D96"/>
    <w:rsid w:val="00CF1118"/>
    <w:rsid w:val="00D33D6C"/>
    <w:rsid w:val="00D51967"/>
    <w:rsid w:val="00DE05AF"/>
    <w:rsid w:val="00E256D9"/>
    <w:rsid w:val="00E322E6"/>
    <w:rsid w:val="00E81FEA"/>
    <w:rsid w:val="00EF5985"/>
    <w:rsid w:val="00F15D82"/>
    <w:rsid w:val="00FC5670"/>
    <w:rsid w:val="00FF1E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C07E"/>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en-GB"/>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en-GB"/>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030DFA"/>
    <w:rPr>
      <w:lang w:val="en-GB"/>
    </w:rPr>
  </w:style>
  <w:style w:type="paragraph" w:styleId="FootnoteText">
    <w:name w:val="footnote text"/>
    <w:basedOn w:val="Normal"/>
    <w:link w:val="FootnoteTextChar"/>
    <w:uiPriority w:val="99"/>
    <w:semiHidden/>
    <w:unhideWhenUsed/>
    <w:rsid w:val="00030DFA"/>
    <w:rPr>
      <w:sz w:val="20"/>
      <w:szCs w:val="20"/>
    </w:rPr>
  </w:style>
  <w:style w:type="character" w:customStyle="1" w:styleId="FootnoteTextChar">
    <w:name w:val="Footnote Text Char"/>
    <w:basedOn w:val="DefaultParagraphFont"/>
    <w:link w:val="FootnoteText"/>
    <w:uiPriority w:val="99"/>
    <w:semiHidden/>
    <w:rsid w:val="00030DFA"/>
    <w:rPr>
      <w:sz w:val="20"/>
      <w:szCs w:val="20"/>
      <w:lang w:val="en-GB"/>
    </w:rPr>
  </w:style>
  <w:style w:type="character" w:styleId="FootnoteReference">
    <w:name w:val="footnote reference"/>
    <w:basedOn w:val="DefaultParagraphFont"/>
    <w:uiPriority w:val="99"/>
    <w:semiHidden/>
    <w:unhideWhenUsed/>
    <w:rsid w:val="00030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AA2E2-9B92-45DB-8556-5596D3D5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6CA7C-25A8-4541-8310-93088F04E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FE0F3-F932-43F3-8677-896A3A7E9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342</Words>
  <Characters>1883</Characters>
  <Application>Microsoft Office Word</Application>
  <DocSecurity>0</DocSecurity>
  <Lines>43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61</cp:revision>
  <dcterms:created xsi:type="dcterms:W3CDTF">2018-01-25T15:19:00Z</dcterms:created>
  <dcterms:modified xsi:type="dcterms:W3CDTF">2020-12-11T14:23:00Z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