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9F46" w14:textId="77777777" w:rsidR="0099454D" w:rsidRPr="005503E0" w:rsidRDefault="0099454D" w:rsidP="0099454D">
      <w:pPr>
        <w:bidi/>
        <w:jc w:val="center"/>
        <w:rPr>
          <w:b/>
          <w:bCs/>
          <w:color w:val="0070C0"/>
          <w:sz w:val="28"/>
          <w:szCs w:val="28"/>
          <w:rtl/>
        </w:rPr>
      </w:pPr>
      <w:r>
        <w:rPr>
          <w:rFonts w:hint="cs"/>
          <w:b/>
          <w:color w:val="0070C0"/>
          <w:sz w:val="28"/>
          <w:rtl/>
        </w:rPr>
        <w:t>الاختصاصات - مرشد اجتماعي</w:t>
      </w:r>
    </w:p>
    <w:p w14:paraId="655F43A1" w14:textId="77777777" w:rsidR="0099454D" w:rsidRPr="0099454D" w:rsidRDefault="0099454D" w:rsidP="0099454D">
      <w:pPr>
        <w:bidi/>
        <w:jc w:val="center"/>
        <w:rPr>
          <w:color w:val="FF0000"/>
          <w:rtl/>
        </w:rPr>
      </w:pPr>
      <w:r>
        <w:rPr>
          <w:rFonts w:hint="cs"/>
          <w:color w:val="FF0000"/>
          <w:rtl/>
        </w:rPr>
        <w:t>(عينة)</w:t>
      </w:r>
    </w:p>
    <w:p w14:paraId="12B2536E" w14:textId="77777777" w:rsidR="0099454D" w:rsidRDefault="0099454D"/>
    <w:p w14:paraId="5E375191" w14:textId="77777777" w:rsidR="008C2D0C" w:rsidRPr="005503E0" w:rsidRDefault="007754DE" w:rsidP="00A05855">
      <w:pPr>
        <w:bidi/>
        <w:rPr>
          <w:i/>
          <w:iCs/>
          <w:sz w:val="20"/>
          <w:szCs w:val="20"/>
          <w:rtl/>
        </w:rPr>
      </w:pPr>
      <w:r>
        <w:rPr>
          <w:rFonts w:hint="cs"/>
          <w:i/>
          <w:sz w:val="20"/>
          <w:rtl/>
        </w:rPr>
        <w:t>داخل مفوضية الأمم المتحدة السامية لشؤون اللاجئين (</w:t>
      </w:r>
      <w:r>
        <w:rPr>
          <w:i/>
          <w:sz w:val="20"/>
        </w:rPr>
        <w:t>UNHCR)</w:t>
      </w:r>
      <w:r>
        <w:rPr>
          <w:rFonts w:hint="cs"/>
          <w:i/>
          <w:sz w:val="20"/>
          <w:rtl/>
        </w:rPr>
        <w:t>، يعد المرشد الاجتماعي مصطلحًا يُستخدم للإشارة إلى موظف يقع على عاتقه المسؤولية عن اتخاذ إجراءات معينة بوصفها جزءًا من إجراء المصالح الفضلى، بينما داخل مؤسسة شريكة، قد يكون المرشد الاجتماعي وظيفة أو منصبًا محددًا. يُحدد المرشد الاجتماعي داخل مفوضية الأمم المتحدة السامية لشؤون اللاجئين (</w:t>
      </w:r>
      <w:r>
        <w:rPr>
          <w:i/>
          <w:sz w:val="20"/>
        </w:rPr>
        <w:t>UNHCR</w:t>
      </w:r>
      <w:r>
        <w:rPr>
          <w:rFonts w:hint="cs"/>
          <w:i/>
          <w:sz w:val="20"/>
          <w:rtl/>
        </w:rPr>
        <w:t>) من جانب مشرف تحديد المصالح الفضلى، أو منسق تحديد المصالح الفضلى، أو موظف استعراض تحديد المصالح الفضلى، ويؤكد عليه رئيس المكتب أو كبير موظفي الحماية. لغرض إجراء المصالح الفضلى، سيكون المرشد الاجتماعي التابع لمفوضية الأمم المتحدة السامية لشؤون اللاجئين (</w:t>
      </w:r>
      <w:r>
        <w:rPr>
          <w:i/>
          <w:sz w:val="20"/>
        </w:rPr>
        <w:t>UNHCR</w:t>
      </w:r>
      <w:r>
        <w:rPr>
          <w:rFonts w:hint="cs"/>
          <w:i/>
          <w:sz w:val="20"/>
          <w:rtl/>
        </w:rPr>
        <w:t>) مسؤولًا أمام مشرف تحديد المصالح الفضلى، أو منسق تحديد المصالح الفضلى، أو الموظف المعني بالإبلاغ في تحديد المصالح الفضلى على النحو الموضح في الاختصاصات. يُجرى توظيف المرشدين الاجتماعيين الملتحقين بإحدى الوكالات الشريكة من جانب تلك الوكالة.</w:t>
      </w:r>
    </w:p>
    <w:p w14:paraId="0B4100C5" w14:textId="77777777" w:rsidR="0099454D" w:rsidRPr="005503E0" w:rsidRDefault="0099454D" w:rsidP="00C551E8">
      <w:pPr>
        <w:jc w:val="both"/>
        <w:rPr>
          <w:sz w:val="20"/>
          <w:szCs w:val="20"/>
        </w:rPr>
      </w:pPr>
    </w:p>
    <w:p w14:paraId="10B90E9C" w14:textId="7E6E4D40" w:rsidR="00C34162" w:rsidRPr="005503E0" w:rsidRDefault="00FE4872" w:rsidP="00C551E8">
      <w:pPr>
        <w:bidi/>
        <w:jc w:val="both"/>
        <w:rPr>
          <w:sz w:val="20"/>
          <w:szCs w:val="20"/>
          <w:rtl/>
        </w:rPr>
      </w:pPr>
      <w:r>
        <w:rPr>
          <w:rFonts w:hint="cs"/>
          <w:i/>
          <w:sz w:val="20"/>
          <w:rtl/>
        </w:rPr>
        <w:t xml:space="preserve"> مسؤول أمام:</w:t>
      </w:r>
    </w:p>
    <w:p w14:paraId="26724127" w14:textId="66AC4CC7" w:rsidR="00FE4872" w:rsidRPr="005503E0" w:rsidRDefault="00FB3DC4" w:rsidP="005503E0">
      <w:pPr>
        <w:bidi/>
        <w:spacing w:before="120"/>
        <w:jc w:val="both"/>
        <w:rPr>
          <w:sz w:val="20"/>
          <w:szCs w:val="20"/>
          <w:rtl/>
        </w:rPr>
      </w:pPr>
      <w:r>
        <w:rPr>
          <w:rFonts w:hint="cs"/>
          <w:sz w:val="20"/>
          <w:rtl/>
        </w:rPr>
        <w:t xml:space="preserve"> مشرف تحديد المصالح الفضلى / منسق تحديد المصالح الفضلى / موظف</w:t>
      </w:r>
      <w:r w:rsidR="006E4C6D">
        <w:rPr>
          <w:rFonts w:hint="cs"/>
          <w:sz w:val="20"/>
          <w:rtl/>
        </w:rPr>
        <w:t xml:space="preserve"> </w:t>
      </w:r>
      <w:r w:rsidR="006E4C6D">
        <w:rPr>
          <w:rFonts w:cs="Arial" w:hint="cs"/>
          <w:sz w:val="20"/>
          <w:rtl/>
        </w:rPr>
        <w:t>مراجعة</w:t>
      </w:r>
      <w:r>
        <w:rPr>
          <w:rFonts w:hint="cs"/>
          <w:sz w:val="20"/>
          <w:rtl/>
        </w:rPr>
        <w:t xml:space="preserve"> تحديد المصالح الفضلى / مشرف الحالة (يتحدد على المستوى التنفيذي)</w:t>
      </w:r>
    </w:p>
    <w:p w14:paraId="083A3DC7" w14:textId="77777777" w:rsidR="00FB3DC4" w:rsidRPr="005503E0" w:rsidRDefault="00FB3DC4" w:rsidP="00C551E8">
      <w:pPr>
        <w:jc w:val="both"/>
        <w:rPr>
          <w:sz w:val="20"/>
          <w:szCs w:val="20"/>
        </w:rPr>
      </w:pPr>
    </w:p>
    <w:p w14:paraId="412BEC98" w14:textId="0E460FED" w:rsidR="00235B55" w:rsidRPr="005503E0" w:rsidRDefault="00235B55" w:rsidP="007A1775">
      <w:pPr>
        <w:bidi/>
        <w:rPr>
          <w:i/>
          <w:iCs/>
          <w:sz w:val="20"/>
          <w:szCs w:val="20"/>
          <w:rtl/>
        </w:rPr>
      </w:pPr>
      <w:r>
        <w:rPr>
          <w:rFonts w:hint="cs"/>
          <w:i/>
          <w:sz w:val="20"/>
          <w:rtl/>
        </w:rPr>
        <w:t>المسؤولية:</w:t>
      </w:r>
    </w:p>
    <w:p w14:paraId="6A771E76" w14:textId="7A651A42" w:rsidR="00C34162" w:rsidRPr="005503E0" w:rsidRDefault="00497952" w:rsidP="005503E0">
      <w:pPr>
        <w:pStyle w:val="ListParagraph"/>
        <w:numPr>
          <w:ilvl w:val="0"/>
          <w:numId w:val="3"/>
        </w:numPr>
        <w:bidi/>
        <w:spacing w:before="120"/>
        <w:ind w:left="357" w:hanging="357"/>
        <w:contextualSpacing w:val="0"/>
        <w:rPr>
          <w:sz w:val="20"/>
          <w:szCs w:val="20"/>
          <w:rtl/>
        </w:rPr>
      </w:pPr>
      <w:r>
        <w:rPr>
          <w:rFonts w:hint="cs"/>
          <w:sz w:val="20"/>
          <w:rtl/>
        </w:rPr>
        <w:t xml:space="preserve">من خلال الوجود المجتمعي، والزيارات المنزلية، والتفاعلات مع الأطفال وغيرهم من أصحاب المصلحة، تحديد الأطفال المعرضين للخطر والمحتاجين إلى تدخلات الحماية؛ </w:t>
      </w:r>
    </w:p>
    <w:p w14:paraId="691BBBEA" w14:textId="6A115F71" w:rsidR="001D2C3F" w:rsidRPr="005503E0" w:rsidRDefault="00497952" w:rsidP="005503E0">
      <w:pPr>
        <w:pStyle w:val="ListParagraph"/>
        <w:numPr>
          <w:ilvl w:val="0"/>
          <w:numId w:val="3"/>
        </w:numPr>
        <w:bidi/>
        <w:spacing w:before="120"/>
        <w:ind w:left="357" w:hanging="357"/>
        <w:contextualSpacing w:val="0"/>
        <w:rPr>
          <w:sz w:val="20"/>
          <w:szCs w:val="20"/>
          <w:rtl/>
        </w:rPr>
      </w:pPr>
      <w:r>
        <w:rPr>
          <w:rFonts w:hint="cs"/>
          <w:sz w:val="20"/>
          <w:rtl/>
        </w:rPr>
        <w:t xml:space="preserve">والتعهد، بوصف ذلك جزءًا من التنفيذ الشامل لإجراء المصالح الفضلى، بإجراء تقييمات المصالح الفضلى في الوقت المناسب، ووضع خطة حالة تضمن مشاركة الطفل في العملية، يتضمن ذلك أيضًا إدارة الحالات من خلال التوثيق المناسب، بما يشمل تحديث قاعدة البيانات لإجراء المصالح الفضلى والاحتفاظ بها؛ </w:t>
      </w:r>
    </w:p>
    <w:p w14:paraId="1F9E8F0E" w14:textId="75E026CF" w:rsidR="00AB5301" w:rsidRPr="005503E0" w:rsidRDefault="00C34162" w:rsidP="005503E0">
      <w:pPr>
        <w:pStyle w:val="ListParagraph"/>
        <w:numPr>
          <w:ilvl w:val="0"/>
          <w:numId w:val="3"/>
        </w:numPr>
        <w:bidi/>
        <w:spacing w:before="120"/>
        <w:ind w:left="357" w:hanging="357"/>
        <w:contextualSpacing w:val="0"/>
        <w:rPr>
          <w:sz w:val="20"/>
          <w:szCs w:val="20"/>
          <w:rtl/>
        </w:rPr>
      </w:pPr>
      <w:r>
        <w:rPr>
          <w:rFonts w:hint="cs"/>
          <w:sz w:val="20"/>
          <w:rtl/>
        </w:rPr>
        <w:t xml:space="preserve">وضمان الإحالات في الوقت المناسب، والمتابعة الملائمة بشأن الحالات الفردية، ومواصلة المراقبة، وتقديم الدعم وفقًا لخطة الحالة. قد يشمل ذلك أيضًا توفير التوجيه والمشورة والدعم العاطفي، والوساطة المجتمعية، والمزيد من الإحالات؛ </w:t>
      </w:r>
    </w:p>
    <w:p w14:paraId="37E6F173" w14:textId="395EA7C1" w:rsidR="001D2C3F" w:rsidRPr="005503E0" w:rsidRDefault="001D2C3F" w:rsidP="005503E0">
      <w:pPr>
        <w:pStyle w:val="ListParagraph"/>
        <w:numPr>
          <w:ilvl w:val="0"/>
          <w:numId w:val="3"/>
        </w:numPr>
        <w:bidi/>
        <w:spacing w:before="120"/>
        <w:ind w:left="357" w:hanging="357"/>
        <w:contextualSpacing w:val="0"/>
        <w:rPr>
          <w:sz w:val="20"/>
          <w:szCs w:val="20"/>
          <w:rtl/>
        </w:rPr>
      </w:pPr>
      <w:r>
        <w:rPr>
          <w:rFonts w:hint="cs"/>
          <w:sz w:val="20"/>
          <w:rtl/>
        </w:rPr>
        <w:t xml:space="preserve">فبالتشاور مع المشرف المعين لعملية تحديد المصالح الفضلى، تُحدَّد الحالات التي تتطلب عمليات تحديد المصالح الفضلى؛ </w:t>
      </w:r>
    </w:p>
    <w:p w14:paraId="1C347E52" w14:textId="60EB970A" w:rsidR="007E56AC" w:rsidRPr="005503E0" w:rsidRDefault="001D2C3F" w:rsidP="005503E0">
      <w:pPr>
        <w:pStyle w:val="ListParagraph"/>
        <w:numPr>
          <w:ilvl w:val="0"/>
          <w:numId w:val="3"/>
        </w:numPr>
        <w:bidi/>
        <w:spacing w:before="120"/>
        <w:ind w:left="357" w:hanging="357"/>
        <w:contextualSpacing w:val="0"/>
        <w:rPr>
          <w:sz w:val="20"/>
          <w:szCs w:val="20"/>
          <w:rtl/>
        </w:rPr>
      </w:pPr>
      <w:r>
        <w:rPr>
          <w:rFonts w:hint="cs"/>
          <w:sz w:val="20"/>
          <w:rtl/>
        </w:rPr>
        <w:t xml:space="preserve">وجمع كافة المعلومات ذات الصلة بحالة الطفل من خلال إجراء مقابلة مع الطفل، أو أسرته، أو غيرهم من مقدمي الرعاية، وآخرين قد يكونون على صلة بحالة الطفل؛ </w:t>
      </w:r>
    </w:p>
    <w:p w14:paraId="10889E4B" w14:textId="1EC4E914" w:rsidR="009861F3" w:rsidRPr="005503E0" w:rsidRDefault="00C763BE" w:rsidP="005503E0">
      <w:pPr>
        <w:pStyle w:val="ListParagraph"/>
        <w:numPr>
          <w:ilvl w:val="0"/>
          <w:numId w:val="3"/>
        </w:numPr>
        <w:bidi/>
        <w:spacing w:before="120"/>
        <w:ind w:left="357" w:hanging="357"/>
        <w:contextualSpacing w:val="0"/>
        <w:rPr>
          <w:sz w:val="20"/>
          <w:szCs w:val="20"/>
          <w:rtl/>
        </w:rPr>
      </w:pPr>
      <w:r>
        <w:rPr>
          <w:rFonts w:hint="cs"/>
          <w:sz w:val="20"/>
          <w:rtl/>
        </w:rPr>
        <w:t xml:space="preserve">وتحليل المعلومات المجمعة، وصياغة التوصيات للقرارات، وإعداد تقرير الحالة وتقديمه إلى موظف المراجعة لاتخاذ المزيد من الإجراءات، في حين أن مواصلة المراقبة والمتابعة بشأن وضع حماية الطفل؛ </w:t>
      </w:r>
    </w:p>
    <w:p w14:paraId="3ACC4439" w14:textId="168B0129" w:rsidR="00562CAC" w:rsidRPr="005503E0" w:rsidRDefault="00562CAC" w:rsidP="005503E0">
      <w:pPr>
        <w:pStyle w:val="ListParagraph"/>
        <w:numPr>
          <w:ilvl w:val="0"/>
          <w:numId w:val="3"/>
        </w:numPr>
        <w:bidi/>
        <w:spacing w:before="120"/>
        <w:ind w:left="357" w:hanging="357"/>
        <w:contextualSpacing w:val="0"/>
        <w:rPr>
          <w:sz w:val="20"/>
          <w:szCs w:val="20"/>
          <w:rtl/>
        </w:rPr>
      </w:pPr>
      <w:r>
        <w:rPr>
          <w:rFonts w:hint="cs"/>
          <w:sz w:val="20"/>
          <w:rtl/>
        </w:rPr>
        <w:t xml:space="preserve">والمشاركة في اجتماعات اللجنة المعنية بتحديد المصالح الفضلى عند الحاجة، لتوضيح الأسئلة أو الرد عليها، والعمل بصفته مدافعًا عن الطفل؛ </w:t>
      </w:r>
    </w:p>
    <w:p w14:paraId="49621D31" w14:textId="77777777" w:rsidR="00562CAC" w:rsidRPr="005503E0" w:rsidRDefault="00562CAC" w:rsidP="005503E0">
      <w:pPr>
        <w:pStyle w:val="ListParagraph"/>
        <w:numPr>
          <w:ilvl w:val="0"/>
          <w:numId w:val="3"/>
        </w:numPr>
        <w:bidi/>
        <w:spacing w:before="120"/>
        <w:ind w:left="357" w:hanging="357"/>
        <w:contextualSpacing w:val="0"/>
        <w:rPr>
          <w:sz w:val="20"/>
          <w:szCs w:val="20"/>
          <w:rtl/>
        </w:rPr>
      </w:pPr>
      <w:r>
        <w:rPr>
          <w:rFonts w:hint="cs"/>
          <w:sz w:val="20"/>
          <w:rtl/>
        </w:rPr>
        <w:t>وقيادة تنفيذ قرار تحديد المصالح الفضلى أو دعمه، وإبلاغ المشرف بشأن التقدم المحرز و/أو التحديات. قد يشمل ذلك إسداء المشورة للمشرف بشأن التغييرات في وضع حماية الطفل.</w:t>
      </w:r>
    </w:p>
    <w:p w14:paraId="5406BC83" w14:textId="77777777" w:rsidR="009861F3" w:rsidRPr="005503E0" w:rsidRDefault="009861F3" w:rsidP="009861F3">
      <w:pPr>
        <w:pStyle w:val="ListParagraph"/>
        <w:rPr>
          <w:sz w:val="20"/>
          <w:szCs w:val="20"/>
        </w:rPr>
      </w:pPr>
    </w:p>
    <w:p w14:paraId="217AD405" w14:textId="77777777" w:rsidR="00FB3DC4" w:rsidRPr="005503E0" w:rsidRDefault="00FB3DC4" w:rsidP="007A1775">
      <w:pPr>
        <w:rPr>
          <w:sz w:val="20"/>
          <w:szCs w:val="20"/>
        </w:rPr>
      </w:pPr>
    </w:p>
    <w:p w14:paraId="002482E9" w14:textId="77777777" w:rsidR="00FB3DC4" w:rsidRPr="005503E0" w:rsidRDefault="008B262A" w:rsidP="007A1775">
      <w:pPr>
        <w:bidi/>
        <w:rPr>
          <w:i/>
          <w:iCs/>
          <w:sz w:val="20"/>
          <w:szCs w:val="20"/>
          <w:rtl/>
        </w:rPr>
      </w:pPr>
      <w:r>
        <w:rPr>
          <w:rFonts w:hint="cs"/>
          <w:i/>
          <w:sz w:val="20"/>
          <w:rtl/>
        </w:rPr>
        <w:t>المتطلب:</w:t>
      </w:r>
    </w:p>
    <w:p w14:paraId="2A1BC5DD" w14:textId="545F15FB" w:rsidR="00042228" w:rsidRPr="005503E0" w:rsidRDefault="00042228" w:rsidP="005503E0">
      <w:pPr>
        <w:pStyle w:val="ListParagraph"/>
        <w:numPr>
          <w:ilvl w:val="0"/>
          <w:numId w:val="3"/>
        </w:numPr>
        <w:bidi/>
        <w:spacing w:before="120"/>
        <w:ind w:left="360"/>
        <w:contextualSpacing w:val="0"/>
        <w:rPr>
          <w:sz w:val="20"/>
          <w:szCs w:val="20"/>
          <w:rtl/>
        </w:rPr>
      </w:pPr>
      <w:r>
        <w:rPr>
          <w:rFonts w:hint="cs"/>
          <w:sz w:val="20"/>
          <w:rtl/>
        </w:rPr>
        <w:t xml:space="preserve">المعرفة الجيدة بحماية الطفل، بما في ذلك الخبرة في العمل مع الأطفال / رعاية الطفل؛ </w:t>
      </w:r>
    </w:p>
    <w:p w14:paraId="55DC8470" w14:textId="3B6B54CB" w:rsidR="00042228" w:rsidRPr="005503E0" w:rsidRDefault="00042228" w:rsidP="005503E0">
      <w:pPr>
        <w:pStyle w:val="ListParagraph"/>
        <w:numPr>
          <w:ilvl w:val="0"/>
          <w:numId w:val="3"/>
        </w:numPr>
        <w:bidi/>
        <w:spacing w:before="120"/>
        <w:ind w:left="360"/>
        <w:contextualSpacing w:val="0"/>
        <w:rPr>
          <w:sz w:val="20"/>
          <w:szCs w:val="20"/>
          <w:rtl/>
        </w:rPr>
      </w:pPr>
      <w:r>
        <w:rPr>
          <w:rFonts w:hint="cs"/>
          <w:sz w:val="20"/>
          <w:rtl/>
        </w:rPr>
        <w:t xml:space="preserve">والفهم الجيد للحماية، بما في ذلك الوقاية والاستجابة للعنف الجنسي والعنف القائم على نوع الجنس؛ </w:t>
      </w:r>
    </w:p>
    <w:p w14:paraId="108833B3" w14:textId="5C9CA6C1" w:rsidR="00C763BE" w:rsidRPr="005503E0" w:rsidRDefault="00042228" w:rsidP="005503E0">
      <w:pPr>
        <w:pStyle w:val="ListParagraph"/>
        <w:numPr>
          <w:ilvl w:val="0"/>
          <w:numId w:val="3"/>
        </w:numPr>
        <w:bidi/>
        <w:spacing w:before="120"/>
        <w:ind w:left="360"/>
        <w:contextualSpacing w:val="0"/>
        <w:rPr>
          <w:sz w:val="20"/>
          <w:szCs w:val="20"/>
          <w:rtl/>
        </w:rPr>
      </w:pPr>
      <w:r>
        <w:rPr>
          <w:rFonts w:hint="cs"/>
          <w:sz w:val="20"/>
          <w:rtl/>
        </w:rPr>
        <w:t xml:space="preserve">والمعرفة الجيدة بالحماية المجتمعية، بما يشمل فهم دور المجتمع، وبنيته، وممارساته، بما في ذلك المعايير الاجتماعية والثقافية والجنسانية الخاصة بالمجتمع داخل العملية؛ </w:t>
      </w:r>
    </w:p>
    <w:p w14:paraId="6B336854" w14:textId="1861CF27" w:rsidR="00C763BE" w:rsidRPr="005503E0" w:rsidRDefault="00C763BE" w:rsidP="005503E0">
      <w:pPr>
        <w:pStyle w:val="ListParagraph"/>
        <w:numPr>
          <w:ilvl w:val="0"/>
          <w:numId w:val="3"/>
        </w:numPr>
        <w:bidi/>
        <w:spacing w:before="120"/>
        <w:ind w:left="360"/>
        <w:contextualSpacing w:val="0"/>
        <w:rPr>
          <w:sz w:val="20"/>
          <w:szCs w:val="20"/>
          <w:rtl/>
        </w:rPr>
      </w:pPr>
      <w:r>
        <w:rPr>
          <w:rFonts w:hint="cs"/>
          <w:sz w:val="20"/>
          <w:rtl/>
        </w:rPr>
        <w:t xml:space="preserve">ومعرفة النظم الوطنية لحماية الطفل، بما يشمل أدوار الجهات الفاعلة المختلفةـ والعمليات لحماية الأطفال؛ </w:t>
      </w:r>
    </w:p>
    <w:p w14:paraId="72CBF967" w14:textId="41D062B2" w:rsidR="00C763BE" w:rsidRPr="005503E0" w:rsidRDefault="00C763BE" w:rsidP="005503E0">
      <w:pPr>
        <w:pStyle w:val="ListParagraph"/>
        <w:numPr>
          <w:ilvl w:val="0"/>
          <w:numId w:val="3"/>
        </w:numPr>
        <w:bidi/>
        <w:spacing w:before="120"/>
        <w:ind w:left="360"/>
        <w:contextualSpacing w:val="0"/>
        <w:rPr>
          <w:sz w:val="20"/>
          <w:szCs w:val="20"/>
          <w:rtl/>
        </w:rPr>
      </w:pPr>
      <w:r>
        <w:rPr>
          <w:rFonts w:hint="cs"/>
          <w:sz w:val="20"/>
          <w:rtl/>
        </w:rPr>
        <w:t xml:space="preserve">ومهارات ممتازة في التواصل مع الأطفال والدفاع نيابةً عن الأطفال؛ </w:t>
      </w:r>
    </w:p>
    <w:p w14:paraId="6BD25053" w14:textId="0B5ABE22" w:rsidR="00FB3DC4" w:rsidRDefault="00C763BE" w:rsidP="007A1775">
      <w:pPr>
        <w:pStyle w:val="ListParagraph"/>
        <w:numPr>
          <w:ilvl w:val="0"/>
          <w:numId w:val="3"/>
        </w:numPr>
        <w:bidi/>
        <w:spacing w:before="120"/>
        <w:ind w:left="360"/>
        <w:contextualSpacing w:val="0"/>
        <w:rPr>
          <w:rtl/>
        </w:rPr>
      </w:pPr>
      <w:r>
        <w:rPr>
          <w:rFonts w:hint="cs"/>
          <w:sz w:val="20"/>
          <w:rtl/>
        </w:rPr>
        <w:t>ومهارات جيدة في التحليل وكتابة التقارير.</w:t>
      </w:r>
    </w:p>
    <w:p w14:paraId="559F2699" w14:textId="77777777" w:rsidR="00076335" w:rsidRDefault="00076335" w:rsidP="007A1775"/>
    <w:sectPr w:rsidR="00076335" w:rsidSect="005503E0">
      <w:headerReference w:type="default" r:id="rId10"/>
      <w:footerReference w:type="default" r:id="rId11"/>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03EF2" w14:textId="77777777" w:rsidR="00AD6F78" w:rsidRDefault="00AD6F78" w:rsidP="0099454D">
      <w:r>
        <w:separator/>
      </w:r>
    </w:p>
  </w:endnote>
  <w:endnote w:type="continuationSeparator" w:id="0">
    <w:p w14:paraId="647217E7" w14:textId="77777777" w:rsidR="00AD6F78" w:rsidRDefault="00AD6F78"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E586" w14:textId="685B5721" w:rsidR="00CC49F9" w:rsidRPr="00CC49F9" w:rsidRDefault="00CC49F9" w:rsidP="00CC49F9">
    <w:pPr>
      <w:pStyle w:val="Footer"/>
      <w:jc w:val="right"/>
      <w:rPr>
        <w:i/>
        <w:iCs/>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2A036" w14:textId="77777777" w:rsidR="00AD6F78" w:rsidRDefault="00AD6F78" w:rsidP="0099454D">
      <w:r>
        <w:separator/>
      </w:r>
    </w:p>
  </w:footnote>
  <w:footnote w:type="continuationSeparator" w:id="0">
    <w:p w14:paraId="6DECAD74" w14:textId="77777777" w:rsidR="00AD6F78" w:rsidRDefault="00AD6F78" w:rsidP="0099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3706" w14:textId="1E209B7F" w:rsidR="0099454D" w:rsidRPr="005503E0" w:rsidRDefault="00D9563F" w:rsidP="005503E0">
    <w:pPr>
      <w:pStyle w:val="Header"/>
      <w:bidi/>
      <w:jc w:val="right"/>
      <w:rPr>
        <w:rtl/>
      </w:rPr>
    </w:pPr>
    <w:r>
      <w:rPr>
        <w:noProof/>
        <w:rtl/>
        <w:lang w:val="ar-EG"/>
      </w:rPr>
      <w:drawing>
        <wp:inline distT="0" distB="0" distL="0" distR="0" wp14:anchorId="63FA22BD" wp14:editId="0E139111">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E6EA6"/>
    <w:multiLevelType w:val="hybridMultilevel"/>
    <w:tmpl w:val="69928B0C"/>
    <w:lvl w:ilvl="0" w:tplc="D35287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62E3B33"/>
    <w:multiLevelType w:val="hybridMultilevel"/>
    <w:tmpl w:val="1D629CBE"/>
    <w:lvl w:ilvl="0" w:tplc="DA686CC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42228"/>
    <w:rsid w:val="00074582"/>
    <w:rsid w:val="00076335"/>
    <w:rsid w:val="00111855"/>
    <w:rsid w:val="001217D9"/>
    <w:rsid w:val="00184809"/>
    <w:rsid w:val="001D2C3F"/>
    <w:rsid w:val="00235B55"/>
    <w:rsid w:val="002637FC"/>
    <w:rsid w:val="00295A3D"/>
    <w:rsid w:val="00314820"/>
    <w:rsid w:val="00322666"/>
    <w:rsid w:val="003E48F7"/>
    <w:rsid w:val="00450156"/>
    <w:rsid w:val="00497952"/>
    <w:rsid w:val="004C3C62"/>
    <w:rsid w:val="005503E0"/>
    <w:rsid w:val="00562CAC"/>
    <w:rsid w:val="0057004E"/>
    <w:rsid w:val="005C2130"/>
    <w:rsid w:val="006431DB"/>
    <w:rsid w:val="006755AE"/>
    <w:rsid w:val="00681A55"/>
    <w:rsid w:val="006E4C6D"/>
    <w:rsid w:val="00725FA4"/>
    <w:rsid w:val="007754DE"/>
    <w:rsid w:val="007A1775"/>
    <w:rsid w:val="007E41FF"/>
    <w:rsid w:val="007E56AC"/>
    <w:rsid w:val="007F03A3"/>
    <w:rsid w:val="007F5EE4"/>
    <w:rsid w:val="00807019"/>
    <w:rsid w:val="008236A4"/>
    <w:rsid w:val="00846980"/>
    <w:rsid w:val="00864BC4"/>
    <w:rsid w:val="00890F61"/>
    <w:rsid w:val="008B21D9"/>
    <w:rsid w:val="008B262A"/>
    <w:rsid w:val="008C2D0C"/>
    <w:rsid w:val="008F249C"/>
    <w:rsid w:val="009057EA"/>
    <w:rsid w:val="009861F3"/>
    <w:rsid w:val="0099454D"/>
    <w:rsid w:val="00996DC3"/>
    <w:rsid w:val="009C1F6E"/>
    <w:rsid w:val="009E1F02"/>
    <w:rsid w:val="00A05855"/>
    <w:rsid w:val="00A9722A"/>
    <w:rsid w:val="00AB5301"/>
    <w:rsid w:val="00AB5F8D"/>
    <w:rsid w:val="00AD113C"/>
    <w:rsid w:val="00AD6F78"/>
    <w:rsid w:val="00AE0365"/>
    <w:rsid w:val="00B00206"/>
    <w:rsid w:val="00B324F9"/>
    <w:rsid w:val="00B40AAD"/>
    <w:rsid w:val="00B675AF"/>
    <w:rsid w:val="00B806EE"/>
    <w:rsid w:val="00C34162"/>
    <w:rsid w:val="00C44A7B"/>
    <w:rsid w:val="00C551E8"/>
    <w:rsid w:val="00C614CE"/>
    <w:rsid w:val="00C763BE"/>
    <w:rsid w:val="00C91D96"/>
    <w:rsid w:val="00CC49F9"/>
    <w:rsid w:val="00D33D6C"/>
    <w:rsid w:val="00D51967"/>
    <w:rsid w:val="00D9563F"/>
    <w:rsid w:val="00DE05AF"/>
    <w:rsid w:val="00E256D9"/>
    <w:rsid w:val="00E322E6"/>
    <w:rsid w:val="00F15D82"/>
    <w:rsid w:val="00FB3DC4"/>
    <w:rsid w:val="00FC5670"/>
    <w:rsid w:val="00FE487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DE16"/>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en-GB"/>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en-GB"/>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890F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5BDCA-1CE1-4F91-B802-866369174C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D59F71-360E-4925-9BFF-E25C2DFD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B61EB-6874-4CB3-9822-4FE1851AA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462</Words>
  <Characters>2541</Characters>
  <Application>Microsoft Office Word</Application>
  <DocSecurity>0</DocSecurity>
  <Lines>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Cliff Speck</cp:lastModifiedBy>
  <cp:revision>25</cp:revision>
  <dcterms:created xsi:type="dcterms:W3CDTF">2018-01-26T15:41:00Z</dcterms:created>
  <dcterms:modified xsi:type="dcterms:W3CDTF">2020-12-11T14:23:00Z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