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4FA0" w14:textId="77777777" w:rsidR="001E6913" w:rsidRPr="001E6913" w:rsidRDefault="001E6913" w:rsidP="001E6913">
      <w:pPr>
        <w:pStyle w:val="NormalWeb"/>
        <w:jc w:val="center"/>
        <w:rPr>
          <w:rFonts w:ascii="Calibri" w:hAnsi="Calibri"/>
          <w:b/>
          <w:color w:val="000000"/>
          <w:lang w:val="es-ES"/>
        </w:rPr>
      </w:pPr>
      <w:r w:rsidRPr="001E6913">
        <w:rPr>
          <w:rFonts w:ascii="Calibri" w:hAnsi="Calibri"/>
          <w:b/>
          <w:color w:val="000000"/>
          <w:lang w:val="es-ES"/>
        </w:rPr>
        <w:t>Marco jurídico de Honduras con respecto a los procedimientos de custodia y a la autorización de salida del país de NNA</w:t>
      </w:r>
    </w:p>
    <w:p w14:paraId="1FEF8E16" w14:textId="77777777" w:rsidR="001E6913" w:rsidRDefault="001E6913" w:rsidP="000D0CBE">
      <w:pPr>
        <w:pStyle w:val="NormalWeb"/>
        <w:jc w:val="both"/>
        <w:rPr>
          <w:rFonts w:ascii="Calibri" w:hAnsi="Calibri"/>
          <w:color w:val="000000"/>
          <w:lang w:val="es-ES"/>
        </w:rPr>
      </w:pPr>
    </w:p>
    <w:p w14:paraId="442A971E" w14:textId="77777777" w:rsidR="001E6913" w:rsidRDefault="001E6913" w:rsidP="000D0CBE">
      <w:pPr>
        <w:pStyle w:val="NormalWeb"/>
        <w:jc w:val="both"/>
        <w:rPr>
          <w:rFonts w:ascii="Calibri" w:hAnsi="Calibri"/>
          <w:color w:val="000000"/>
          <w:lang w:val="es-ES"/>
        </w:rPr>
      </w:pPr>
    </w:p>
    <w:p w14:paraId="30F42B6C" w14:textId="77777777" w:rsidR="009B1AD0" w:rsidRDefault="009B1AD0" w:rsidP="000D0CBE">
      <w:pPr>
        <w:pStyle w:val="NormalWeb"/>
        <w:jc w:val="both"/>
        <w:rPr>
          <w:rFonts w:ascii="Calibri" w:hAnsi="Calibri"/>
          <w:color w:val="000000"/>
          <w:lang w:val="es-ES"/>
        </w:rPr>
      </w:pPr>
      <w:r>
        <w:rPr>
          <w:rFonts w:ascii="Calibri" w:hAnsi="Calibri"/>
          <w:color w:val="000000"/>
          <w:lang w:val="es-ES"/>
        </w:rPr>
        <w:t>El Capítulo III del Código de la Niñez</w:t>
      </w:r>
      <w:r w:rsidR="000D0CBE">
        <w:rPr>
          <w:rFonts w:ascii="Calibri" w:hAnsi="Calibri"/>
          <w:color w:val="000000"/>
          <w:lang w:val="es-ES"/>
        </w:rPr>
        <w:t xml:space="preserve"> (2014) trata las condiciones bajo las cuales un menor puede ser autorizado a </w:t>
      </w:r>
      <w:r w:rsidR="001E6913">
        <w:rPr>
          <w:rFonts w:ascii="Calibri" w:hAnsi="Calibri"/>
          <w:color w:val="000000"/>
          <w:lang w:val="es-ES"/>
        </w:rPr>
        <w:t>salir del país</w:t>
      </w:r>
      <w:r w:rsidR="000D0CBE">
        <w:rPr>
          <w:rFonts w:ascii="Calibri" w:hAnsi="Calibri"/>
          <w:color w:val="000000"/>
          <w:lang w:val="es-ES"/>
        </w:rPr>
        <w:t>. En su artículo 101, se clarifica que las condiciones son las siguientes:</w:t>
      </w:r>
    </w:p>
    <w:p w14:paraId="223299B0" w14:textId="77777777" w:rsidR="000D0CBE" w:rsidRDefault="000D0CBE" w:rsidP="000D0CBE">
      <w:pPr>
        <w:pStyle w:val="NormalWeb"/>
        <w:numPr>
          <w:ilvl w:val="0"/>
          <w:numId w:val="1"/>
        </w:numPr>
        <w:jc w:val="both"/>
        <w:rPr>
          <w:rFonts w:ascii="Calibri" w:hAnsi="Calibri"/>
          <w:color w:val="000000"/>
          <w:lang w:val="es-ES"/>
        </w:rPr>
      </w:pPr>
      <w:r>
        <w:rPr>
          <w:rFonts w:ascii="Calibri" w:hAnsi="Calibri"/>
          <w:color w:val="000000"/>
          <w:lang w:val="es-ES"/>
        </w:rPr>
        <w:t>Viajar con ambos padres</w:t>
      </w:r>
    </w:p>
    <w:p w14:paraId="0A3ECB69" w14:textId="77777777" w:rsidR="000D0CBE" w:rsidRDefault="000D0CBE" w:rsidP="000D0CBE">
      <w:pPr>
        <w:pStyle w:val="NormalWeb"/>
        <w:numPr>
          <w:ilvl w:val="0"/>
          <w:numId w:val="1"/>
        </w:numPr>
        <w:jc w:val="both"/>
        <w:rPr>
          <w:rFonts w:ascii="Calibri" w:hAnsi="Calibri"/>
          <w:color w:val="000000"/>
          <w:lang w:val="es-ES"/>
        </w:rPr>
      </w:pPr>
      <w:r>
        <w:rPr>
          <w:rFonts w:ascii="Calibri" w:hAnsi="Calibri"/>
          <w:color w:val="000000"/>
          <w:lang w:val="es-ES"/>
        </w:rPr>
        <w:t>Si viaja con un solo padre y que ambos ejercen la patria potestad, autorización escrita del padre que no viaje con el NNA</w:t>
      </w:r>
    </w:p>
    <w:p w14:paraId="260E1FC9" w14:textId="77777777" w:rsidR="000D0CBE" w:rsidRDefault="000D0CBE" w:rsidP="000D0CBE">
      <w:pPr>
        <w:pStyle w:val="NormalWeb"/>
        <w:numPr>
          <w:ilvl w:val="0"/>
          <w:numId w:val="1"/>
        </w:numPr>
        <w:jc w:val="both"/>
        <w:rPr>
          <w:rFonts w:ascii="Calibri" w:hAnsi="Calibri"/>
          <w:color w:val="000000"/>
          <w:lang w:val="es-ES"/>
        </w:rPr>
      </w:pPr>
      <w:r>
        <w:rPr>
          <w:rFonts w:ascii="Calibri" w:hAnsi="Calibri"/>
          <w:color w:val="000000"/>
          <w:lang w:val="es-ES"/>
        </w:rPr>
        <w:t>Las firmas de la autorización tienen que ser autentificadas por un notario.</w:t>
      </w:r>
    </w:p>
    <w:p w14:paraId="06E6350B" w14:textId="77777777" w:rsidR="000D0CBE" w:rsidRDefault="000D0CBE" w:rsidP="000D0CBE">
      <w:pPr>
        <w:pStyle w:val="NormalWeb"/>
        <w:jc w:val="both"/>
        <w:rPr>
          <w:rFonts w:ascii="Calibri" w:hAnsi="Calibri"/>
          <w:color w:val="000000"/>
          <w:lang w:val="es-ES"/>
        </w:rPr>
      </w:pPr>
    </w:p>
    <w:p w14:paraId="488DA45D" w14:textId="77777777" w:rsidR="000D0CBE" w:rsidRDefault="000D0CBE" w:rsidP="000D0CBE">
      <w:pPr>
        <w:pStyle w:val="NormalWeb"/>
        <w:jc w:val="both"/>
        <w:rPr>
          <w:rFonts w:ascii="Calibri" w:hAnsi="Calibri"/>
          <w:color w:val="000000"/>
          <w:lang w:val="es-ES"/>
        </w:rPr>
      </w:pPr>
      <w:r>
        <w:rPr>
          <w:rFonts w:ascii="Calibri" w:hAnsi="Calibri"/>
          <w:color w:val="000000"/>
          <w:lang w:val="es-ES"/>
        </w:rPr>
        <w:t xml:space="preserve">Si bien esas condiciones parecen ser bastante restrictivas, existen algunas excepciones que pueden ser validas o no en la discusión acerca de la salida del país de un NNA con necesidades de protección. </w:t>
      </w:r>
    </w:p>
    <w:p w14:paraId="7CE7548E" w14:textId="77777777" w:rsidR="000D0CBE" w:rsidRDefault="000D0CBE" w:rsidP="000D0CBE">
      <w:pPr>
        <w:pStyle w:val="NormalWeb"/>
        <w:jc w:val="both"/>
        <w:rPr>
          <w:rFonts w:ascii="Calibri" w:hAnsi="Calibri"/>
          <w:color w:val="000000"/>
          <w:lang w:val="es-ES"/>
        </w:rPr>
      </w:pPr>
    </w:p>
    <w:p w14:paraId="51A3C472" w14:textId="77777777" w:rsidR="009B1AD0" w:rsidRDefault="009B1AD0" w:rsidP="000D0CBE">
      <w:pPr>
        <w:pStyle w:val="NormalWeb"/>
        <w:jc w:val="both"/>
        <w:rPr>
          <w:rFonts w:ascii="Calibri" w:hAnsi="Calibri"/>
          <w:color w:val="000000"/>
          <w:lang w:val="es-ES"/>
        </w:rPr>
      </w:pPr>
    </w:p>
    <w:p w14:paraId="12B422CE" w14:textId="77777777" w:rsidR="009B1AD0" w:rsidRPr="000D0CBE" w:rsidRDefault="009B1AD0" w:rsidP="000D0CBE">
      <w:pPr>
        <w:pStyle w:val="NormalWeb"/>
        <w:numPr>
          <w:ilvl w:val="0"/>
          <w:numId w:val="2"/>
        </w:numPr>
        <w:jc w:val="both"/>
        <w:rPr>
          <w:rFonts w:ascii="Calibri" w:hAnsi="Calibri"/>
          <w:b/>
          <w:color w:val="000000"/>
          <w:lang w:val="es-ES"/>
        </w:rPr>
      </w:pPr>
      <w:r w:rsidRPr="000D0CBE">
        <w:rPr>
          <w:rFonts w:ascii="Calibri" w:hAnsi="Calibri"/>
          <w:b/>
          <w:color w:val="000000"/>
        </w:rPr>
        <w:t xml:space="preserve">Código </w:t>
      </w:r>
      <w:proofErr w:type="spellStart"/>
      <w:r w:rsidRPr="000D0CBE">
        <w:rPr>
          <w:rFonts w:ascii="Calibri" w:hAnsi="Calibri"/>
          <w:b/>
          <w:color w:val="000000"/>
        </w:rPr>
        <w:t>Niñez</w:t>
      </w:r>
      <w:proofErr w:type="spellEnd"/>
    </w:p>
    <w:p w14:paraId="23A80710" w14:textId="77777777" w:rsidR="000D0CBE" w:rsidRDefault="000D0CBE" w:rsidP="000D0CBE">
      <w:pPr>
        <w:pStyle w:val="NormalWeb"/>
        <w:jc w:val="both"/>
        <w:rPr>
          <w:rFonts w:ascii="Calibri" w:hAnsi="Calibri"/>
          <w:color w:val="000000"/>
          <w:lang w:val="es-ES"/>
        </w:rPr>
      </w:pPr>
    </w:p>
    <w:p w14:paraId="0023BC92" w14:textId="77777777" w:rsidR="009B1AD0" w:rsidRPr="001E6913" w:rsidRDefault="009B1AD0" w:rsidP="000D0CBE">
      <w:pPr>
        <w:pStyle w:val="NormalWeb"/>
        <w:jc w:val="both"/>
        <w:rPr>
          <w:rFonts w:ascii="Calibri" w:hAnsi="Calibri"/>
          <w:color w:val="000000"/>
          <w:lang w:val="es-ES"/>
        </w:rPr>
      </w:pPr>
      <w:r w:rsidRPr="009B1AD0">
        <w:rPr>
          <w:rFonts w:ascii="Calibri" w:hAnsi="Calibri"/>
          <w:color w:val="000000"/>
          <w:lang w:val="es-ES"/>
        </w:rPr>
        <w:t xml:space="preserve">El pedido de autorización de salida sin la autorización de ambos padres se hace al juzgado de niñez, ante un juez. El problema es que muchas veces los Jueces se limitan a las excepciones presentes en el Código, donde no figura la violencia o amenaza de un integrante de la familia como una posibilidad de autorizar la salida. </w:t>
      </w:r>
      <w:r>
        <w:rPr>
          <w:rFonts w:ascii="Calibri" w:hAnsi="Calibri"/>
          <w:color w:val="000000"/>
        </w:rPr>
        <w:t xml:space="preserve">El Art. 102-A </w:t>
      </w:r>
      <w:r w:rsidRPr="000D0CBE">
        <w:rPr>
          <w:rFonts w:ascii="Calibri" w:hAnsi="Calibri"/>
          <w:color w:val="000000"/>
          <w:lang w:val="es-AR"/>
        </w:rPr>
        <w:t>establece lo siguiente:</w:t>
      </w:r>
      <w:r>
        <w:rPr>
          <w:rFonts w:ascii="Calibri" w:hAnsi="Calibri"/>
          <w:color w:val="000000"/>
        </w:rPr>
        <w:t xml:space="preserve"> </w:t>
      </w:r>
    </w:p>
    <w:p w14:paraId="7605D2A6" w14:textId="77777777" w:rsidR="009B1AD0" w:rsidRPr="009B1AD0" w:rsidRDefault="001E6913" w:rsidP="000D0CBE">
      <w:pPr>
        <w:pStyle w:val="NormalWeb"/>
        <w:jc w:val="both"/>
        <w:rPr>
          <w:rFonts w:ascii="Calibri" w:hAnsi="Calibri"/>
          <w:color w:val="000000"/>
          <w:lang w:val="es-ES"/>
        </w:rPr>
      </w:pPr>
      <w:r>
        <w:rPr>
          <w:rStyle w:val="Emphasis"/>
          <w:rFonts w:ascii="Calibri" w:hAnsi="Calibri"/>
          <w:color w:val="000000"/>
          <w:lang w:val="es-ES"/>
        </w:rPr>
        <w:t>“</w:t>
      </w:r>
      <w:r w:rsidR="009B1AD0" w:rsidRPr="009B1AD0">
        <w:rPr>
          <w:rStyle w:val="Emphasis"/>
          <w:rFonts w:ascii="Calibri" w:hAnsi="Calibri"/>
          <w:color w:val="000000"/>
          <w:lang w:val="es-ES"/>
        </w:rPr>
        <w:t>Si la patria potestad es ejercida por ambos padres y si uno de ellos se negare a autorizar la salida del país de su hijo (a), podrá él (la) padre o madre, interesado (a) concurrir al (la) Juez (a) competente a fin de que éste le autorice. Lo establecido en este Artículo solamente será aplicable en los casos siguientes:</w:t>
      </w:r>
    </w:p>
    <w:p w14:paraId="586F318D" w14:textId="77777777" w:rsidR="009B1AD0" w:rsidRPr="009B1AD0" w:rsidRDefault="009B1AD0" w:rsidP="000D0CBE">
      <w:pPr>
        <w:pStyle w:val="NormalWeb"/>
        <w:jc w:val="both"/>
        <w:rPr>
          <w:rFonts w:ascii="Calibri" w:hAnsi="Calibri"/>
          <w:color w:val="000000"/>
          <w:lang w:val="es-ES"/>
        </w:rPr>
      </w:pPr>
      <w:r w:rsidRPr="009B1AD0">
        <w:rPr>
          <w:rStyle w:val="Emphasis"/>
          <w:rFonts w:ascii="Calibri" w:hAnsi="Calibri"/>
          <w:color w:val="000000"/>
          <w:lang w:val="es-ES"/>
        </w:rPr>
        <w:t>1) Que sea necesaria su </w:t>
      </w:r>
      <w:r w:rsidRPr="009B1AD0">
        <w:rPr>
          <w:rStyle w:val="Strong"/>
          <w:rFonts w:ascii="Calibri" w:hAnsi="Calibri"/>
          <w:i/>
          <w:iCs/>
          <w:color w:val="000000"/>
          <w:lang w:val="es-ES"/>
        </w:rPr>
        <w:t>atención médica</w:t>
      </w:r>
      <w:r w:rsidRPr="009B1AD0">
        <w:rPr>
          <w:rStyle w:val="Emphasis"/>
          <w:rFonts w:ascii="Calibri" w:hAnsi="Calibri"/>
          <w:color w:val="000000"/>
          <w:lang w:val="es-ES"/>
        </w:rPr>
        <w:t> en el extranjero;</w:t>
      </w:r>
    </w:p>
    <w:p w14:paraId="3CCCD134" w14:textId="77777777" w:rsidR="009B1AD0" w:rsidRPr="009B1AD0" w:rsidRDefault="009B1AD0" w:rsidP="000D0CBE">
      <w:pPr>
        <w:pStyle w:val="NormalWeb"/>
        <w:jc w:val="both"/>
        <w:rPr>
          <w:rFonts w:ascii="Calibri" w:hAnsi="Calibri"/>
          <w:color w:val="000000"/>
          <w:lang w:val="es-ES"/>
        </w:rPr>
      </w:pPr>
      <w:r w:rsidRPr="009B1AD0">
        <w:rPr>
          <w:rStyle w:val="Emphasis"/>
          <w:rFonts w:ascii="Calibri" w:hAnsi="Calibri"/>
          <w:color w:val="000000"/>
          <w:lang w:val="es-ES"/>
        </w:rPr>
        <w:t>2) Estudios, siempre que no haya </w:t>
      </w:r>
      <w:r w:rsidRPr="009B1AD0">
        <w:rPr>
          <w:rStyle w:val="Strong"/>
          <w:rFonts w:ascii="Calibri" w:hAnsi="Calibri"/>
          <w:i/>
          <w:iCs/>
          <w:color w:val="000000"/>
          <w:lang w:val="es-ES"/>
        </w:rPr>
        <w:t>oportunidades de estudio</w:t>
      </w:r>
      <w:r w:rsidRPr="009B1AD0">
        <w:rPr>
          <w:rStyle w:val="Emphasis"/>
          <w:rFonts w:ascii="Calibri" w:hAnsi="Calibri"/>
          <w:color w:val="000000"/>
          <w:lang w:val="es-ES"/>
        </w:rPr>
        <w:t> equivalentes en el país; y,</w:t>
      </w:r>
    </w:p>
    <w:p w14:paraId="18828FB6" w14:textId="77777777" w:rsidR="009B1AD0" w:rsidRDefault="009B1AD0" w:rsidP="000D0CBE">
      <w:pPr>
        <w:pStyle w:val="NormalWeb"/>
        <w:jc w:val="both"/>
        <w:rPr>
          <w:rStyle w:val="Emphasis"/>
          <w:rFonts w:ascii="Calibri" w:hAnsi="Calibri"/>
          <w:color w:val="000000"/>
          <w:lang w:val="es-ES"/>
        </w:rPr>
      </w:pPr>
      <w:r w:rsidRPr="009B1AD0">
        <w:rPr>
          <w:rStyle w:val="Emphasis"/>
          <w:rFonts w:ascii="Calibri" w:hAnsi="Calibri"/>
          <w:color w:val="000000"/>
          <w:lang w:val="es-ES"/>
        </w:rPr>
        <w:t>3) Viajes </w:t>
      </w:r>
      <w:r w:rsidRPr="009B1AD0">
        <w:rPr>
          <w:rStyle w:val="Strong"/>
          <w:rFonts w:ascii="Calibri" w:hAnsi="Calibri"/>
          <w:i/>
          <w:iCs/>
          <w:color w:val="000000"/>
          <w:lang w:val="es-ES"/>
        </w:rPr>
        <w:t>por motivos académicos, deportivos o artísticos</w:t>
      </w:r>
      <w:r w:rsidRPr="009B1AD0">
        <w:rPr>
          <w:rStyle w:val="Emphasis"/>
          <w:rFonts w:ascii="Calibri" w:hAnsi="Calibri"/>
          <w:color w:val="000000"/>
          <w:lang w:val="es-ES"/>
        </w:rPr>
        <w:t>, siempre que sean a cargo de las autoridades educativas, religiosas o federativas, correspondientes o análogas debidamente calificadas.</w:t>
      </w:r>
    </w:p>
    <w:p w14:paraId="63CFE818" w14:textId="77777777" w:rsidR="001E6913" w:rsidRPr="009B1AD0" w:rsidRDefault="001E6913" w:rsidP="000D0CBE">
      <w:pPr>
        <w:pStyle w:val="NormalWeb"/>
        <w:jc w:val="both"/>
        <w:rPr>
          <w:rFonts w:ascii="Calibri" w:hAnsi="Calibri"/>
          <w:color w:val="000000"/>
          <w:lang w:val="es-ES"/>
        </w:rPr>
      </w:pPr>
    </w:p>
    <w:p w14:paraId="3A07DCA7" w14:textId="77777777" w:rsidR="009B1AD0" w:rsidRPr="009B1AD0" w:rsidRDefault="009B1AD0" w:rsidP="000D0CBE">
      <w:pPr>
        <w:pStyle w:val="NormalWeb"/>
        <w:jc w:val="both"/>
        <w:rPr>
          <w:rFonts w:ascii="Calibri" w:hAnsi="Calibri"/>
          <w:color w:val="000000"/>
          <w:lang w:val="es-ES"/>
        </w:rPr>
      </w:pPr>
      <w:r w:rsidRPr="009B1AD0">
        <w:rPr>
          <w:rStyle w:val="Emphasis"/>
          <w:rFonts w:ascii="Calibri" w:hAnsi="Calibri"/>
          <w:color w:val="000000"/>
          <w:lang w:val="es-ES"/>
        </w:rPr>
        <w:t>En la autorización judicial deberá establecerse el destino y duración del viaje, así como el nombre de la persona a cuyo cargo estará el niño (a), en el caso de que no viaje con uno (a) de los padres.</w:t>
      </w:r>
      <w:r w:rsidR="001E6913">
        <w:rPr>
          <w:rStyle w:val="Emphasis"/>
          <w:rFonts w:ascii="Calibri" w:hAnsi="Calibri"/>
          <w:color w:val="000000"/>
          <w:lang w:val="es-ES"/>
        </w:rPr>
        <w:t>”</w:t>
      </w:r>
    </w:p>
    <w:p w14:paraId="5AA8B6C7" w14:textId="77777777" w:rsidR="009B1AD0" w:rsidRPr="009B1AD0" w:rsidRDefault="009B1AD0" w:rsidP="000D0CBE">
      <w:pPr>
        <w:pStyle w:val="NormalWeb"/>
        <w:jc w:val="both"/>
        <w:rPr>
          <w:rFonts w:ascii="Calibri" w:hAnsi="Calibri"/>
          <w:color w:val="000000"/>
          <w:lang w:val="es-ES"/>
        </w:rPr>
      </w:pPr>
      <w:r w:rsidRPr="009B1AD0">
        <w:rPr>
          <w:rStyle w:val="Emphasis"/>
          <w:rFonts w:ascii="Calibri" w:hAnsi="Calibri"/>
          <w:color w:val="000000"/>
          <w:lang w:val="es-ES"/>
        </w:rPr>
        <w:t> </w:t>
      </w:r>
    </w:p>
    <w:p w14:paraId="1578CE68" w14:textId="77777777" w:rsidR="009B1AD0" w:rsidRPr="009B1AD0" w:rsidRDefault="009B1AD0" w:rsidP="000D0CBE">
      <w:pPr>
        <w:pStyle w:val="NormalWeb"/>
        <w:jc w:val="both"/>
        <w:rPr>
          <w:rFonts w:ascii="Calibri" w:hAnsi="Calibri"/>
          <w:color w:val="000000"/>
          <w:lang w:val="es-ES"/>
        </w:rPr>
      </w:pPr>
      <w:r w:rsidRPr="009B1AD0">
        <w:rPr>
          <w:rFonts w:ascii="Calibri" w:hAnsi="Calibri"/>
          <w:color w:val="000000"/>
          <w:lang w:val="es-ES"/>
        </w:rPr>
        <w:t>Ninguna de las causales establecidas podría interpretarse para casos que tienen que salir del país por motivos de violencia. </w:t>
      </w:r>
      <w:r w:rsidR="001E6913">
        <w:rPr>
          <w:rFonts w:ascii="Calibri" w:hAnsi="Calibri"/>
          <w:color w:val="000000"/>
          <w:lang w:val="es-ES"/>
        </w:rPr>
        <w:t>Además, parece implícito que la salida del país se autorizaría por u tiempo limitado.</w:t>
      </w:r>
    </w:p>
    <w:p w14:paraId="569324A7" w14:textId="77777777" w:rsidR="000D0CBE" w:rsidRDefault="009B1AD0" w:rsidP="000D0CBE">
      <w:pPr>
        <w:pStyle w:val="NormalWeb"/>
        <w:jc w:val="both"/>
        <w:rPr>
          <w:rFonts w:ascii="Calibri" w:hAnsi="Calibri"/>
          <w:color w:val="000000"/>
          <w:lang w:val="es-ES"/>
        </w:rPr>
      </w:pPr>
      <w:r w:rsidRPr="009B1AD0">
        <w:rPr>
          <w:rFonts w:ascii="Calibri" w:hAnsi="Calibri"/>
          <w:color w:val="000000"/>
          <w:lang w:val="es-ES"/>
        </w:rPr>
        <w:t> </w:t>
      </w:r>
    </w:p>
    <w:p w14:paraId="65F1EF56" w14:textId="77777777" w:rsidR="001E6913" w:rsidRDefault="001E6913" w:rsidP="000D0CBE">
      <w:pPr>
        <w:pStyle w:val="NormalWeb"/>
        <w:jc w:val="both"/>
        <w:rPr>
          <w:rFonts w:ascii="Calibri" w:hAnsi="Calibri"/>
          <w:color w:val="000000"/>
          <w:lang w:val="es-ES"/>
        </w:rPr>
      </w:pPr>
    </w:p>
    <w:p w14:paraId="0D7799D3" w14:textId="77777777" w:rsidR="000D0CBE" w:rsidRPr="000D0CBE" w:rsidRDefault="000D0CBE" w:rsidP="000D0CBE">
      <w:pPr>
        <w:pStyle w:val="NormalWeb"/>
        <w:numPr>
          <w:ilvl w:val="0"/>
          <w:numId w:val="2"/>
        </w:numPr>
        <w:jc w:val="both"/>
        <w:rPr>
          <w:rFonts w:ascii="Calibri" w:hAnsi="Calibri"/>
          <w:b/>
          <w:color w:val="000000"/>
          <w:lang w:val="es-ES"/>
        </w:rPr>
      </w:pPr>
      <w:r w:rsidRPr="000D0CBE">
        <w:rPr>
          <w:rFonts w:ascii="Calibri" w:hAnsi="Calibri"/>
          <w:b/>
          <w:color w:val="000000"/>
          <w:lang w:val="es-ES"/>
        </w:rPr>
        <w:t>Ley contra la violencia domestica</w:t>
      </w:r>
    </w:p>
    <w:p w14:paraId="4054F67D" w14:textId="77777777" w:rsidR="000D0CBE" w:rsidRDefault="000D0CBE" w:rsidP="000D0CBE">
      <w:pPr>
        <w:pStyle w:val="NormalWeb"/>
        <w:ind w:left="420"/>
        <w:jc w:val="both"/>
        <w:rPr>
          <w:rFonts w:ascii="Calibri" w:hAnsi="Calibri"/>
          <w:color w:val="000000"/>
          <w:lang w:val="es-ES"/>
        </w:rPr>
      </w:pPr>
    </w:p>
    <w:p w14:paraId="1680F427" w14:textId="77777777" w:rsidR="000D0CBE" w:rsidRDefault="009B1AD0" w:rsidP="000D0CBE">
      <w:pPr>
        <w:pStyle w:val="NormalWeb"/>
        <w:jc w:val="both"/>
        <w:rPr>
          <w:rStyle w:val="Emphasis"/>
          <w:rFonts w:ascii="Calibri" w:hAnsi="Calibri"/>
          <w:color w:val="000000"/>
          <w:lang w:val="es-ES"/>
        </w:rPr>
      </w:pPr>
      <w:r w:rsidRPr="009B1AD0">
        <w:rPr>
          <w:rFonts w:ascii="Calibri" w:hAnsi="Calibri"/>
          <w:color w:val="000000"/>
          <w:lang w:val="es-ES"/>
        </w:rPr>
        <w:t>En la </w:t>
      </w:r>
      <w:r w:rsidRPr="000D0CBE">
        <w:rPr>
          <w:rStyle w:val="Strong"/>
          <w:rFonts w:ascii="Calibri" w:hAnsi="Calibri"/>
          <w:b w:val="0"/>
          <w:color w:val="000000"/>
          <w:lang w:val="es-ES"/>
        </w:rPr>
        <w:t>Ley contra la violencia doméstica</w:t>
      </w:r>
      <w:r w:rsidRPr="009B1AD0">
        <w:rPr>
          <w:rFonts w:ascii="Calibri" w:hAnsi="Calibri"/>
          <w:color w:val="000000"/>
          <w:lang w:val="es-ES"/>
        </w:rPr>
        <w:t>, se establece den</w:t>
      </w:r>
      <w:r w:rsidR="001E6913">
        <w:rPr>
          <w:rFonts w:ascii="Calibri" w:hAnsi="Calibri"/>
          <w:color w:val="000000"/>
          <w:lang w:val="es-ES"/>
        </w:rPr>
        <w:t xml:space="preserve">tro de las  Medidas Cautelares, </w:t>
      </w:r>
      <w:r w:rsidRPr="009B1AD0">
        <w:rPr>
          <w:rFonts w:ascii="Calibri" w:hAnsi="Calibri"/>
          <w:color w:val="000000"/>
          <w:lang w:val="es-ES"/>
        </w:rPr>
        <w:t>Art. 6</w:t>
      </w:r>
      <w:r w:rsidR="001E6913">
        <w:rPr>
          <w:rFonts w:ascii="Calibri" w:hAnsi="Calibri"/>
          <w:color w:val="000000"/>
          <w:lang w:val="es-ES"/>
        </w:rPr>
        <w:t>:</w:t>
      </w:r>
      <w:r w:rsidRPr="009B1AD0">
        <w:rPr>
          <w:rFonts w:ascii="Calibri" w:hAnsi="Calibri"/>
          <w:color w:val="000000"/>
          <w:lang w:val="es-ES"/>
        </w:rPr>
        <w:t xml:space="preserve"> </w:t>
      </w:r>
      <w:r w:rsidR="001E6913">
        <w:rPr>
          <w:rFonts w:ascii="Calibri" w:hAnsi="Calibri"/>
          <w:color w:val="000000"/>
          <w:lang w:val="es-ES"/>
        </w:rPr>
        <w:t>“</w:t>
      </w:r>
      <w:r w:rsidRPr="009B1AD0">
        <w:rPr>
          <w:rStyle w:val="Emphasis"/>
          <w:rFonts w:ascii="Calibri" w:hAnsi="Calibri"/>
          <w:color w:val="000000"/>
          <w:lang w:val="es-ES"/>
        </w:rPr>
        <w:t xml:space="preserve">Establecer la guarda y cuidado provisional de los hijos e hijas menores de edad a cargo de la </w:t>
      </w:r>
      <w:r w:rsidRPr="009B1AD0">
        <w:rPr>
          <w:rStyle w:val="Emphasis"/>
          <w:rFonts w:ascii="Calibri" w:hAnsi="Calibri"/>
          <w:color w:val="000000"/>
          <w:lang w:val="es-ES"/>
        </w:rPr>
        <w:lastRenderedPageBreak/>
        <w:t>afectada. Sin embargo ésta podrá otorgarse a terceras personas a petición de la madre. Cuando proceda se podrá establecer un régimen especial de visitas para el padre.</w:t>
      </w:r>
      <w:r w:rsidR="001E6913">
        <w:rPr>
          <w:rStyle w:val="Emphasis"/>
          <w:rFonts w:ascii="Calibri" w:hAnsi="Calibri"/>
          <w:color w:val="000000"/>
          <w:lang w:val="es-ES"/>
        </w:rPr>
        <w:t>”</w:t>
      </w:r>
      <w:r w:rsidRPr="009B1AD0">
        <w:rPr>
          <w:rStyle w:val="Emphasis"/>
          <w:rFonts w:ascii="Calibri" w:hAnsi="Calibri"/>
          <w:color w:val="000000"/>
          <w:lang w:val="es-ES"/>
        </w:rPr>
        <w:t> </w:t>
      </w:r>
    </w:p>
    <w:p w14:paraId="6C232E5E" w14:textId="77777777" w:rsidR="0028766A" w:rsidRDefault="000D0CBE" w:rsidP="000D0CBE">
      <w:pPr>
        <w:pStyle w:val="NormalWeb"/>
        <w:jc w:val="both"/>
        <w:rPr>
          <w:rFonts w:ascii="Calibri" w:hAnsi="Calibri"/>
          <w:color w:val="000000"/>
          <w:lang w:val="es-ES"/>
        </w:rPr>
      </w:pPr>
      <w:r>
        <w:rPr>
          <w:rFonts w:ascii="Calibri" w:hAnsi="Calibri"/>
          <w:color w:val="000000"/>
          <w:lang w:val="es-ES"/>
        </w:rPr>
        <w:t>La</w:t>
      </w:r>
      <w:r w:rsidR="009B1AD0" w:rsidRPr="009B1AD0">
        <w:rPr>
          <w:rFonts w:ascii="Calibri" w:hAnsi="Calibri"/>
          <w:color w:val="000000"/>
          <w:lang w:val="es-ES"/>
        </w:rPr>
        <w:t xml:space="preserve"> guarda y cuidado provisional </w:t>
      </w:r>
      <w:r w:rsidR="0028766A">
        <w:rPr>
          <w:rFonts w:ascii="Calibri" w:hAnsi="Calibri"/>
          <w:color w:val="000000"/>
          <w:lang w:val="es-ES"/>
        </w:rPr>
        <w:t>no autorizarían, en principio,</w:t>
      </w:r>
      <w:r w:rsidR="009B1AD0" w:rsidRPr="009B1AD0">
        <w:rPr>
          <w:rFonts w:ascii="Calibri" w:hAnsi="Calibri"/>
          <w:color w:val="000000"/>
          <w:lang w:val="es-ES"/>
        </w:rPr>
        <w:t xml:space="preserve"> </w:t>
      </w:r>
      <w:r w:rsidR="0028766A">
        <w:rPr>
          <w:rFonts w:ascii="Calibri" w:hAnsi="Calibri"/>
          <w:color w:val="000000"/>
          <w:lang w:val="es-ES"/>
        </w:rPr>
        <w:t>la salida</w:t>
      </w:r>
      <w:r w:rsidR="009B1AD0" w:rsidRPr="009B1AD0">
        <w:rPr>
          <w:rFonts w:ascii="Calibri" w:hAnsi="Calibri"/>
          <w:color w:val="000000"/>
          <w:lang w:val="es-ES"/>
        </w:rPr>
        <w:t xml:space="preserve"> del país e implicaría que tenga que haber una denuncia previa por violencia doméstica. Las medidas cautelares además tienen una duración máxima de 6 meses.</w:t>
      </w:r>
      <w:r w:rsidR="0028766A">
        <w:rPr>
          <w:rFonts w:ascii="Calibri" w:hAnsi="Calibri"/>
          <w:color w:val="000000"/>
          <w:lang w:val="es-ES"/>
        </w:rPr>
        <w:t xml:space="preserve"> </w:t>
      </w:r>
    </w:p>
    <w:p w14:paraId="1CB6C0D0" w14:textId="77777777" w:rsidR="0028766A" w:rsidRDefault="0028766A" w:rsidP="000D0CBE">
      <w:pPr>
        <w:pStyle w:val="NormalWeb"/>
        <w:jc w:val="both"/>
        <w:rPr>
          <w:rFonts w:ascii="Calibri" w:hAnsi="Calibri"/>
          <w:color w:val="000000"/>
          <w:lang w:val="es-ES"/>
        </w:rPr>
      </w:pPr>
    </w:p>
    <w:p w14:paraId="2A0FBE5C" w14:textId="77777777" w:rsidR="009B1AD0" w:rsidRPr="009B1AD0" w:rsidRDefault="0028766A" w:rsidP="000D0CBE">
      <w:pPr>
        <w:pStyle w:val="NormalWeb"/>
        <w:jc w:val="both"/>
        <w:rPr>
          <w:rFonts w:ascii="Calibri" w:hAnsi="Calibri"/>
          <w:color w:val="000000"/>
          <w:lang w:val="es-ES"/>
        </w:rPr>
      </w:pPr>
      <w:r>
        <w:rPr>
          <w:rFonts w:ascii="Calibri" w:hAnsi="Calibri"/>
          <w:color w:val="000000"/>
          <w:lang w:val="es-ES"/>
        </w:rPr>
        <w:t>Sin embargo, es importante documentar los casos de violencia doméstica, o violencia en general, ya que pueden tener una cierta influencia en los dos últimos puntos.</w:t>
      </w:r>
    </w:p>
    <w:p w14:paraId="39069E3F" w14:textId="77777777" w:rsidR="009B1AD0" w:rsidRDefault="009B1AD0" w:rsidP="000D0CBE">
      <w:pPr>
        <w:pStyle w:val="NormalWeb"/>
        <w:jc w:val="both"/>
        <w:rPr>
          <w:rFonts w:ascii="Calibri" w:hAnsi="Calibri"/>
          <w:color w:val="000000"/>
          <w:lang w:val="es-ES"/>
        </w:rPr>
      </w:pPr>
      <w:r w:rsidRPr="009B1AD0">
        <w:rPr>
          <w:rFonts w:ascii="Calibri" w:hAnsi="Calibri"/>
          <w:color w:val="000000"/>
          <w:lang w:val="es-ES"/>
        </w:rPr>
        <w:t> </w:t>
      </w:r>
    </w:p>
    <w:p w14:paraId="4DF1B406" w14:textId="77777777" w:rsidR="001E6913" w:rsidRPr="009B1AD0" w:rsidRDefault="001E6913" w:rsidP="000D0CBE">
      <w:pPr>
        <w:pStyle w:val="NormalWeb"/>
        <w:jc w:val="both"/>
        <w:rPr>
          <w:rFonts w:ascii="Calibri" w:hAnsi="Calibri"/>
          <w:color w:val="000000"/>
          <w:lang w:val="es-ES"/>
        </w:rPr>
      </w:pPr>
    </w:p>
    <w:p w14:paraId="4C941B8D" w14:textId="77777777" w:rsidR="0028766A" w:rsidRPr="0028766A" w:rsidRDefault="0028766A" w:rsidP="0028766A">
      <w:pPr>
        <w:pStyle w:val="NormalWeb"/>
        <w:numPr>
          <w:ilvl w:val="0"/>
          <w:numId w:val="2"/>
        </w:numPr>
        <w:jc w:val="both"/>
        <w:rPr>
          <w:rFonts w:ascii="Calibri" w:hAnsi="Calibri"/>
          <w:b/>
          <w:color w:val="000000"/>
          <w:lang w:val="es-ES"/>
        </w:rPr>
      </w:pPr>
      <w:r w:rsidRPr="0028766A">
        <w:rPr>
          <w:rFonts w:ascii="Calibri" w:hAnsi="Calibri"/>
          <w:b/>
          <w:color w:val="000000"/>
          <w:lang w:val="es-ES"/>
        </w:rPr>
        <w:t>Código de Familia</w:t>
      </w:r>
    </w:p>
    <w:p w14:paraId="68F1D41A" w14:textId="77777777" w:rsidR="0028766A" w:rsidRDefault="0028766A" w:rsidP="0028766A">
      <w:pPr>
        <w:pStyle w:val="NormalWeb"/>
        <w:ind w:left="420"/>
        <w:jc w:val="both"/>
        <w:rPr>
          <w:rFonts w:ascii="Calibri" w:hAnsi="Calibri"/>
          <w:color w:val="000000"/>
          <w:lang w:val="es-ES"/>
        </w:rPr>
      </w:pPr>
    </w:p>
    <w:p w14:paraId="2062C828" w14:textId="77777777" w:rsidR="009B1AD0" w:rsidRPr="009B1AD0" w:rsidRDefault="009B1AD0" w:rsidP="000D0CBE">
      <w:pPr>
        <w:pStyle w:val="NormalWeb"/>
        <w:jc w:val="both"/>
        <w:rPr>
          <w:rFonts w:ascii="Calibri" w:hAnsi="Calibri"/>
          <w:color w:val="000000"/>
          <w:lang w:val="es-ES"/>
        </w:rPr>
      </w:pPr>
      <w:r w:rsidRPr="009B1AD0">
        <w:rPr>
          <w:rFonts w:ascii="Calibri" w:hAnsi="Calibri"/>
          <w:color w:val="000000"/>
          <w:lang w:val="es-ES"/>
        </w:rPr>
        <w:t xml:space="preserve">Otra alternativa </w:t>
      </w:r>
      <w:r w:rsidR="0028766A">
        <w:rPr>
          <w:rFonts w:ascii="Calibri" w:hAnsi="Calibri"/>
          <w:color w:val="000000"/>
          <w:lang w:val="es-ES"/>
        </w:rPr>
        <w:t>son las opciones desarrolladas en</w:t>
      </w:r>
      <w:r w:rsidRPr="009B1AD0">
        <w:rPr>
          <w:rFonts w:ascii="Calibri" w:hAnsi="Calibri"/>
          <w:color w:val="000000"/>
          <w:lang w:val="es-ES"/>
        </w:rPr>
        <w:t xml:space="preserve"> el Código de Familia,</w:t>
      </w:r>
      <w:r w:rsidR="0028766A">
        <w:rPr>
          <w:rFonts w:ascii="Calibri" w:hAnsi="Calibri"/>
          <w:color w:val="000000"/>
          <w:lang w:val="es-ES"/>
        </w:rPr>
        <w:t xml:space="preserve"> como la extinción, suspensión y pérdida de patria potestad.</w:t>
      </w:r>
      <w:r w:rsidRPr="009B1AD0">
        <w:rPr>
          <w:rStyle w:val="Strong"/>
          <w:rFonts w:ascii="Calibri" w:hAnsi="Calibri"/>
          <w:color w:val="000000"/>
          <w:lang w:val="es-ES"/>
        </w:rPr>
        <w:t> </w:t>
      </w:r>
      <w:r w:rsidR="0028766A">
        <w:rPr>
          <w:rFonts w:ascii="Calibri" w:hAnsi="Calibri"/>
          <w:color w:val="000000"/>
          <w:lang w:val="es-ES"/>
        </w:rPr>
        <w:t>Se trata de</w:t>
      </w:r>
      <w:r w:rsidRPr="009B1AD0">
        <w:rPr>
          <w:rFonts w:ascii="Calibri" w:hAnsi="Calibri"/>
          <w:color w:val="000000"/>
          <w:lang w:val="es-ES"/>
        </w:rPr>
        <w:t xml:space="preserve"> procedimiento</w:t>
      </w:r>
      <w:r w:rsidR="0028766A">
        <w:rPr>
          <w:rFonts w:ascii="Calibri" w:hAnsi="Calibri"/>
          <w:color w:val="000000"/>
          <w:lang w:val="es-ES"/>
        </w:rPr>
        <w:t>s</w:t>
      </w:r>
      <w:r w:rsidRPr="009B1AD0">
        <w:rPr>
          <w:rFonts w:ascii="Calibri" w:hAnsi="Calibri"/>
          <w:color w:val="000000"/>
          <w:lang w:val="es-ES"/>
        </w:rPr>
        <w:t xml:space="preserve"> judicial</w:t>
      </w:r>
      <w:r w:rsidR="0028766A">
        <w:rPr>
          <w:rFonts w:ascii="Calibri" w:hAnsi="Calibri"/>
          <w:color w:val="000000"/>
          <w:lang w:val="es-ES"/>
        </w:rPr>
        <w:t>es</w:t>
      </w:r>
      <w:r w:rsidRPr="009B1AD0">
        <w:rPr>
          <w:rFonts w:ascii="Calibri" w:hAnsi="Calibri"/>
          <w:color w:val="000000"/>
          <w:lang w:val="es-ES"/>
        </w:rPr>
        <w:t xml:space="preserve"> que se hace</w:t>
      </w:r>
      <w:r w:rsidR="0028766A">
        <w:rPr>
          <w:rFonts w:ascii="Calibri" w:hAnsi="Calibri"/>
          <w:color w:val="000000"/>
          <w:lang w:val="es-ES"/>
        </w:rPr>
        <w:t>n</w:t>
      </w:r>
      <w:r w:rsidRPr="009B1AD0">
        <w:rPr>
          <w:rFonts w:ascii="Calibri" w:hAnsi="Calibri"/>
          <w:color w:val="000000"/>
          <w:lang w:val="es-ES"/>
        </w:rPr>
        <w:t xml:space="preserve"> ante el juez de familia, se necesita </w:t>
      </w:r>
      <w:r w:rsidR="0028766A">
        <w:rPr>
          <w:rFonts w:ascii="Calibri" w:hAnsi="Calibri"/>
          <w:color w:val="000000"/>
          <w:lang w:val="es-ES"/>
        </w:rPr>
        <w:t xml:space="preserve">un </w:t>
      </w:r>
      <w:r w:rsidRPr="009B1AD0">
        <w:rPr>
          <w:rFonts w:ascii="Calibri" w:hAnsi="Calibri"/>
          <w:color w:val="000000"/>
          <w:lang w:val="es-ES"/>
        </w:rPr>
        <w:t>abogado y puede</w:t>
      </w:r>
      <w:r w:rsidR="0028766A">
        <w:rPr>
          <w:rFonts w:ascii="Calibri" w:hAnsi="Calibri"/>
          <w:color w:val="000000"/>
          <w:lang w:val="es-ES"/>
        </w:rPr>
        <w:t>n</w:t>
      </w:r>
      <w:r w:rsidRPr="009B1AD0">
        <w:rPr>
          <w:rFonts w:ascii="Calibri" w:hAnsi="Calibri"/>
          <w:color w:val="000000"/>
          <w:lang w:val="es-ES"/>
        </w:rPr>
        <w:t xml:space="preserve"> tomar meses. En tal caso las posibilidades son las siguientes:</w:t>
      </w:r>
    </w:p>
    <w:p w14:paraId="08A570CA" w14:textId="77777777" w:rsidR="00D24AB3" w:rsidRDefault="00D24AB3" w:rsidP="000D0CBE">
      <w:pPr>
        <w:pStyle w:val="NormalWeb"/>
        <w:jc w:val="both"/>
        <w:rPr>
          <w:rFonts w:ascii="Calibri" w:hAnsi="Calibri"/>
          <w:color w:val="000000"/>
          <w:lang w:val="es-ES"/>
        </w:rPr>
      </w:pPr>
    </w:p>
    <w:p w14:paraId="4DE4A915" w14:textId="77777777" w:rsidR="009B1AD0" w:rsidRPr="009B1AD0" w:rsidRDefault="009B1AD0" w:rsidP="00D24AB3">
      <w:pPr>
        <w:pStyle w:val="NormalWeb"/>
        <w:numPr>
          <w:ilvl w:val="0"/>
          <w:numId w:val="4"/>
        </w:numPr>
        <w:jc w:val="both"/>
        <w:rPr>
          <w:rFonts w:ascii="Calibri" w:hAnsi="Calibri"/>
          <w:color w:val="000000"/>
          <w:lang w:val="es-ES"/>
        </w:rPr>
      </w:pPr>
      <w:r w:rsidRPr="009B1AD0">
        <w:rPr>
          <w:rStyle w:val="Strong"/>
          <w:rFonts w:ascii="Calibri" w:hAnsi="Calibri"/>
          <w:color w:val="000000"/>
          <w:lang w:val="es-ES"/>
        </w:rPr>
        <w:t>Extinción de patria potestad por emancipación</w:t>
      </w:r>
      <w:r w:rsidRPr="009B1AD0">
        <w:rPr>
          <w:rFonts w:ascii="Calibri" w:hAnsi="Calibri"/>
          <w:color w:val="000000"/>
          <w:lang w:val="es-ES"/>
        </w:rPr>
        <w:t xml:space="preserve"> ante un Juez de familia. Esto se refiere principalmente a los jóvenes de entre 18 a 21 años o podría hacerse para NNA de 17 años que ya son independientes. </w:t>
      </w:r>
      <w:r w:rsidR="0028766A">
        <w:rPr>
          <w:rFonts w:ascii="Calibri" w:hAnsi="Calibri"/>
          <w:color w:val="000000"/>
          <w:lang w:val="es-ES"/>
        </w:rPr>
        <w:t xml:space="preserve">Aunque la ley no lo diga claramente, una de las condiciones esenciales es que los adolescentes estén casados, ya que sin esa condición es difícil extinguir la patria potestad. </w:t>
      </w:r>
      <w:r w:rsidRPr="009B1AD0">
        <w:rPr>
          <w:rFonts w:ascii="Calibri" w:hAnsi="Calibri"/>
          <w:color w:val="000000"/>
          <w:lang w:val="es-ES"/>
        </w:rPr>
        <w:t>Es un procedimiento que toma aproximadamente 2 meses.</w:t>
      </w:r>
    </w:p>
    <w:p w14:paraId="58377134" w14:textId="77777777" w:rsidR="00D24AB3" w:rsidRDefault="00D24AB3" w:rsidP="000D0CBE">
      <w:pPr>
        <w:pStyle w:val="NormalWeb"/>
        <w:jc w:val="both"/>
        <w:rPr>
          <w:rFonts w:ascii="Calibri" w:hAnsi="Calibri"/>
          <w:color w:val="000000"/>
          <w:lang w:val="es-ES"/>
        </w:rPr>
      </w:pPr>
    </w:p>
    <w:p w14:paraId="61FECB47" w14:textId="77777777" w:rsidR="009B1AD0" w:rsidRDefault="00D24AB3" w:rsidP="00D24AB3">
      <w:pPr>
        <w:pStyle w:val="NormalWeb"/>
        <w:numPr>
          <w:ilvl w:val="0"/>
          <w:numId w:val="4"/>
        </w:numPr>
        <w:jc w:val="both"/>
        <w:rPr>
          <w:rFonts w:ascii="Calibri" w:hAnsi="Calibri"/>
          <w:color w:val="000000"/>
          <w:lang w:val="es-ES"/>
        </w:rPr>
      </w:pPr>
      <w:r w:rsidRPr="009B1AD0">
        <w:rPr>
          <w:rStyle w:val="Strong"/>
          <w:rFonts w:ascii="Calibri" w:hAnsi="Calibri"/>
          <w:color w:val="000000"/>
          <w:lang w:val="es-ES"/>
        </w:rPr>
        <w:t>Pérdida</w:t>
      </w:r>
      <w:r w:rsidR="009B1AD0" w:rsidRPr="009B1AD0">
        <w:rPr>
          <w:rStyle w:val="Strong"/>
          <w:rFonts w:ascii="Calibri" w:hAnsi="Calibri"/>
          <w:color w:val="000000"/>
          <w:lang w:val="es-ES"/>
        </w:rPr>
        <w:t xml:space="preserve"> de la patria potestad por maltrato o abandono </w:t>
      </w:r>
      <w:r>
        <w:rPr>
          <w:rFonts w:ascii="Calibri" w:hAnsi="Calibri"/>
          <w:color w:val="000000"/>
          <w:lang w:val="es-ES"/>
        </w:rPr>
        <w:t>ante un Juez de familia. En</w:t>
      </w:r>
      <w:r w:rsidR="009B1AD0" w:rsidRPr="009B1AD0">
        <w:rPr>
          <w:rFonts w:ascii="Calibri" w:hAnsi="Calibri"/>
          <w:color w:val="000000"/>
          <w:lang w:val="es-ES"/>
        </w:rPr>
        <w:t xml:space="preserve"> tal caso habrá que acreditar la amenaza y seguir ese procedimiento que puede tomar entre 3 y 6 meses. Se lo puede también pedir automáticamente si uno de los padres ha sido condenado 2 veces por delitos de orden común (si pena supera 3 años). Esa podría ser una apertura para los hijos de mareros condenados por ejemplo. </w:t>
      </w:r>
      <w:r>
        <w:rPr>
          <w:rFonts w:ascii="Calibri" w:hAnsi="Calibri"/>
          <w:color w:val="000000"/>
          <w:lang w:val="es-ES"/>
        </w:rPr>
        <w:t xml:space="preserve">También se podría vincular esa opción con los casos de violencia doméstica. </w:t>
      </w:r>
    </w:p>
    <w:p w14:paraId="06C95882" w14:textId="77777777" w:rsidR="00D24AB3" w:rsidRPr="009B1AD0" w:rsidRDefault="00D24AB3" w:rsidP="00D24AB3">
      <w:pPr>
        <w:pStyle w:val="NormalWeb"/>
        <w:jc w:val="both"/>
        <w:rPr>
          <w:rFonts w:ascii="Calibri" w:hAnsi="Calibri"/>
          <w:color w:val="000000"/>
          <w:lang w:val="es-ES"/>
        </w:rPr>
      </w:pPr>
    </w:p>
    <w:p w14:paraId="75553469" w14:textId="77777777" w:rsidR="009B1AD0" w:rsidRPr="009B1AD0" w:rsidRDefault="009B1AD0" w:rsidP="00D24AB3">
      <w:pPr>
        <w:pStyle w:val="NormalWeb"/>
        <w:numPr>
          <w:ilvl w:val="0"/>
          <w:numId w:val="4"/>
        </w:numPr>
        <w:jc w:val="both"/>
        <w:rPr>
          <w:rFonts w:ascii="Calibri" w:hAnsi="Calibri"/>
          <w:color w:val="000000"/>
          <w:lang w:val="es-ES"/>
        </w:rPr>
      </w:pPr>
      <w:r w:rsidRPr="009B1AD0">
        <w:rPr>
          <w:rStyle w:val="Strong"/>
          <w:rFonts w:ascii="Calibri" w:hAnsi="Calibri"/>
          <w:color w:val="000000"/>
          <w:lang w:val="es-ES"/>
        </w:rPr>
        <w:t xml:space="preserve">Suspensión de patria potestad por ausencia o abandono </w:t>
      </w:r>
      <w:r w:rsidR="00D24AB3">
        <w:rPr>
          <w:rFonts w:ascii="Calibri" w:hAnsi="Calibri"/>
          <w:color w:val="000000"/>
          <w:lang w:val="es-ES"/>
        </w:rPr>
        <w:t xml:space="preserve">(incumplimiento de deberes de </w:t>
      </w:r>
      <w:r w:rsidRPr="009B1AD0">
        <w:rPr>
          <w:rFonts w:ascii="Calibri" w:hAnsi="Calibri"/>
          <w:color w:val="000000"/>
          <w:lang w:val="es-ES"/>
        </w:rPr>
        <w:t xml:space="preserve">padres), siempre ante un juez de familia. Ese procedimiento es, en teoría, más corto (entre 2 y 4 meses) y se puede pedir automáticamente si el padre ha sido ausente por 2 años. </w:t>
      </w:r>
    </w:p>
    <w:p w14:paraId="60C8A165" w14:textId="77777777" w:rsidR="00D24AB3" w:rsidRDefault="00D24AB3" w:rsidP="000D0CBE">
      <w:pPr>
        <w:pStyle w:val="NormalWeb"/>
        <w:jc w:val="both"/>
        <w:rPr>
          <w:rFonts w:ascii="Calibri" w:hAnsi="Calibri"/>
          <w:color w:val="000000"/>
          <w:lang w:val="es-ES"/>
        </w:rPr>
      </w:pPr>
    </w:p>
    <w:p w14:paraId="0BE48646" w14:textId="77777777" w:rsidR="00811553" w:rsidRPr="00E1307B" w:rsidRDefault="00811553" w:rsidP="000D0CBE">
      <w:pPr>
        <w:pStyle w:val="NormalWeb"/>
        <w:jc w:val="both"/>
        <w:rPr>
          <w:rFonts w:ascii="Calibri" w:hAnsi="Calibri"/>
          <w:color w:val="000000"/>
          <w:lang w:val="es-ES"/>
        </w:rPr>
      </w:pPr>
      <w:r>
        <w:rPr>
          <w:rFonts w:ascii="Calibri" w:hAnsi="Calibri"/>
          <w:color w:val="000000"/>
          <w:lang w:val="es-ES"/>
        </w:rPr>
        <w:t>El articulo 204 especifica que</w:t>
      </w:r>
      <w:r w:rsidR="00E1307B">
        <w:rPr>
          <w:rFonts w:ascii="Calibri" w:hAnsi="Calibri"/>
          <w:color w:val="000000"/>
          <w:lang w:val="es-ES"/>
        </w:rPr>
        <w:t xml:space="preserve"> solo</w:t>
      </w:r>
      <w:r>
        <w:rPr>
          <w:rFonts w:ascii="Calibri" w:hAnsi="Calibri"/>
          <w:color w:val="000000"/>
          <w:lang w:val="es-ES"/>
        </w:rPr>
        <w:t xml:space="preserve"> </w:t>
      </w:r>
      <w:r w:rsidR="00E1307B" w:rsidRPr="00E1307B">
        <w:rPr>
          <w:rFonts w:ascii="Calibri" w:hAnsi="Calibri"/>
          <w:i/>
          <w:color w:val="000000"/>
          <w:lang w:val="es-ES"/>
        </w:rPr>
        <w:t>“…</w:t>
      </w:r>
      <w:r w:rsidRPr="00E1307B">
        <w:rPr>
          <w:rFonts w:ascii="Calibri" w:hAnsi="Calibri"/>
          <w:i/>
          <w:color w:val="000000"/>
          <w:lang w:val="es-ES"/>
        </w:rPr>
        <w:t>los ascendientes del menor, sus parientes colaterales dentro del cuarto grado de consanguinidad y el Ministerio Público</w:t>
      </w:r>
      <w:r w:rsidR="00E1307B" w:rsidRPr="00E1307B">
        <w:rPr>
          <w:rFonts w:ascii="Calibri" w:hAnsi="Calibri"/>
          <w:i/>
          <w:color w:val="000000"/>
          <w:lang w:val="es-ES"/>
        </w:rPr>
        <w:t>”</w:t>
      </w:r>
      <w:r w:rsidR="00E1307B">
        <w:rPr>
          <w:rFonts w:ascii="Calibri" w:hAnsi="Calibri"/>
          <w:i/>
          <w:color w:val="000000"/>
          <w:lang w:val="es-ES"/>
        </w:rPr>
        <w:t xml:space="preserve"> </w:t>
      </w:r>
      <w:r w:rsidR="00E1307B">
        <w:rPr>
          <w:rFonts w:ascii="Calibri" w:hAnsi="Calibri"/>
          <w:color w:val="000000"/>
          <w:lang w:val="es-ES"/>
        </w:rPr>
        <w:t xml:space="preserve">pueden promover esos procedimientos. </w:t>
      </w:r>
    </w:p>
    <w:p w14:paraId="58FFD217" w14:textId="77777777" w:rsidR="001E6913" w:rsidRDefault="001E6913" w:rsidP="000D0CBE">
      <w:pPr>
        <w:pStyle w:val="NormalWeb"/>
        <w:jc w:val="both"/>
        <w:rPr>
          <w:rFonts w:ascii="Calibri" w:hAnsi="Calibri"/>
          <w:color w:val="000000"/>
          <w:lang w:val="es-ES"/>
        </w:rPr>
      </w:pPr>
    </w:p>
    <w:p w14:paraId="692BB211" w14:textId="77777777" w:rsidR="002174BD" w:rsidRPr="001E6913" w:rsidRDefault="00D24AB3" w:rsidP="00D24AB3">
      <w:pPr>
        <w:pStyle w:val="ListParagraph"/>
        <w:numPr>
          <w:ilvl w:val="0"/>
          <w:numId w:val="2"/>
        </w:numPr>
        <w:jc w:val="both"/>
        <w:rPr>
          <w:b/>
          <w:sz w:val="24"/>
          <w:szCs w:val="24"/>
          <w:lang w:val="es-ES"/>
        </w:rPr>
      </w:pPr>
      <w:r w:rsidRPr="001E6913">
        <w:rPr>
          <w:b/>
          <w:sz w:val="24"/>
          <w:szCs w:val="24"/>
          <w:lang w:val="es-ES"/>
        </w:rPr>
        <w:t>Procedimientos judiciales ad hoc ante un Juez de familia</w:t>
      </w:r>
    </w:p>
    <w:p w14:paraId="4C5B1DBA" w14:textId="77777777" w:rsidR="000D0CBE" w:rsidRDefault="000D0CBE" w:rsidP="000D0CBE">
      <w:pPr>
        <w:pStyle w:val="NormalWeb"/>
        <w:jc w:val="both"/>
        <w:rPr>
          <w:rFonts w:ascii="Calibri" w:hAnsi="Calibri"/>
          <w:color w:val="000000"/>
          <w:lang w:val="es-ES"/>
        </w:rPr>
      </w:pPr>
      <w:r w:rsidRPr="009B1AD0">
        <w:rPr>
          <w:rFonts w:ascii="Calibri" w:hAnsi="Calibri"/>
          <w:color w:val="000000"/>
          <w:lang w:val="es-ES"/>
        </w:rPr>
        <w:t xml:space="preserve">Existe un procedimiento Ad Hoc donde la madre/padre puede solicitar una audiencia ante el Juez para plantearle el caso, pero depende si el Juez interpreta de manera demasiado estricta el Art 102 </w:t>
      </w:r>
      <w:r w:rsidR="00D24AB3">
        <w:rPr>
          <w:rFonts w:ascii="Calibri" w:hAnsi="Calibri"/>
          <w:color w:val="000000"/>
          <w:lang w:val="es-ES"/>
        </w:rPr>
        <w:t xml:space="preserve">del Código de la Niñez </w:t>
      </w:r>
      <w:r w:rsidRPr="009B1AD0">
        <w:rPr>
          <w:rFonts w:ascii="Calibri" w:hAnsi="Calibri"/>
          <w:color w:val="000000"/>
          <w:lang w:val="es-ES"/>
        </w:rPr>
        <w:t xml:space="preserve">o si ve más allá de eso. Por ahora es una alternativa Ad Hoc que toma </w:t>
      </w:r>
      <w:r w:rsidRPr="009B1AD0">
        <w:rPr>
          <w:rFonts w:ascii="Calibri" w:hAnsi="Calibri"/>
          <w:color w:val="000000"/>
          <w:lang w:val="es-ES"/>
        </w:rPr>
        <w:lastRenderedPageBreak/>
        <w:t xml:space="preserve">menos tiempo que pasar por el Juez de familia, pero que no funciona siempre. De hecho, en ciertos casos la DINAF planteo que era más fácil que ellos hagan de mediadores para conseguir la dicha autorización. </w:t>
      </w:r>
    </w:p>
    <w:p w14:paraId="5E904375" w14:textId="77777777" w:rsidR="00D24AB3" w:rsidRDefault="00D24AB3" w:rsidP="000D0CBE">
      <w:pPr>
        <w:pStyle w:val="NormalWeb"/>
        <w:jc w:val="both"/>
        <w:rPr>
          <w:rFonts w:ascii="Calibri" w:hAnsi="Calibri"/>
          <w:color w:val="000000"/>
          <w:lang w:val="es-ES"/>
        </w:rPr>
      </w:pPr>
    </w:p>
    <w:p w14:paraId="5F78C601" w14:textId="77777777" w:rsidR="00D24AB3" w:rsidRDefault="00D24AB3" w:rsidP="000D0CBE">
      <w:pPr>
        <w:pStyle w:val="NormalWeb"/>
        <w:jc w:val="both"/>
        <w:rPr>
          <w:rFonts w:ascii="Calibri" w:hAnsi="Calibri"/>
          <w:color w:val="000000"/>
          <w:lang w:val="es-ES"/>
        </w:rPr>
      </w:pPr>
      <w:r>
        <w:rPr>
          <w:rFonts w:ascii="Calibri" w:hAnsi="Calibri"/>
          <w:color w:val="000000"/>
          <w:lang w:val="es-ES"/>
        </w:rPr>
        <w:t xml:space="preserve">Sin embargo, con un sistema de evaluación y determinación del interés superior del niño sistematizado y con el apoyo de la fiscalía de la niñez, se podría facilitar las autorizaciones de salida en base al principio del interés superior del niño. </w:t>
      </w:r>
    </w:p>
    <w:p w14:paraId="375100C9" w14:textId="77777777" w:rsidR="00D24AB3" w:rsidRDefault="00D24AB3" w:rsidP="000D0CBE">
      <w:pPr>
        <w:pStyle w:val="NormalWeb"/>
        <w:jc w:val="both"/>
        <w:rPr>
          <w:rFonts w:ascii="Calibri" w:hAnsi="Calibri"/>
          <w:color w:val="000000"/>
          <w:lang w:val="es-ES"/>
        </w:rPr>
      </w:pPr>
    </w:p>
    <w:p w14:paraId="3997F27E" w14:textId="77777777" w:rsidR="001E6913" w:rsidRDefault="00D24AB3" w:rsidP="00D24AB3">
      <w:pPr>
        <w:pStyle w:val="NormalWeb"/>
        <w:jc w:val="both"/>
        <w:rPr>
          <w:rFonts w:ascii="Calibri" w:hAnsi="Calibri"/>
          <w:color w:val="000000"/>
          <w:lang w:val="es-ES"/>
        </w:rPr>
      </w:pPr>
      <w:r>
        <w:rPr>
          <w:rFonts w:ascii="Calibri" w:hAnsi="Calibri"/>
          <w:color w:val="000000"/>
          <w:lang w:val="es-ES"/>
        </w:rPr>
        <w:t>El interés superior del niño es un principio que tiene que ser reflejado en la legislación nacional y e</w:t>
      </w:r>
      <w:r w:rsidRPr="00D24AB3">
        <w:rPr>
          <w:rFonts w:ascii="Calibri" w:hAnsi="Calibri"/>
          <w:color w:val="000000"/>
          <w:lang w:val="es-ES"/>
        </w:rPr>
        <w:t>scrito de forma tal que permita su invocación en los tribunales</w:t>
      </w:r>
      <w:r>
        <w:rPr>
          <w:rFonts w:ascii="Calibri" w:hAnsi="Calibri"/>
          <w:color w:val="000000"/>
          <w:lang w:val="es-ES"/>
        </w:rPr>
        <w:t xml:space="preserve"> de un país. Honduras ha seguido ese requisito ya que, en su versión actualizada de 2014, el Articulo 5 del Código de la Niñez hace referencia al interés superior del niño y establece que</w:t>
      </w:r>
      <w:r w:rsidR="001E6913">
        <w:rPr>
          <w:rFonts w:ascii="Calibri" w:hAnsi="Calibri"/>
          <w:color w:val="000000"/>
          <w:lang w:val="es-ES"/>
        </w:rPr>
        <w:t>:</w:t>
      </w:r>
      <w:r>
        <w:rPr>
          <w:rFonts w:ascii="Calibri" w:hAnsi="Calibri"/>
          <w:color w:val="000000"/>
          <w:lang w:val="es-ES"/>
        </w:rPr>
        <w:t xml:space="preserve"> </w:t>
      </w:r>
    </w:p>
    <w:p w14:paraId="153E8C97" w14:textId="77777777" w:rsidR="001E6913" w:rsidRDefault="00D24AB3" w:rsidP="00D24AB3">
      <w:pPr>
        <w:pStyle w:val="NormalWeb"/>
        <w:jc w:val="both"/>
        <w:rPr>
          <w:rFonts w:ascii="Calibri" w:hAnsi="Calibri"/>
          <w:color w:val="000000"/>
          <w:lang w:val="es-ES"/>
        </w:rPr>
      </w:pPr>
      <w:r w:rsidRPr="00D24AB3">
        <w:rPr>
          <w:rFonts w:ascii="Calibri" w:hAnsi="Calibri"/>
          <w:i/>
          <w:color w:val="000000"/>
          <w:lang w:val="es-ES"/>
        </w:rPr>
        <w:t>“Cuando exista conflicto entre los derechos e intereses de los niños y niñas frente a otros derechos e intereses igualmente legítimos, prevalecerán los primeros”</w:t>
      </w:r>
      <w:r w:rsidRPr="00D24AB3">
        <w:rPr>
          <w:rFonts w:ascii="Calibri" w:hAnsi="Calibri"/>
          <w:color w:val="000000"/>
          <w:lang w:val="es-ES"/>
        </w:rPr>
        <w:t>.</w:t>
      </w:r>
      <w:r>
        <w:rPr>
          <w:rFonts w:ascii="Calibri" w:hAnsi="Calibri"/>
          <w:color w:val="000000"/>
          <w:lang w:val="es-ES"/>
        </w:rPr>
        <w:t xml:space="preserve"> </w:t>
      </w:r>
    </w:p>
    <w:p w14:paraId="1BA434E8" w14:textId="77777777" w:rsidR="00D24AB3" w:rsidRDefault="00D24AB3" w:rsidP="00D24AB3">
      <w:pPr>
        <w:pStyle w:val="NormalWeb"/>
        <w:jc w:val="both"/>
        <w:rPr>
          <w:rFonts w:ascii="Calibri" w:hAnsi="Calibri"/>
          <w:color w:val="000000"/>
          <w:lang w:val="es-ES"/>
        </w:rPr>
      </w:pPr>
      <w:r>
        <w:rPr>
          <w:rFonts w:ascii="Calibri" w:hAnsi="Calibri"/>
          <w:color w:val="000000"/>
          <w:lang w:val="es-ES"/>
        </w:rPr>
        <w:t xml:space="preserve">Es en base a este punto que la fiscalía de la niñez </w:t>
      </w:r>
      <w:r w:rsidR="001E6913">
        <w:rPr>
          <w:rFonts w:ascii="Calibri" w:hAnsi="Calibri"/>
          <w:color w:val="000000"/>
          <w:lang w:val="es-ES"/>
        </w:rPr>
        <w:t>nos informó que, al tener un documento sistematizado y objetivo sobre el cual respaldar el pedido (EIS/DIS), nos podrían ayudar a llevar ese pedido ante los tribunales y facilitar su cumplimiento.</w:t>
      </w:r>
    </w:p>
    <w:p w14:paraId="058E56AA" w14:textId="77777777" w:rsidR="00D24AB3" w:rsidRDefault="00D24AB3" w:rsidP="000D0CBE">
      <w:pPr>
        <w:jc w:val="both"/>
        <w:rPr>
          <w:lang w:val="es-ES"/>
        </w:rPr>
      </w:pPr>
    </w:p>
    <w:p w14:paraId="409F7BF1" w14:textId="77777777" w:rsidR="00D24AB3" w:rsidRPr="009B1AD0" w:rsidRDefault="00D24AB3" w:rsidP="00D24AB3">
      <w:pPr>
        <w:pStyle w:val="NormalWeb"/>
        <w:jc w:val="both"/>
        <w:rPr>
          <w:rFonts w:ascii="Calibri" w:hAnsi="Calibri"/>
          <w:color w:val="000000"/>
          <w:lang w:val="es-ES"/>
        </w:rPr>
      </w:pPr>
      <w:r w:rsidRPr="009B1AD0">
        <w:rPr>
          <w:rFonts w:ascii="Calibri" w:hAnsi="Calibri"/>
          <w:color w:val="000000"/>
          <w:lang w:val="es-ES"/>
        </w:rPr>
        <w:t xml:space="preserve">Eso es lo que dicen las leyes. Igual, una vez sistematizado el procedimiento EIS/DIS, sería posible convocar una reunión entre </w:t>
      </w:r>
      <w:r w:rsidR="001E6913">
        <w:rPr>
          <w:rFonts w:ascii="Calibri" w:hAnsi="Calibri"/>
          <w:color w:val="000000"/>
          <w:lang w:val="es-ES"/>
        </w:rPr>
        <w:t>ACNUR</w:t>
      </w:r>
      <w:r w:rsidRPr="009B1AD0">
        <w:rPr>
          <w:rFonts w:ascii="Calibri" w:hAnsi="Calibri"/>
          <w:color w:val="000000"/>
          <w:lang w:val="es-ES"/>
        </w:rPr>
        <w:t>, DINAF, Ministerio Publico y Juzgado Niñez</w:t>
      </w:r>
      <w:r w:rsidR="001E6913">
        <w:rPr>
          <w:rFonts w:ascii="Calibri" w:hAnsi="Calibri"/>
          <w:color w:val="000000"/>
          <w:lang w:val="es-ES"/>
        </w:rPr>
        <w:t xml:space="preserve"> para sistematizar el proceso ad</w:t>
      </w:r>
      <w:r w:rsidRPr="009B1AD0">
        <w:rPr>
          <w:rFonts w:ascii="Calibri" w:hAnsi="Calibri"/>
          <w:color w:val="000000"/>
          <w:lang w:val="es-ES"/>
        </w:rPr>
        <w:t xml:space="preserve"> hoc usado hasta ahora. Es por</w:t>
      </w:r>
      <w:r w:rsidR="001E6913">
        <w:rPr>
          <w:rFonts w:ascii="Calibri" w:hAnsi="Calibri"/>
          <w:color w:val="000000"/>
          <w:lang w:val="es-ES"/>
        </w:rPr>
        <w:t xml:space="preserve"> esa razón</w:t>
      </w:r>
      <w:r w:rsidRPr="009B1AD0">
        <w:rPr>
          <w:rFonts w:ascii="Calibri" w:hAnsi="Calibri"/>
          <w:color w:val="000000"/>
          <w:lang w:val="es-ES"/>
        </w:rPr>
        <w:t xml:space="preserve"> que </w:t>
      </w:r>
      <w:r w:rsidR="001E6913">
        <w:rPr>
          <w:rFonts w:ascii="Calibri" w:hAnsi="Calibri"/>
          <w:color w:val="000000"/>
          <w:lang w:val="es-ES"/>
        </w:rPr>
        <w:t>la integración de las autoridades nacionales de protección de la niñez en el panel DIS es primordial</w:t>
      </w:r>
      <w:r w:rsidRPr="009B1AD0">
        <w:rPr>
          <w:rFonts w:ascii="Calibri" w:hAnsi="Calibri"/>
          <w:color w:val="000000"/>
          <w:lang w:val="es-ES"/>
        </w:rPr>
        <w:t>.</w:t>
      </w:r>
    </w:p>
    <w:p w14:paraId="4162B1A1" w14:textId="77777777" w:rsidR="00D24AB3" w:rsidRDefault="00D24AB3" w:rsidP="000D0CBE">
      <w:pPr>
        <w:jc w:val="both"/>
        <w:rPr>
          <w:lang w:val="es-ES"/>
        </w:rPr>
      </w:pPr>
    </w:p>
    <w:p w14:paraId="0245489B" w14:textId="77777777" w:rsidR="00811553" w:rsidRPr="009B1AD0" w:rsidRDefault="00811553" w:rsidP="000D0CBE">
      <w:pPr>
        <w:jc w:val="both"/>
        <w:rPr>
          <w:lang w:val="es-ES"/>
        </w:rPr>
      </w:pPr>
    </w:p>
    <w:sectPr w:rsidR="00811553" w:rsidRPr="009B1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AFA0" w14:textId="77777777" w:rsidR="00393CA0" w:rsidRDefault="00393CA0" w:rsidP="00BE676D">
      <w:pPr>
        <w:spacing w:after="0" w:line="240" w:lineRule="auto"/>
      </w:pPr>
      <w:r>
        <w:separator/>
      </w:r>
    </w:p>
  </w:endnote>
  <w:endnote w:type="continuationSeparator" w:id="0">
    <w:p w14:paraId="36712BF0" w14:textId="77777777" w:rsidR="00393CA0" w:rsidRDefault="00393CA0" w:rsidP="00BE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CFBC" w14:textId="77777777" w:rsidR="00393CA0" w:rsidRDefault="00393CA0" w:rsidP="00BE676D">
      <w:pPr>
        <w:spacing w:after="0" w:line="240" w:lineRule="auto"/>
      </w:pPr>
      <w:r>
        <w:separator/>
      </w:r>
    </w:p>
  </w:footnote>
  <w:footnote w:type="continuationSeparator" w:id="0">
    <w:p w14:paraId="0F2F9ADC" w14:textId="77777777" w:rsidR="00393CA0" w:rsidRDefault="00393CA0" w:rsidP="00BE6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398D"/>
    <w:multiLevelType w:val="hybridMultilevel"/>
    <w:tmpl w:val="0DF82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5301"/>
    <w:multiLevelType w:val="hybridMultilevel"/>
    <w:tmpl w:val="7D7ED49E"/>
    <w:lvl w:ilvl="0" w:tplc="C3A8978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C3B44B5"/>
    <w:multiLevelType w:val="hybridMultilevel"/>
    <w:tmpl w:val="A21A6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77C59"/>
    <w:multiLevelType w:val="hybridMultilevel"/>
    <w:tmpl w:val="E68AD99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04996">
    <w:abstractNumId w:val="2"/>
  </w:num>
  <w:num w:numId="2" w16cid:durableId="1017927304">
    <w:abstractNumId w:val="1"/>
  </w:num>
  <w:num w:numId="3" w16cid:durableId="284308675">
    <w:abstractNumId w:val="3"/>
  </w:num>
  <w:num w:numId="4" w16cid:durableId="93756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D0"/>
    <w:rsid w:val="000D0CBE"/>
    <w:rsid w:val="001E6913"/>
    <w:rsid w:val="002174BD"/>
    <w:rsid w:val="00234206"/>
    <w:rsid w:val="0028766A"/>
    <w:rsid w:val="00393CA0"/>
    <w:rsid w:val="00811553"/>
    <w:rsid w:val="009B1AD0"/>
    <w:rsid w:val="00AA0834"/>
    <w:rsid w:val="00BE676D"/>
    <w:rsid w:val="00D24AB3"/>
    <w:rsid w:val="00E130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18FA"/>
  <w15:chartTrackingRefBased/>
  <w15:docId w15:val="{A1F1E618-BD57-4D65-9B2A-4F0B2737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AD0"/>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9B1AD0"/>
    <w:rPr>
      <w:i/>
      <w:iCs/>
    </w:rPr>
  </w:style>
  <w:style w:type="character" w:styleId="Strong">
    <w:name w:val="Strong"/>
    <w:basedOn w:val="DefaultParagraphFont"/>
    <w:uiPriority w:val="22"/>
    <w:qFormat/>
    <w:rsid w:val="009B1AD0"/>
    <w:rPr>
      <w:b/>
      <w:bCs/>
    </w:rPr>
  </w:style>
  <w:style w:type="paragraph" w:styleId="ListParagraph">
    <w:name w:val="List Paragraph"/>
    <w:basedOn w:val="Normal"/>
    <w:uiPriority w:val="34"/>
    <w:qFormat/>
    <w:rsid w:val="00D24AB3"/>
    <w:pPr>
      <w:ind w:left="720"/>
      <w:contextualSpacing/>
    </w:pPr>
  </w:style>
  <w:style w:type="paragraph" w:styleId="Header">
    <w:name w:val="header"/>
    <w:basedOn w:val="Normal"/>
    <w:link w:val="HeaderChar"/>
    <w:uiPriority w:val="99"/>
    <w:unhideWhenUsed/>
    <w:rsid w:val="00BE6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76D"/>
  </w:style>
  <w:style w:type="paragraph" w:styleId="Footer">
    <w:name w:val="footer"/>
    <w:basedOn w:val="Normal"/>
    <w:link w:val="FooterChar"/>
    <w:uiPriority w:val="99"/>
    <w:unhideWhenUsed/>
    <w:rsid w:val="00BE6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5687</Characters>
  <Application>Microsoft Office Word</Application>
  <DocSecurity>0</DocSecurity>
  <Lines>247</Lines>
  <Paragraphs>221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ACNUR Honduras</dc:creator>
  <cp:keywords/>
  <dc:description/>
  <cp:lastModifiedBy>Anais Gancel</cp:lastModifiedBy>
  <cp:revision>2</cp:revision>
  <dcterms:created xsi:type="dcterms:W3CDTF">2023-05-25T14:59:00Z</dcterms:created>
  <dcterms:modified xsi:type="dcterms:W3CDTF">2023-05-25T14:59:00Z</dcterms:modified>
</cp:coreProperties>
</file>