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3051" w14:textId="40480ECE" w:rsidR="001A11CF" w:rsidRDefault="001A11CF">
      <w:pPr>
        <w:rPr>
          <w:lang w:val="en-US"/>
        </w:rPr>
      </w:pPr>
      <w:r>
        <w:rPr>
          <w:b/>
          <w:bCs/>
          <w:noProof/>
        </w:rPr>
        <w:drawing>
          <wp:inline distT="0" distB="0" distL="0" distR="0" wp14:anchorId="276CC5FC" wp14:editId="12F42386">
            <wp:extent cx="2597150" cy="6219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126" cy="625066"/>
                    </a:xfrm>
                    <a:prstGeom prst="rect">
                      <a:avLst/>
                    </a:prstGeom>
                    <a:noFill/>
                    <a:ln>
                      <a:noFill/>
                    </a:ln>
                  </pic:spPr>
                </pic:pic>
              </a:graphicData>
            </a:graphic>
          </wp:inline>
        </w:drawing>
      </w:r>
    </w:p>
    <w:p w14:paraId="0DAE5382" w14:textId="73C65E64" w:rsidR="00DF05C6" w:rsidRDefault="00DF05C6">
      <w:pPr>
        <w:rPr>
          <w:lang w:val="en-US"/>
        </w:rPr>
      </w:pPr>
    </w:p>
    <w:p w14:paraId="4C9828DA" w14:textId="77777777" w:rsidR="00D47865" w:rsidRPr="00D47865" w:rsidRDefault="00D47865" w:rsidP="00D47865">
      <w:pPr>
        <w:spacing w:after="0" w:line="360" w:lineRule="auto"/>
        <w:jc w:val="center"/>
        <w:rPr>
          <w:rFonts w:ascii="Lato" w:eastAsia="Times New Roman" w:hAnsi="Lato" w:cs="Times New Roman"/>
          <w:b/>
          <w:sz w:val="28"/>
          <w:szCs w:val="28"/>
          <w:lang w:val="en-US"/>
        </w:rPr>
      </w:pPr>
      <w:r w:rsidRPr="00D47865">
        <w:rPr>
          <w:rFonts w:ascii="Lato" w:eastAsia="Times New Roman" w:hAnsi="Lato" w:cs="Times New Roman"/>
          <w:b/>
          <w:sz w:val="28"/>
          <w:szCs w:val="28"/>
          <w:lang w:val="en-US"/>
        </w:rPr>
        <w:t>Terms of Reference</w:t>
      </w:r>
    </w:p>
    <w:p w14:paraId="0E3519DB" w14:textId="7D382720" w:rsidR="00D47865" w:rsidRPr="00D47865" w:rsidRDefault="00082A81" w:rsidP="00D47865">
      <w:pPr>
        <w:pBdr>
          <w:bottom w:val="single" w:sz="4" w:space="1" w:color="auto"/>
        </w:pBdr>
        <w:spacing w:after="0" w:line="360" w:lineRule="auto"/>
        <w:jc w:val="center"/>
        <w:rPr>
          <w:rFonts w:ascii="Lato" w:eastAsia="Times New Roman" w:hAnsi="Lato" w:cs="Times New Roman"/>
          <w:b/>
          <w:lang w:val="en-US"/>
        </w:rPr>
      </w:pPr>
      <w:r>
        <w:rPr>
          <w:rFonts w:ascii="Lato" w:eastAsia="Times New Roman" w:hAnsi="Lato" w:cs="Times New Roman"/>
          <w:b/>
          <w:lang w:val="en-US"/>
        </w:rPr>
        <w:t xml:space="preserve">National Consultancy: </w:t>
      </w:r>
      <w:r w:rsidR="00D47865">
        <w:rPr>
          <w:rFonts w:ascii="Lato" w:eastAsia="Times New Roman" w:hAnsi="Lato" w:cs="Times New Roman"/>
          <w:b/>
          <w:lang w:val="en-US"/>
        </w:rPr>
        <w:t xml:space="preserve">Assessment of the GBV Programming </w:t>
      </w:r>
      <w:r w:rsidR="002C3023">
        <w:rPr>
          <w:rFonts w:ascii="Lato" w:eastAsia="Times New Roman" w:hAnsi="Lato" w:cs="Times New Roman"/>
          <w:b/>
          <w:lang w:val="en-US"/>
        </w:rPr>
        <w:t>in Balochistan, and</w:t>
      </w:r>
      <w:r w:rsidR="00FC17AC">
        <w:rPr>
          <w:rFonts w:ascii="Lato" w:eastAsia="Times New Roman" w:hAnsi="Lato" w:cs="Times New Roman"/>
          <w:b/>
          <w:lang w:val="en-US"/>
        </w:rPr>
        <w:t xml:space="preserve"> Introduction of Transformative Gender Approaches</w:t>
      </w:r>
      <w:r w:rsidR="002C3023">
        <w:rPr>
          <w:rFonts w:ascii="Lato" w:eastAsia="Times New Roman" w:hAnsi="Lato" w:cs="Times New Roman"/>
          <w:b/>
          <w:lang w:val="en-US"/>
        </w:rPr>
        <w:t xml:space="preserve"> under </w:t>
      </w:r>
      <w:r w:rsidR="00FC17AC">
        <w:rPr>
          <w:rFonts w:ascii="Lato" w:eastAsia="Times New Roman" w:hAnsi="Lato" w:cs="Times New Roman"/>
          <w:b/>
          <w:lang w:val="en-US"/>
        </w:rPr>
        <w:t xml:space="preserve">the </w:t>
      </w:r>
      <w:r w:rsidR="002C3023">
        <w:rPr>
          <w:rFonts w:ascii="Lato" w:eastAsia="Times New Roman" w:hAnsi="Lato" w:cs="Times New Roman"/>
          <w:b/>
          <w:lang w:val="en-US"/>
        </w:rPr>
        <w:t>UNHCR Sub-Office Quetta Area of Responsibility</w:t>
      </w:r>
    </w:p>
    <w:p w14:paraId="5F76F48F" w14:textId="77777777" w:rsidR="00D47865" w:rsidRDefault="00D47865">
      <w:pPr>
        <w:rPr>
          <w:b/>
          <w:bCs/>
          <w:sz w:val="28"/>
          <w:szCs w:val="28"/>
          <w:lang w:val="en-US"/>
        </w:rPr>
      </w:pPr>
    </w:p>
    <w:p w14:paraId="1959D9FE" w14:textId="68960CD3" w:rsidR="00DF05C6" w:rsidRPr="00D872EA" w:rsidRDefault="00E43E31" w:rsidP="004212D9">
      <w:pPr>
        <w:jc w:val="both"/>
        <w:rPr>
          <w:b/>
          <w:bCs/>
          <w:sz w:val="28"/>
          <w:szCs w:val="28"/>
          <w:lang w:val="en-US"/>
        </w:rPr>
      </w:pPr>
      <w:r>
        <w:rPr>
          <w:b/>
          <w:bCs/>
          <w:sz w:val="28"/>
          <w:szCs w:val="28"/>
          <w:lang w:val="en-US"/>
        </w:rPr>
        <w:t>Introduction</w:t>
      </w:r>
    </w:p>
    <w:p w14:paraId="10DFC016" w14:textId="570762A4" w:rsidR="00331BA5" w:rsidRDefault="00C800F6" w:rsidP="004212D9">
      <w:pPr>
        <w:jc w:val="both"/>
      </w:pPr>
      <w:r w:rsidRPr="00C800F6">
        <w:rPr>
          <w:lang w:val="en-US"/>
        </w:rPr>
        <w:t xml:space="preserve">UNHCR, </w:t>
      </w:r>
      <w:proofErr w:type="gramStart"/>
      <w:r w:rsidRPr="00C800F6">
        <w:rPr>
          <w:lang w:val="en-US"/>
        </w:rPr>
        <w:t>on the basis of</w:t>
      </w:r>
      <w:proofErr w:type="gramEnd"/>
      <w:r w:rsidRPr="00C800F6">
        <w:rPr>
          <w:lang w:val="en-US"/>
        </w:rPr>
        <w:t xml:space="preserve"> its Statute of 1950 and the 1951 United Nations Convention relating to the Status of Refugees and subsequent resolutions of the United Nations General Assembly</w:t>
      </w:r>
      <w:r w:rsidR="009E017F">
        <w:rPr>
          <w:lang w:val="en-US"/>
        </w:rPr>
        <w:t>,</w:t>
      </w:r>
      <w:r w:rsidRPr="00C800F6">
        <w:rPr>
          <w:lang w:val="en-US"/>
        </w:rPr>
        <w:t xml:space="preserve"> is mandated to provide international protection, assistance and solutions to refugees and other categories of persons </w:t>
      </w:r>
      <w:r>
        <w:rPr>
          <w:lang w:val="en-US"/>
        </w:rPr>
        <w:t xml:space="preserve">we serve and work with, </w:t>
      </w:r>
      <w:r w:rsidRPr="00C800F6">
        <w:rPr>
          <w:lang w:val="en-US"/>
        </w:rPr>
        <w:t>and to prevent and reduce statelessness</w:t>
      </w:r>
      <w:r w:rsidR="00B66FE3">
        <w:t>.</w:t>
      </w:r>
      <w:r w:rsidR="00796E00">
        <w:rPr>
          <w:rStyle w:val="FootnoteReference"/>
        </w:rPr>
        <w:footnoteReference w:id="1"/>
      </w:r>
      <w:r w:rsidR="00B66FE3">
        <w:t xml:space="preserve"> </w:t>
      </w:r>
    </w:p>
    <w:p w14:paraId="4947DFA7" w14:textId="310EC784" w:rsidR="00ED1687" w:rsidRDefault="00DC2649" w:rsidP="004212D9">
      <w:pPr>
        <w:jc w:val="both"/>
      </w:pPr>
      <w:r>
        <w:t>UNHCR has operated in Pakistan for around 40 years</w:t>
      </w:r>
      <w:r w:rsidR="00331BA5">
        <w:t xml:space="preserve"> and the country </w:t>
      </w:r>
      <w:r w:rsidR="00631DCA">
        <w:rPr>
          <w:lang w:val="en-US"/>
        </w:rPr>
        <w:t xml:space="preserve">hosts more than </w:t>
      </w:r>
      <w:r w:rsidR="00045FB3">
        <w:rPr>
          <w:lang w:val="en-US"/>
        </w:rPr>
        <w:t>1.4 million registered Afghan refugees.</w:t>
      </w:r>
      <w:r w:rsidR="00045FB3">
        <w:rPr>
          <w:rStyle w:val="FootnoteReference"/>
          <w:lang w:val="en-US"/>
        </w:rPr>
        <w:footnoteReference w:id="2"/>
      </w:r>
      <w:r w:rsidR="00720AA9">
        <w:rPr>
          <w:lang w:val="en-US"/>
        </w:rPr>
        <w:t xml:space="preserve"> Although Pakistan </w:t>
      </w:r>
      <w:r w:rsidR="001240BF">
        <w:rPr>
          <w:lang w:val="en-US"/>
        </w:rPr>
        <w:t xml:space="preserve">has not ratified any of the international instruments related to refugees, </w:t>
      </w:r>
      <w:r w:rsidR="006B1083">
        <w:rPr>
          <w:lang w:val="en-US"/>
        </w:rPr>
        <w:t xml:space="preserve">the </w:t>
      </w:r>
      <w:r w:rsidR="00220821">
        <w:rPr>
          <w:lang w:val="en-US"/>
        </w:rPr>
        <w:t>g</w:t>
      </w:r>
      <w:r w:rsidR="006B1083">
        <w:rPr>
          <w:lang w:val="en-US"/>
        </w:rPr>
        <w:t>overnment</w:t>
      </w:r>
      <w:r w:rsidR="00D42657">
        <w:rPr>
          <w:lang w:val="en-US"/>
        </w:rPr>
        <w:t xml:space="preserve"> of Pakistan</w:t>
      </w:r>
      <w:r w:rsidR="006B1083">
        <w:rPr>
          <w:lang w:val="en-US"/>
        </w:rPr>
        <w:t xml:space="preserve"> allows UNHCR to </w:t>
      </w:r>
      <w:r w:rsidR="00542600">
        <w:rPr>
          <w:lang w:val="en-US"/>
        </w:rPr>
        <w:t>operate in the country, based on</w:t>
      </w:r>
      <w:r w:rsidR="009F4781">
        <w:rPr>
          <w:lang w:val="en-US"/>
        </w:rPr>
        <w:t xml:space="preserve"> </w:t>
      </w:r>
      <w:r w:rsidR="00A025AD">
        <w:rPr>
          <w:lang w:val="en-US"/>
        </w:rPr>
        <w:t>the signed</w:t>
      </w:r>
      <w:r w:rsidR="00542600">
        <w:rPr>
          <w:lang w:val="en-US"/>
        </w:rPr>
        <w:t xml:space="preserve"> </w:t>
      </w:r>
      <w:r w:rsidR="009F4781" w:rsidRPr="009F4781">
        <w:t>1993 Cooperation Agreement</w:t>
      </w:r>
      <w:r w:rsidR="00B36A01">
        <w:t>.</w:t>
      </w:r>
      <w:r w:rsidR="00B36A01">
        <w:rPr>
          <w:rStyle w:val="FootnoteReference"/>
        </w:rPr>
        <w:footnoteReference w:id="3"/>
      </w:r>
      <w:r w:rsidR="004B6D44">
        <w:t xml:space="preserve"> </w:t>
      </w:r>
    </w:p>
    <w:p w14:paraId="5CAEF96E" w14:textId="199CC9E8" w:rsidR="0038227B" w:rsidRDefault="002652C5" w:rsidP="004212D9">
      <w:pPr>
        <w:jc w:val="both"/>
      </w:pPr>
      <w:r>
        <w:t xml:space="preserve">Gender-based Violence (GBV) prevention, risk mitigation and response </w:t>
      </w:r>
      <w:r w:rsidR="00A34E65">
        <w:t xml:space="preserve">is one of eight outcome areas in the UNHCR </w:t>
      </w:r>
      <w:r w:rsidR="005D328E">
        <w:t>Strategic Directions 2022 – 2026.</w:t>
      </w:r>
      <w:r w:rsidR="00DE0268">
        <w:rPr>
          <w:rStyle w:val="FootnoteReference"/>
        </w:rPr>
        <w:footnoteReference w:id="4"/>
      </w:r>
      <w:r w:rsidR="005D328E">
        <w:t xml:space="preserve"> </w:t>
      </w:r>
      <w:r w:rsidR="008C66BC">
        <w:t xml:space="preserve">Addressing the root causes of GBV, strengthening </w:t>
      </w:r>
      <w:r w:rsidR="00591F58">
        <w:t>prevention interventions</w:t>
      </w:r>
      <w:r w:rsidR="000F2DB3">
        <w:t>,</w:t>
      </w:r>
      <w:r w:rsidR="00591F58">
        <w:t xml:space="preserve"> mitigating GBV risks</w:t>
      </w:r>
      <w:r w:rsidR="000F2DB3">
        <w:t xml:space="preserve"> and providing timely and life-saving services to GBV survivors,</w:t>
      </w:r>
      <w:r w:rsidR="00591F58">
        <w:t xml:space="preserve"> require </w:t>
      </w:r>
      <w:r w:rsidR="001C5BA3">
        <w:t>an investment in efforts by a range of stakeholders</w:t>
      </w:r>
      <w:r w:rsidR="008749D7">
        <w:t xml:space="preserve"> in the humanitarian sector.</w:t>
      </w:r>
      <w:r w:rsidR="005E27D6">
        <w:t xml:space="preserve"> </w:t>
      </w:r>
    </w:p>
    <w:p w14:paraId="07D72170" w14:textId="35CC5036" w:rsidR="0038227B" w:rsidRPr="0038227B" w:rsidRDefault="0038227B" w:rsidP="004212D9">
      <w:pPr>
        <w:jc w:val="both"/>
        <w:rPr>
          <w:b/>
          <w:bCs/>
          <w:sz w:val="28"/>
          <w:szCs w:val="28"/>
          <w:lang w:val="en-US"/>
        </w:rPr>
      </w:pPr>
      <w:r w:rsidRPr="0038227B">
        <w:rPr>
          <w:b/>
          <w:bCs/>
          <w:sz w:val="28"/>
          <w:szCs w:val="28"/>
          <w:lang w:val="en-US"/>
        </w:rPr>
        <w:t>Operational Context Overview</w:t>
      </w:r>
    </w:p>
    <w:p w14:paraId="0EB42F81" w14:textId="0651EFC4" w:rsidR="00B83DDF" w:rsidRPr="00CB5896" w:rsidRDefault="00B66FE3" w:rsidP="004212D9">
      <w:pPr>
        <w:jc w:val="both"/>
        <w:rPr>
          <w:lang w:val="en-PK"/>
        </w:rPr>
      </w:pPr>
      <w:r>
        <w:rPr>
          <w:lang w:val="en-US"/>
        </w:rPr>
        <w:t>Balochistan province is sit</w:t>
      </w:r>
      <w:r w:rsidRPr="000F1896">
        <w:rPr>
          <w:lang w:val="en-US"/>
        </w:rPr>
        <w:t xml:space="preserve">uated in </w:t>
      </w:r>
      <w:r w:rsidR="008632A5" w:rsidRPr="000F1896">
        <w:rPr>
          <w:lang w:val="en-US"/>
        </w:rPr>
        <w:t>the South</w:t>
      </w:r>
      <w:r w:rsidR="0004659D" w:rsidRPr="000F1896">
        <w:rPr>
          <w:lang w:val="en-US"/>
        </w:rPr>
        <w:t>-</w:t>
      </w:r>
      <w:r w:rsidR="008632A5" w:rsidRPr="000F1896">
        <w:rPr>
          <w:lang w:val="en-US"/>
        </w:rPr>
        <w:t>Western</w:t>
      </w:r>
      <w:r w:rsidRPr="000F1896">
        <w:rPr>
          <w:lang w:val="en-US"/>
        </w:rPr>
        <w:t xml:space="preserve"> part of Pakistan</w:t>
      </w:r>
      <w:r w:rsidR="008632A5" w:rsidRPr="000F1896">
        <w:rPr>
          <w:lang w:val="en-US"/>
        </w:rPr>
        <w:t xml:space="preserve">, with </w:t>
      </w:r>
      <w:r w:rsidR="00055999" w:rsidRPr="0028288A">
        <w:rPr>
          <w:lang w:val="en-US"/>
        </w:rPr>
        <w:t>Quetta</w:t>
      </w:r>
      <w:r w:rsidR="008632A5" w:rsidRPr="000F1896">
        <w:rPr>
          <w:lang w:val="en-US"/>
        </w:rPr>
        <w:t xml:space="preserve"> a</w:t>
      </w:r>
      <w:r w:rsidR="00FD78DB" w:rsidRPr="000F1896">
        <w:rPr>
          <w:lang w:val="en-US"/>
        </w:rPr>
        <w:t>s</w:t>
      </w:r>
      <w:r w:rsidR="008632A5" w:rsidRPr="000F1896">
        <w:rPr>
          <w:lang w:val="en-US"/>
        </w:rPr>
        <w:t xml:space="preserve"> its capital</w:t>
      </w:r>
      <w:r w:rsidR="00055999" w:rsidRPr="0028288A">
        <w:rPr>
          <w:lang w:val="en-US"/>
        </w:rPr>
        <w:t xml:space="preserve"> city</w:t>
      </w:r>
      <w:r w:rsidR="008632A5" w:rsidRPr="000F1896">
        <w:rPr>
          <w:lang w:val="en-US"/>
        </w:rPr>
        <w:t xml:space="preserve">. Balochistan </w:t>
      </w:r>
      <w:r w:rsidR="00055999" w:rsidRPr="0028288A">
        <w:rPr>
          <w:lang w:val="en-US"/>
        </w:rPr>
        <w:t>host</w:t>
      </w:r>
      <w:r w:rsidR="00055999" w:rsidRPr="000F1896">
        <w:rPr>
          <w:lang w:val="en-US"/>
        </w:rPr>
        <w:t>s</w:t>
      </w:r>
      <w:r w:rsidR="00B83DDF" w:rsidRPr="000F1896">
        <w:rPr>
          <w:lang w:val="en-US"/>
        </w:rPr>
        <w:t xml:space="preserve"> a total of</w:t>
      </w:r>
      <w:r w:rsidR="00AD3FD4" w:rsidRPr="000F1896">
        <w:rPr>
          <w:lang w:val="en-PK"/>
        </w:rPr>
        <w:t xml:space="preserve"> </w:t>
      </w:r>
      <w:r w:rsidR="00AD3FD4" w:rsidRPr="000F1896">
        <w:rPr>
          <w:b/>
          <w:bCs/>
          <w:lang w:val="en-PK"/>
        </w:rPr>
        <w:t>316,943</w:t>
      </w:r>
      <w:r w:rsidR="00AD3FD4" w:rsidRPr="000F1896">
        <w:rPr>
          <w:b/>
          <w:bCs/>
          <w:lang w:val="en-US"/>
        </w:rPr>
        <w:t xml:space="preserve"> </w:t>
      </w:r>
      <w:r w:rsidR="00511767">
        <w:rPr>
          <w:lang w:val="en-US"/>
        </w:rPr>
        <w:t>(46% female and 54% male)</w:t>
      </w:r>
      <w:r w:rsidR="00511767" w:rsidRPr="000F1896">
        <w:rPr>
          <w:lang w:val="en-US"/>
        </w:rPr>
        <w:t xml:space="preserve"> </w:t>
      </w:r>
      <w:r w:rsidR="00B83DDF" w:rsidRPr="000F1896">
        <w:rPr>
          <w:lang w:val="en-US"/>
        </w:rPr>
        <w:t xml:space="preserve">registered </w:t>
      </w:r>
      <w:r w:rsidR="00AD3FD4" w:rsidRPr="000F1896">
        <w:rPr>
          <w:lang w:val="en-US"/>
        </w:rPr>
        <w:t>Afghan refugees</w:t>
      </w:r>
      <w:r w:rsidR="00D11932">
        <w:rPr>
          <w:lang w:val="en-US"/>
        </w:rPr>
        <w:t xml:space="preserve"> </w:t>
      </w:r>
      <w:r w:rsidR="00AD3FD4" w:rsidRPr="000F1896">
        <w:rPr>
          <w:lang w:val="en-US"/>
        </w:rPr>
        <w:t>with Proof of Registration (PoR) cards</w:t>
      </w:r>
      <w:r w:rsidR="00CC51CC" w:rsidRPr="000F1896">
        <w:rPr>
          <w:lang w:val="en-US"/>
        </w:rPr>
        <w:t>.</w:t>
      </w:r>
      <w:r w:rsidR="00CE4A94" w:rsidRPr="000F1896">
        <w:rPr>
          <w:lang w:val="en-US"/>
        </w:rPr>
        <w:t xml:space="preserve"> </w:t>
      </w:r>
      <w:r w:rsidR="00CC51CC" w:rsidRPr="000F1896">
        <w:rPr>
          <w:lang w:val="en-US"/>
        </w:rPr>
        <w:t>Of this total</w:t>
      </w:r>
      <w:r w:rsidR="00CB5896" w:rsidRPr="000F1896">
        <w:rPr>
          <w:lang w:val="en-US"/>
        </w:rPr>
        <w:t>:</w:t>
      </w:r>
      <w:r w:rsidR="00FD78DB" w:rsidRPr="000F1896">
        <w:rPr>
          <w:lang w:val="en-PK"/>
        </w:rPr>
        <w:t xml:space="preserve"> </w:t>
      </w:r>
      <w:r w:rsidR="00FD78DB" w:rsidRPr="000F1896">
        <w:rPr>
          <w:b/>
          <w:bCs/>
          <w:lang w:val="en-PK"/>
        </w:rPr>
        <w:t xml:space="preserve">168,120 </w:t>
      </w:r>
      <w:r w:rsidR="00CB5896">
        <w:rPr>
          <w:b/>
          <w:bCs/>
          <w:lang w:val="en-US"/>
        </w:rPr>
        <w:t xml:space="preserve">(53%) </w:t>
      </w:r>
      <w:r w:rsidR="00CC51CC">
        <w:rPr>
          <w:lang w:val="en-US"/>
        </w:rPr>
        <w:t xml:space="preserve">reside in Quetta </w:t>
      </w:r>
      <w:r w:rsidR="00213C79">
        <w:rPr>
          <w:lang w:val="en-US"/>
        </w:rPr>
        <w:t>u</w:t>
      </w:r>
      <w:r w:rsidR="00CC51CC">
        <w:rPr>
          <w:lang w:val="en-US"/>
        </w:rPr>
        <w:t>rban</w:t>
      </w:r>
      <w:r w:rsidR="00CB5896">
        <w:rPr>
          <w:lang w:val="en-US"/>
        </w:rPr>
        <w:t>;</w:t>
      </w:r>
      <w:r w:rsidR="00CB5896" w:rsidRPr="00CB5896">
        <w:rPr>
          <w:lang w:val="en-PK"/>
        </w:rPr>
        <w:t xml:space="preserve"> </w:t>
      </w:r>
      <w:r w:rsidR="00CB5896" w:rsidRPr="00CB5896">
        <w:rPr>
          <w:b/>
          <w:bCs/>
          <w:lang w:val="en-PK"/>
        </w:rPr>
        <w:t xml:space="preserve">92,657 </w:t>
      </w:r>
      <w:r w:rsidR="00213C79">
        <w:rPr>
          <w:b/>
          <w:bCs/>
          <w:lang w:val="en-US"/>
        </w:rPr>
        <w:t xml:space="preserve">(29%) </w:t>
      </w:r>
      <w:r w:rsidR="00564733" w:rsidRPr="000F1896">
        <w:rPr>
          <w:lang w:val="en-US"/>
        </w:rPr>
        <w:t xml:space="preserve">in </w:t>
      </w:r>
      <w:r w:rsidR="00213C79" w:rsidRPr="000F1896">
        <w:rPr>
          <w:lang w:val="en-US"/>
        </w:rPr>
        <w:t>rural settlements</w:t>
      </w:r>
      <w:r w:rsidR="00CC51CC">
        <w:rPr>
          <w:lang w:val="en-US"/>
        </w:rPr>
        <w:t xml:space="preserve"> and</w:t>
      </w:r>
      <w:r w:rsidR="000F1896" w:rsidRPr="000F1896">
        <w:rPr>
          <w:lang w:val="en-PK"/>
        </w:rPr>
        <w:t xml:space="preserve"> </w:t>
      </w:r>
      <w:r w:rsidR="000F1896" w:rsidRPr="000F1896">
        <w:rPr>
          <w:b/>
          <w:bCs/>
          <w:lang w:val="en-PK"/>
        </w:rPr>
        <w:t xml:space="preserve">56,166 </w:t>
      </w:r>
      <w:r w:rsidR="000F1896">
        <w:rPr>
          <w:b/>
          <w:bCs/>
          <w:lang w:val="en-US"/>
        </w:rPr>
        <w:t xml:space="preserve">(18%) </w:t>
      </w:r>
      <w:r w:rsidR="000F1896" w:rsidRPr="000F1896">
        <w:rPr>
          <w:lang w:val="en-US"/>
        </w:rPr>
        <w:t>in</w:t>
      </w:r>
      <w:r w:rsidR="00CC51CC">
        <w:rPr>
          <w:lang w:val="en-US"/>
        </w:rPr>
        <w:t xml:space="preserve"> the </w:t>
      </w:r>
      <w:r w:rsidR="000F1896">
        <w:rPr>
          <w:lang w:val="en-US"/>
        </w:rPr>
        <w:t>r</w:t>
      </w:r>
      <w:r w:rsidR="00CC51CC">
        <w:rPr>
          <w:lang w:val="en-US"/>
        </w:rPr>
        <w:t xml:space="preserve">efugee </w:t>
      </w:r>
      <w:r w:rsidR="000F1896">
        <w:rPr>
          <w:lang w:val="en-US"/>
        </w:rPr>
        <w:t>v</w:t>
      </w:r>
      <w:r w:rsidR="00CC51CC">
        <w:rPr>
          <w:lang w:val="en-US"/>
        </w:rPr>
        <w:t>illages</w:t>
      </w:r>
      <w:r w:rsidR="00397E5C">
        <w:rPr>
          <w:lang w:val="en-US"/>
        </w:rPr>
        <w:t>.</w:t>
      </w:r>
      <w:r w:rsidR="001813BF">
        <w:rPr>
          <w:rStyle w:val="FootnoteReference"/>
          <w:lang w:val="en-US"/>
        </w:rPr>
        <w:footnoteReference w:id="5"/>
      </w:r>
      <w:r w:rsidR="00B83DDF">
        <w:rPr>
          <w:lang w:val="en-US"/>
        </w:rPr>
        <w:t xml:space="preserve"> </w:t>
      </w:r>
      <w:r w:rsidR="00CE4A94">
        <w:rPr>
          <w:lang w:val="en-US"/>
        </w:rPr>
        <w:t>PoR cards enable registered Afghan refugees to legally remain in Pakistan.</w:t>
      </w:r>
      <w:r w:rsidR="00CE4A94">
        <w:rPr>
          <w:rStyle w:val="FootnoteReference"/>
          <w:lang w:val="en-US"/>
        </w:rPr>
        <w:footnoteReference w:id="6"/>
      </w:r>
    </w:p>
    <w:p w14:paraId="0DA3F03B" w14:textId="763B0FEB" w:rsidR="0043686A" w:rsidRDefault="00A315B7" w:rsidP="004212D9">
      <w:pPr>
        <w:jc w:val="both"/>
        <w:rPr>
          <w:lang w:val="en-US"/>
        </w:rPr>
      </w:pPr>
      <w:r>
        <w:rPr>
          <w:lang w:val="en-US"/>
        </w:rPr>
        <w:t xml:space="preserve">Through decades, </w:t>
      </w:r>
      <w:r w:rsidR="0043686A">
        <w:rPr>
          <w:lang w:val="en-US"/>
        </w:rPr>
        <w:t xml:space="preserve">Afghan women and girls </w:t>
      </w:r>
      <w:r>
        <w:rPr>
          <w:lang w:val="en-US"/>
        </w:rPr>
        <w:t>have been</w:t>
      </w:r>
      <w:r w:rsidR="0043686A">
        <w:rPr>
          <w:lang w:val="en-US"/>
        </w:rPr>
        <w:t xml:space="preserve"> </w:t>
      </w:r>
      <w:r w:rsidR="009A1087">
        <w:rPr>
          <w:lang w:val="en-US"/>
        </w:rPr>
        <w:t xml:space="preserve">severely impacted by </w:t>
      </w:r>
      <w:r w:rsidR="00BB5015">
        <w:rPr>
          <w:lang w:val="en-US"/>
        </w:rPr>
        <w:t xml:space="preserve">severe patriarchal and gender restrictive norms. </w:t>
      </w:r>
      <w:r w:rsidR="001D5A54">
        <w:rPr>
          <w:lang w:val="en-US"/>
        </w:rPr>
        <w:t xml:space="preserve">Their basic freedoms have become even more curtailed since the Taliban </w:t>
      </w:r>
      <w:r w:rsidR="00245671">
        <w:rPr>
          <w:lang w:val="en-US"/>
        </w:rPr>
        <w:t xml:space="preserve">took control of the country’s leadership </w:t>
      </w:r>
      <w:r w:rsidR="001D5A54">
        <w:rPr>
          <w:lang w:val="en-US"/>
        </w:rPr>
        <w:t>in 2021.</w:t>
      </w:r>
      <w:r w:rsidR="00456270">
        <w:rPr>
          <w:lang w:val="en-US"/>
        </w:rPr>
        <w:t xml:space="preserve"> </w:t>
      </w:r>
      <w:r w:rsidR="007F6E86">
        <w:rPr>
          <w:lang w:val="en-US"/>
        </w:rPr>
        <w:t xml:space="preserve">The Taliban has imposed restrictions on the </w:t>
      </w:r>
      <w:r w:rsidR="007F6E86">
        <w:rPr>
          <w:lang w:val="en-US"/>
        </w:rPr>
        <w:lastRenderedPageBreak/>
        <w:t xml:space="preserve">movement of women and girls in the country, consequently impacting on their access to </w:t>
      </w:r>
      <w:r w:rsidR="00D23E96">
        <w:rPr>
          <w:lang w:val="en-US"/>
        </w:rPr>
        <w:t>basic rights, such as</w:t>
      </w:r>
      <w:r w:rsidR="00037C7F">
        <w:rPr>
          <w:lang w:val="en-US"/>
        </w:rPr>
        <w:t xml:space="preserve"> education and </w:t>
      </w:r>
      <w:r w:rsidR="00D23E96">
        <w:rPr>
          <w:lang w:val="en-US"/>
        </w:rPr>
        <w:t>medical care.</w:t>
      </w:r>
      <w:r w:rsidR="00D23E96">
        <w:rPr>
          <w:rStyle w:val="FootnoteReference"/>
          <w:lang w:val="en-US"/>
        </w:rPr>
        <w:footnoteReference w:id="7"/>
      </w:r>
    </w:p>
    <w:p w14:paraId="508D9483" w14:textId="36C06DF2" w:rsidR="0028288A" w:rsidRDefault="002A7815" w:rsidP="004212D9">
      <w:pPr>
        <w:jc w:val="both"/>
        <w:rPr>
          <w:lang w:val="en-US"/>
        </w:rPr>
      </w:pPr>
      <w:r>
        <w:rPr>
          <w:lang w:val="en-US"/>
        </w:rPr>
        <w:t xml:space="preserve">In Balochistan, UNHCR Sub-Office Quetta implements the GBV programme (prevention, risk mitigation and response) through </w:t>
      </w:r>
      <w:r w:rsidR="00DC1D2C">
        <w:rPr>
          <w:lang w:val="en-US"/>
        </w:rPr>
        <w:t xml:space="preserve">two local partner NGOs- </w:t>
      </w:r>
      <w:r w:rsidR="00C17BD3" w:rsidRPr="00C17BD3">
        <w:rPr>
          <w:bCs/>
          <w:iCs/>
          <w:lang w:val="en-US"/>
        </w:rPr>
        <w:t>Drugs and Narcotics Educational Services for Humanity</w:t>
      </w:r>
      <w:r w:rsidR="00C17BD3" w:rsidRPr="00C17BD3">
        <w:rPr>
          <w:bCs/>
          <w:i/>
          <w:lang w:val="en-US"/>
        </w:rPr>
        <w:t xml:space="preserve"> </w:t>
      </w:r>
      <w:r w:rsidR="00C17BD3" w:rsidRPr="00C17BD3">
        <w:rPr>
          <w:lang w:val="en-US"/>
        </w:rPr>
        <w:t>(</w:t>
      </w:r>
      <w:r w:rsidR="00DC1D2C" w:rsidRPr="00C17BD3">
        <w:rPr>
          <w:lang w:val="en-US"/>
        </w:rPr>
        <w:t>DANESH</w:t>
      </w:r>
      <w:r w:rsidR="00C17BD3" w:rsidRPr="00C17BD3">
        <w:rPr>
          <w:lang w:val="en-US"/>
        </w:rPr>
        <w:t>)</w:t>
      </w:r>
      <w:r w:rsidR="00DC1D2C" w:rsidRPr="00C17BD3">
        <w:rPr>
          <w:lang w:val="en-US"/>
        </w:rPr>
        <w:t xml:space="preserve"> in</w:t>
      </w:r>
      <w:r w:rsidR="00DC1D2C">
        <w:rPr>
          <w:lang w:val="en-US"/>
        </w:rPr>
        <w:t xml:space="preserve"> 10 locations in Quetta Urban</w:t>
      </w:r>
      <w:r w:rsidR="00C17FCC">
        <w:rPr>
          <w:lang w:val="en-US"/>
        </w:rPr>
        <w:t>,</w:t>
      </w:r>
      <w:r w:rsidR="00DC1D2C">
        <w:rPr>
          <w:lang w:val="en-US"/>
        </w:rPr>
        <w:t xml:space="preserve"> and </w:t>
      </w:r>
      <w:r w:rsidR="00BA53A4" w:rsidRPr="00BA53A4">
        <w:rPr>
          <w:bCs/>
          <w:lang w:val="en-US"/>
        </w:rPr>
        <w:t>Water Environment &amp; Sanitation Society (</w:t>
      </w:r>
      <w:r w:rsidR="00DC1D2C" w:rsidRPr="00BA53A4">
        <w:rPr>
          <w:lang w:val="en-US"/>
        </w:rPr>
        <w:t>WESS</w:t>
      </w:r>
      <w:r w:rsidR="00BA53A4" w:rsidRPr="00BA53A4">
        <w:rPr>
          <w:lang w:val="en-US"/>
        </w:rPr>
        <w:t>)</w:t>
      </w:r>
      <w:r w:rsidR="00DC1D2C" w:rsidRPr="00BA53A4">
        <w:rPr>
          <w:lang w:val="en-US"/>
        </w:rPr>
        <w:t xml:space="preserve"> in</w:t>
      </w:r>
      <w:r w:rsidR="00DC1D2C">
        <w:rPr>
          <w:lang w:val="en-US"/>
        </w:rPr>
        <w:t xml:space="preserve"> 10 locations in the Refugee Villages</w:t>
      </w:r>
      <w:r w:rsidR="004B3697">
        <w:rPr>
          <w:lang w:val="en-US"/>
        </w:rPr>
        <w:t xml:space="preserve"> (RVs)</w:t>
      </w:r>
      <w:r w:rsidR="00DC1D2C">
        <w:rPr>
          <w:lang w:val="en-US"/>
        </w:rPr>
        <w:t xml:space="preserve">. </w:t>
      </w:r>
      <w:r w:rsidR="00D433DF">
        <w:rPr>
          <w:lang w:val="en-US"/>
        </w:rPr>
        <w:t>The m</w:t>
      </w:r>
      <w:r w:rsidR="0028288A" w:rsidRPr="0028288A">
        <w:rPr>
          <w:lang w:val="en-US"/>
        </w:rPr>
        <w:t xml:space="preserve">ain locations that the project covers in Quetta Urban are Bashir Chowk, </w:t>
      </w:r>
      <w:proofErr w:type="spellStart"/>
      <w:r w:rsidR="0028288A" w:rsidRPr="0028288A">
        <w:rPr>
          <w:lang w:val="en-US"/>
        </w:rPr>
        <w:t>Ghous</w:t>
      </w:r>
      <w:proofErr w:type="spellEnd"/>
      <w:r w:rsidR="0028288A" w:rsidRPr="0028288A">
        <w:rPr>
          <w:lang w:val="en-US"/>
        </w:rPr>
        <w:t xml:space="preserve"> Abad, Hazara Town, </w:t>
      </w:r>
      <w:proofErr w:type="spellStart"/>
      <w:r w:rsidR="0028288A" w:rsidRPr="0028288A">
        <w:rPr>
          <w:lang w:val="en-US"/>
        </w:rPr>
        <w:t>Kuchlak</w:t>
      </w:r>
      <w:proofErr w:type="spellEnd"/>
      <w:r w:rsidR="0028288A" w:rsidRPr="0028288A">
        <w:rPr>
          <w:lang w:val="en-US"/>
        </w:rPr>
        <w:t xml:space="preserve">, Mughal Abad, Nawa </w:t>
      </w:r>
      <w:proofErr w:type="spellStart"/>
      <w:r w:rsidR="0028288A" w:rsidRPr="0028288A">
        <w:rPr>
          <w:lang w:val="en-US"/>
        </w:rPr>
        <w:t>Killi</w:t>
      </w:r>
      <w:proofErr w:type="spellEnd"/>
      <w:r w:rsidR="0028288A" w:rsidRPr="0028288A">
        <w:rPr>
          <w:lang w:val="en-US"/>
        </w:rPr>
        <w:t xml:space="preserve">, </w:t>
      </w:r>
      <w:proofErr w:type="spellStart"/>
      <w:r w:rsidR="0028288A" w:rsidRPr="0028288A">
        <w:rPr>
          <w:lang w:val="en-US"/>
        </w:rPr>
        <w:t>Pashtoon</w:t>
      </w:r>
      <w:proofErr w:type="spellEnd"/>
      <w:r w:rsidR="0028288A" w:rsidRPr="0028288A">
        <w:rPr>
          <w:lang w:val="en-US"/>
        </w:rPr>
        <w:t xml:space="preserve"> Bagh, </w:t>
      </w:r>
      <w:proofErr w:type="spellStart"/>
      <w:r w:rsidR="0028288A" w:rsidRPr="0028288A">
        <w:rPr>
          <w:lang w:val="en-US"/>
        </w:rPr>
        <w:t>Sabzal</w:t>
      </w:r>
      <w:proofErr w:type="spellEnd"/>
      <w:r w:rsidR="0028288A" w:rsidRPr="0028288A">
        <w:rPr>
          <w:lang w:val="en-US"/>
        </w:rPr>
        <w:t xml:space="preserve"> </w:t>
      </w:r>
      <w:proofErr w:type="spellStart"/>
      <w:r w:rsidR="0028288A" w:rsidRPr="0028288A">
        <w:rPr>
          <w:lang w:val="en-US"/>
        </w:rPr>
        <w:t>Raod</w:t>
      </w:r>
      <w:proofErr w:type="spellEnd"/>
      <w:r w:rsidR="0028288A" w:rsidRPr="0028288A">
        <w:rPr>
          <w:lang w:val="en-US"/>
        </w:rPr>
        <w:t xml:space="preserve">, </w:t>
      </w:r>
      <w:proofErr w:type="spellStart"/>
      <w:r w:rsidR="0028288A" w:rsidRPr="0028288A">
        <w:rPr>
          <w:lang w:val="en-US"/>
        </w:rPr>
        <w:t>Killi</w:t>
      </w:r>
      <w:proofErr w:type="spellEnd"/>
      <w:r w:rsidR="0028288A" w:rsidRPr="0028288A">
        <w:rPr>
          <w:lang w:val="en-US"/>
        </w:rPr>
        <w:t xml:space="preserve"> </w:t>
      </w:r>
      <w:proofErr w:type="spellStart"/>
      <w:r w:rsidR="0028288A" w:rsidRPr="0028288A">
        <w:rPr>
          <w:lang w:val="en-US"/>
        </w:rPr>
        <w:t>Paind</w:t>
      </w:r>
      <w:proofErr w:type="spellEnd"/>
      <w:r w:rsidR="0028288A" w:rsidRPr="0028288A">
        <w:rPr>
          <w:lang w:val="en-US"/>
        </w:rPr>
        <w:t xml:space="preserve"> </w:t>
      </w:r>
      <w:r w:rsidR="00BC3B3F">
        <w:rPr>
          <w:lang w:val="en-US"/>
        </w:rPr>
        <w:t>K</w:t>
      </w:r>
      <w:r w:rsidR="0028288A" w:rsidRPr="0028288A">
        <w:rPr>
          <w:lang w:val="en-US"/>
        </w:rPr>
        <w:t>han and Qadri Abad.</w:t>
      </w:r>
      <w:r w:rsidR="00D433DF" w:rsidRPr="0034069A">
        <w:rPr>
          <w:lang w:val="en-US"/>
        </w:rPr>
        <w:t xml:space="preserve"> </w:t>
      </w:r>
      <w:r w:rsidR="000317CF">
        <w:rPr>
          <w:lang w:val="en-US"/>
        </w:rPr>
        <w:t>T</w:t>
      </w:r>
      <w:r w:rsidR="004B3697" w:rsidRPr="0034069A">
        <w:rPr>
          <w:lang w:val="en-US"/>
        </w:rPr>
        <w:t xml:space="preserve">he locations </w:t>
      </w:r>
      <w:r w:rsidR="000317CF">
        <w:rPr>
          <w:lang w:val="en-US"/>
        </w:rPr>
        <w:t xml:space="preserve">in the RVs </w:t>
      </w:r>
      <w:r w:rsidR="0028288A" w:rsidRPr="0028288A">
        <w:rPr>
          <w:lang w:val="en-US"/>
        </w:rPr>
        <w:t>are</w:t>
      </w:r>
      <w:r w:rsidR="002D6C39">
        <w:rPr>
          <w:lang w:val="en-US"/>
        </w:rPr>
        <w:t xml:space="preserve"> </w:t>
      </w:r>
      <w:r w:rsidR="0028288A" w:rsidRPr="0028288A">
        <w:rPr>
          <w:lang w:val="en-US"/>
        </w:rPr>
        <w:t xml:space="preserve">Chaghi, </w:t>
      </w:r>
      <w:proofErr w:type="spellStart"/>
      <w:r w:rsidR="0028288A" w:rsidRPr="0028288A">
        <w:rPr>
          <w:lang w:val="en-US"/>
        </w:rPr>
        <w:t>Posti</w:t>
      </w:r>
      <w:proofErr w:type="spellEnd"/>
      <w:r w:rsidR="0028288A" w:rsidRPr="0028288A">
        <w:rPr>
          <w:lang w:val="en-US"/>
        </w:rPr>
        <w:t>, Lejay</w:t>
      </w:r>
      <w:r w:rsidR="0034069A" w:rsidRPr="0072392E">
        <w:rPr>
          <w:lang w:val="en-US"/>
        </w:rPr>
        <w:t xml:space="preserve"> Karez</w:t>
      </w:r>
      <w:r w:rsidR="0028288A" w:rsidRPr="0028288A">
        <w:rPr>
          <w:lang w:val="en-US"/>
        </w:rPr>
        <w:t xml:space="preserve">, Surkhab, Saranan, </w:t>
      </w:r>
      <w:proofErr w:type="spellStart"/>
      <w:r w:rsidR="0028288A" w:rsidRPr="0028288A">
        <w:rPr>
          <w:lang w:val="en-US"/>
        </w:rPr>
        <w:t>Zarh</w:t>
      </w:r>
      <w:proofErr w:type="spellEnd"/>
      <w:r w:rsidR="0028288A" w:rsidRPr="0028288A">
        <w:rPr>
          <w:lang w:val="en-US"/>
        </w:rPr>
        <w:t xml:space="preserve"> </w:t>
      </w:r>
      <w:proofErr w:type="spellStart"/>
      <w:r w:rsidR="0028288A" w:rsidRPr="0028288A">
        <w:rPr>
          <w:lang w:val="en-US"/>
        </w:rPr>
        <w:t>Karaiz</w:t>
      </w:r>
      <w:proofErr w:type="spellEnd"/>
      <w:r w:rsidR="0028288A" w:rsidRPr="0028288A">
        <w:rPr>
          <w:lang w:val="en-US"/>
        </w:rPr>
        <w:t xml:space="preserve">, </w:t>
      </w:r>
      <w:proofErr w:type="spellStart"/>
      <w:r w:rsidR="0028288A" w:rsidRPr="0028288A">
        <w:rPr>
          <w:lang w:val="en-US"/>
        </w:rPr>
        <w:t>Katwai</w:t>
      </w:r>
      <w:proofErr w:type="spellEnd"/>
      <w:r w:rsidR="0028288A" w:rsidRPr="0028288A">
        <w:rPr>
          <w:lang w:val="en-US"/>
        </w:rPr>
        <w:t xml:space="preserve">, </w:t>
      </w:r>
      <w:proofErr w:type="spellStart"/>
      <w:r w:rsidR="0028288A" w:rsidRPr="0028288A">
        <w:rPr>
          <w:lang w:val="en-US"/>
        </w:rPr>
        <w:t>Ghazagi</w:t>
      </w:r>
      <w:proofErr w:type="spellEnd"/>
      <w:r w:rsidR="0028288A" w:rsidRPr="0028288A">
        <w:rPr>
          <w:lang w:val="en-US"/>
        </w:rPr>
        <w:t xml:space="preserve"> Minara, Malgagai</w:t>
      </w:r>
      <w:r w:rsidR="00E43E31" w:rsidRPr="0072392E">
        <w:rPr>
          <w:lang w:val="en-US"/>
        </w:rPr>
        <w:t xml:space="preserve"> and </w:t>
      </w:r>
      <w:r w:rsidR="0028288A" w:rsidRPr="0028288A">
        <w:rPr>
          <w:lang w:val="en-US"/>
        </w:rPr>
        <w:t xml:space="preserve">Mohammad </w:t>
      </w:r>
      <w:proofErr w:type="spellStart"/>
      <w:r w:rsidR="0034069A" w:rsidRPr="0072392E">
        <w:rPr>
          <w:lang w:val="en-US"/>
        </w:rPr>
        <w:t>K</w:t>
      </w:r>
      <w:r w:rsidR="0028288A" w:rsidRPr="0028288A">
        <w:rPr>
          <w:lang w:val="en-US"/>
        </w:rPr>
        <w:t>h</w:t>
      </w:r>
      <w:r w:rsidR="00CA244A">
        <w:rPr>
          <w:lang w:val="en-US"/>
        </w:rPr>
        <w:t>e</w:t>
      </w:r>
      <w:r w:rsidR="0028288A" w:rsidRPr="0028288A">
        <w:rPr>
          <w:lang w:val="en-US"/>
        </w:rPr>
        <w:t>il</w:t>
      </w:r>
      <w:proofErr w:type="spellEnd"/>
      <w:r w:rsidR="0028288A" w:rsidRPr="0028288A">
        <w:rPr>
          <w:lang w:val="en-US"/>
        </w:rPr>
        <w:t>.</w:t>
      </w:r>
    </w:p>
    <w:p w14:paraId="650D6CEB" w14:textId="7B0A040F" w:rsidR="00D46596" w:rsidRDefault="00D46596" w:rsidP="004212D9">
      <w:pPr>
        <w:jc w:val="both"/>
        <w:rPr>
          <w:lang w:val="en-US"/>
        </w:rPr>
      </w:pPr>
      <w:r>
        <w:rPr>
          <w:lang w:val="en-US"/>
        </w:rPr>
        <w:t xml:space="preserve">Individual GBV incident reports as well as focus group discussions with women and girls, </w:t>
      </w:r>
      <w:r w:rsidR="00BC3B3F">
        <w:rPr>
          <w:lang w:val="en-US"/>
        </w:rPr>
        <w:t xml:space="preserve">evidently </w:t>
      </w:r>
      <w:r w:rsidR="002A7D0C">
        <w:rPr>
          <w:lang w:val="en-US"/>
        </w:rPr>
        <w:t xml:space="preserve">show that </w:t>
      </w:r>
      <w:r w:rsidR="00CF4253">
        <w:rPr>
          <w:lang w:val="en-US"/>
        </w:rPr>
        <w:t>I</w:t>
      </w:r>
      <w:r w:rsidR="002A7D0C">
        <w:rPr>
          <w:lang w:val="en-US"/>
        </w:rPr>
        <w:t xml:space="preserve">ntimate </w:t>
      </w:r>
      <w:r w:rsidR="00CF4253">
        <w:rPr>
          <w:lang w:val="en-US"/>
        </w:rPr>
        <w:t>P</w:t>
      </w:r>
      <w:r w:rsidR="002A7D0C">
        <w:rPr>
          <w:lang w:val="en-US"/>
        </w:rPr>
        <w:t xml:space="preserve">artner </w:t>
      </w:r>
      <w:r w:rsidR="00CF4253">
        <w:rPr>
          <w:lang w:val="en-US"/>
        </w:rPr>
        <w:t>V</w:t>
      </w:r>
      <w:r w:rsidR="002A7D0C">
        <w:rPr>
          <w:lang w:val="en-US"/>
        </w:rPr>
        <w:t>iolence</w:t>
      </w:r>
      <w:r w:rsidR="00CF4253">
        <w:rPr>
          <w:lang w:val="en-US"/>
        </w:rPr>
        <w:t xml:space="preserve"> (IPV)</w:t>
      </w:r>
      <w:r w:rsidR="002A7D0C">
        <w:rPr>
          <w:lang w:val="en-US"/>
        </w:rPr>
        <w:t xml:space="preserve">, early and forced child marriages as well as </w:t>
      </w:r>
      <w:r w:rsidR="005C7A3D">
        <w:rPr>
          <w:lang w:val="en-US"/>
        </w:rPr>
        <w:t xml:space="preserve">denial of resources of opportunities for women and girls, are </w:t>
      </w:r>
      <w:r w:rsidR="00BC3B3F">
        <w:rPr>
          <w:lang w:val="en-US"/>
        </w:rPr>
        <w:t>among the</w:t>
      </w:r>
      <w:r w:rsidR="005C7A3D">
        <w:rPr>
          <w:lang w:val="en-US"/>
        </w:rPr>
        <w:t xml:space="preserve"> main forms</w:t>
      </w:r>
      <w:r w:rsidR="00F73365">
        <w:rPr>
          <w:lang w:val="en-US"/>
        </w:rPr>
        <w:t xml:space="preserve"> of GBV violations in Balochistan. Fear of stigmatization and ostracization from their families and communities have consistently affected </w:t>
      </w:r>
      <w:r w:rsidR="001955CA">
        <w:rPr>
          <w:lang w:val="en-US"/>
        </w:rPr>
        <w:t xml:space="preserve">the disclosure of GBV incidents from female members of the Afghan society. </w:t>
      </w:r>
      <w:r w:rsidR="008C55A2">
        <w:rPr>
          <w:lang w:val="en-US"/>
        </w:rPr>
        <w:t>The ones brave enough to report GBV and request for requisite assistance</w:t>
      </w:r>
      <w:r w:rsidR="000D5B3B">
        <w:rPr>
          <w:lang w:val="en-US"/>
        </w:rPr>
        <w:t>,</w:t>
      </w:r>
      <w:r w:rsidR="008C55A2">
        <w:rPr>
          <w:lang w:val="en-US"/>
        </w:rPr>
        <w:t xml:space="preserve"> are hardly ever willing to </w:t>
      </w:r>
      <w:r w:rsidR="00000F13">
        <w:rPr>
          <w:lang w:val="en-US"/>
        </w:rPr>
        <w:t xml:space="preserve">make police reports or request legal assistance. Nonetheless, </w:t>
      </w:r>
      <w:r w:rsidR="003716AC">
        <w:rPr>
          <w:lang w:val="en-US"/>
        </w:rPr>
        <w:t>Psyc</w:t>
      </w:r>
      <w:r w:rsidR="00000F13">
        <w:rPr>
          <w:lang w:val="en-US"/>
        </w:rPr>
        <w:t>ho-</w:t>
      </w:r>
      <w:r w:rsidR="003716AC">
        <w:rPr>
          <w:lang w:val="en-US"/>
        </w:rPr>
        <w:t>S</w:t>
      </w:r>
      <w:r w:rsidR="00000F13">
        <w:rPr>
          <w:lang w:val="en-US"/>
        </w:rPr>
        <w:t xml:space="preserve">ocial </w:t>
      </w:r>
      <w:r w:rsidR="003716AC">
        <w:rPr>
          <w:lang w:val="en-US"/>
        </w:rPr>
        <w:t>S</w:t>
      </w:r>
      <w:r w:rsidR="00000F13">
        <w:rPr>
          <w:lang w:val="en-US"/>
        </w:rPr>
        <w:t xml:space="preserve">upport </w:t>
      </w:r>
      <w:r w:rsidR="003716AC">
        <w:rPr>
          <w:lang w:val="en-US"/>
        </w:rPr>
        <w:t xml:space="preserve">(PSS) </w:t>
      </w:r>
      <w:r w:rsidR="00000F13">
        <w:rPr>
          <w:lang w:val="en-US"/>
        </w:rPr>
        <w:t>is one of the key services requested by GBV survivors in Balochistan.</w:t>
      </w:r>
      <w:r w:rsidR="00553248">
        <w:rPr>
          <w:lang w:val="en-US"/>
        </w:rPr>
        <w:t xml:space="preserve"> Both WESS and DANESH have in-house Psychosocial Counsellors that provide </w:t>
      </w:r>
      <w:r w:rsidR="003716AC">
        <w:rPr>
          <w:lang w:val="en-US"/>
        </w:rPr>
        <w:t>PSS services to GBV survivors.</w:t>
      </w:r>
    </w:p>
    <w:p w14:paraId="426321D4" w14:textId="71AAD232" w:rsidR="000D5B3B" w:rsidRPr="0028288A" w:rsidRDefault="000D5B3B" w:rsidP="004212D9">
      <w:pPr>
        <w:jc w:val="both"/>
        <w:rPr>
          <w:lang w:val="en-US"/>
        </w:rPr>
      </w:pPr>
      <w:r>
        <w:rPr>
          <w:lang w:val="en-US"/>
        </w:rPr>
        <w:t xml:space="preserve">Men and boys are </w:t>
      </w:r>
      <w:r w:rsidR="003716AC">
        <w:rPr>
          <w:lang w:val="en-US"/>
        </w:rPr>
        <w:t>often</w:t>
      </w:r>
      <w:r w:rsidR="00DB1430">
        <w:rPr>
          <w:lang w:val="en-US"/>
        </w:rPr>
        <w:t xml:space="preserve"> involved in GBV awareness-raising activities in both Quetta urban and the RV locations. </w:t>
      </w:r>
      <w:r w:rsidR="00C8196F">
        <w:rPr>
          <w:lang w:val="en-US"/>
        </w:rPr>
        <w:t xml:space="preserve">Challenges in </w:t>
      </w:r>
      <w:r w:rsidR="005457F6">
        <w:rPr>
          <w:lang w:val="en-US"/>
        </w:rPr>
        <w:t xml:space="preserve">the male behavioural change are </w:t>
      </w:r>
      <w:r w:rsidR="003716AC">
        <w:rPr>
          <w:lang w:val="en-US"/>
        </w:rPr>
        <w:t xml:space="preserve">however </w:t>
      </w:r>
      <w:r w:rsidR="005457F6">
        <w:rPr>
          <w:lang w:val="en-US"/>
        </w:rPr>
        <w:t>compounded by both religious and socio-cultural reasons</w:t>
      </w:r>
      <w:r w:rsidR="0064062A">
        <w:rPr>
          <w:lang w:val="en-US"/>
        </w:rPr>
        <w:t xml:space="preserve">, where most </w:t>
      </w:r>
      <w:r w:rsidR="003716AC">
        <w:rPr>
          <w:lang w:val="en-US"/>
        </w:rPr>
        <w:t>males</w:t>
      </w:r>
      <w:r w:rsidR="0064062A">
        <w:rPr>
          <w:lang w:val="en-US"/>
        </w:rPr>
        <w:t xml:space="preserve"> do not challenge their perception of </w:t>
      </w:r>
      <w:r w:rsidR="00D302D2">
        <w:rPr>
          <w:lang w:val="en-US"/>
        </w:rPr>
        <w:t xml:space="preserve">maleness, femaleness and </w:t>
      </w:r>
      <w:r w:rsidR="00A36417">
        <w:rPr>
          <w:lang w:val="en-US"/>
        </w:rPr>
        <w:t>improper treatment of women and girls</w:t>
      </w:r>
      <w:r w:rsidR="003716AC">
        <w:rPr>
          <w:lang w:val="en-US"/>
        </w:rPr>
        <w:t xml:space="preserve"> in their families and communities</w:t>
      </w:r>
      <w:r w:rsidR="00A36417">
        <w:rPr>
          <w:lang w:val="en-US"/>
        </w:rPr>
        <w:t>. On the contrary, their strict imposition of negative cultural sanctions against the</w:t>
      </w:r>
      <w:r w:rsidR="003716AC">
        <w:rPr>
          <w:lang w:val="en-US"/>
        </w:rPr>
        <w:t>ir</w:t>
      </w:r>
      <w:r w:rsidR="00A36417">
        <w:rPr>
          <w:lang w:val="en-US"/>
        </w:rPr>
        <w:t xml:space="preserve"> female</w:t>
      </w:r>
      <w:r w:rsidR="0025362B">
        <w:rPr>
          <w:lang w:val="en-US"/>
        </w:rPr>
        <w:t xml:space="preserve">s, is “defended” as their way of protecting them from “other men”. </w:t>
      </w:r>
    </w:p>
    <w:p w14:paraId="18C466E5" w14:textId="17960420" w:rsidR="00616750" w:rsidRPr="00616750" w:rsidRDefault="00616750" w:rsidP="004212D9">
      <w:pPr>
        <w:jc w:val="both"/>
        <w:rPr>
          <w:b/>
          <w:bCs/>
          <w:sz w:val="28"/>
          <w:szCs w:val="28"/>
          <w:lang w:val="en-PK"/>
        </w:rPr>
      </w:pPr>
      <w:r w:rsidRPr="00616750">
        <w:rPr>
          <w:b/>
          <w:bCs/>
          <w:sz w:val="28"/>
          <w:szCs w:val="28"/>
          <w:lang w:val="en-PK"/>
        </w:rPr>
        <w:t>Scope of Work</w:t>
      </w:r>
      <w:r w:rsidR="001A7FF7">
        <w:rPr>
          <w:b/>
          <w:bCs/>
          <w:sz w:val="28"/>
          <w:szCs w:val="28"/>
          <w:lang w:val="en-US"/>
        </w:rPr>
        <w:t xml:space="preserve"> </w:t>
      </w:r>
      <w:r w:rsidRPr="00616750">
        <w:rPr>
          <w:b/>
          <w:bCs/>
          <w:sz w:val="28"/>
          <w:szCs w:val="28"/>
          <w:lang w:val="en-PK"/>
        </w:rPr>
        <w:t>and Deliverables</w:t>
      </w:r>
    </w:p>
    <w:p w14:paraId="04750DCC" w14:textId="5D989247" w:rsidR="004F4836" w:rsidRDefault="004F4836" w:rsidP="004212D9">
      <w:pPr>
        <w:jc w:val="both"/>
        <w:rPr>
          <w:lang w:val="en-US"/>
        </w:rPr>
      </w:pPr>
      <w:r>
        <w:rPr>
          <w:lang w:val="en-US"/>
        </w:rPr>
        <w:t xml:space="preserve">The consultancy will entail </w:t>
      </w:r>
      <w:r w:rsidR="00331037">
        <w:rPr>
          <w:lang w:val="en-US"/>
        </w:rPr>
        <w:t xml:space="preserve">an assessment of the existing GBV programme and solid recommendations </w:t>
      </w:r>
      <w:r w:rsidR="002B30B4">
        <w:rPr>
          <w:lang w:val="en-US"/>
        </w:rPr>
        <w:t xml:space="preserve">of holistic gender transformative actions vis-à-vis the knowledge of the </w:t>
      </w:r>
      <w:r w:rsidR="00A25073">
        <w:rPr>
          <w:lang w:val="en-US"/>
        </w:rPr>
        <w:t>operational context. Specifically, the following activities are envisaged:</w:t>
      </w:r>
    </w:p>
    <w:p w14:paraId="6DDA8BA4" w14:textId="722B5BFE" w:rsidR="00505223" w:rsidRPr="002319D7" w:rsidRDefault="00505223" w:rsidP="004212D9">
      <w:pPr>
        <w:pStyle w:val="ListParagraph"/>
        <w:numPr>
          <w:ilvl w:val="0"/>
          <w:numId w:val="6"/>
        </w:numPr>
        <w:jc w:val="both"/>
        <w:rPr>
          <w:lang w:val="en-US"/>
        </w:rPr>
      </w:pPr>
      <w:r w:rsidRPr="002319D7">
        <w:rPr>
          <w:lang w:val="en-US"/>
        </w:rPr>
        <w:t xml:space="preserve">Conduct a thorough desk review of available secondary data including for UNHCR and its Partners’ </w:t>
      </w:r>
      <w:r w:rsidR="00387009" w:rsidRPr="002319D7">
        <w:rPr>
          <w:lang w:val="en-US"/>
        </w:rPr>
        <w:t xml:space="preserve">available </w:t>
      </w:r>
      <w:r w:rsidRPr="002319D7">
        <w:rPr>
          <w:lang w:val="en-US"/>
        </w:rPr>
        <w:t>assessments</w:t>
      </w:r>
      <w:r w:rsidR="00F43D20" w:rsidRPr="002319D7">
        <w:rPr>
          <w:lang w:val="en-US"/>
        </w:rPr>
        <w:t>.</w:t>
      </w:r>
    </w:p>
    <w:p w14:paraId="6FFF0648" w14:textId="61E231F0" w:rsidR="00E15020" w:rsidRPr="002319D7" w:rsidRDefault="00E15020" w:rsidP="004212D9">
      <w:pPr>
        <w:pStyle w:val="ListParagraph"/>
        <w:numPr>
          <w:ilvl w:val="0"/>
          <w:numId w:val="6"/>
        </w:numPr>
        <w:jc w:val="both"/>
        <w:rPr>
          <w:lang w:val="en-US"/>
        </w:rPr>
      </w:pPr>
      <w:r w:rsidRPr="002319D7">
        <w:rPr>
          <w:lang w:val="en-US"/>
        </w:rPr>
        <w:t>In-depth assessment of UNHCR Sub-Office Quetta’s existing GBV programm</w:t>
      </w:r>
      <w:r w:rsidR="00F43D20" w:rsidRPr="002319D7">
        <w:rPr>
          <w:lang w:val="en-US"/>
        </w:rPr>
        <w:t>ing</w:t>
      </w:r>
      <w:r w:rsidR="00415901" w:rsidRPr="002319D7">
        <w:rPr>
          <w:lang w:val="en-US"/>
        </w:rPr>
        <w:t xml:space="preserve"> (prevention, risk mitigation and response)</w:t>
      </w:r>
      <w:r w:rsidR="00DF0EDB">
        <w:rPr>
          <w:lang w:val="en-US"/>
        </w:rPr>
        <w:t xml:space="preserve">, </w:t>
      </w:r>
      <w:r w:rsidR="00DF0EDB" w:rsidRPr="00C43B3D">
        <w:rPr>
          <w:lang w:val="en-US"/>
        </w:rPr>
        <w:t xml:space="preserve">including GBV </w:t>
      </w:r>
      <w:r w:rsidR="00663E85" w:rsidRPr="00C43B3D">
        <w:rPr>
          <w:lang w:val="en-US"/>
        </w:rPr>
        <w:t>during emergencies (</w:t>
      </w:r>
      <w:proofErr w:type="gramStart"/>
      <w:r w:rsidR="00663E85" w:rsidRPr="00C43B3D">
        <w:rPr>
          <w:lang w:val="en-US"/>
        </w:rPr>
        <w:t>e.g.</w:t>
      </w:r>
      <w:proofErr w:type="gramEnd"/>
      <w:r w:rsidR="00663E85" w:rsidRPr="00C43B3D">
        <w:rPr>
          <w:lang w:val="en-US"/>
        </w:rPr>
        <w:t xml:space="preserve"> floods).</w:t>
      </w:r>
    </w:p>
    <w:p w14:paraId="25A0EEC5" w14:textId="296D8D2D" w:rsidR="00E15020" w:rsidRPr="002319D7" w:rsidRDefault="00F43D20" w:rsidP="004212D9">
      <w:pPr>
        <w:pStyle w:val="ListParagraph"/>
        <w:numPr>
          <w:ilvl w:val="0"/>
          <w:numId w:val="6"/>
        </w:numPr>
        <w:jc w:val="both"/>
        <w:rPr>
          <w:lang w:val="en-US"/>
        </w:rPr>
      </w:pPr>
      <w:r w:rsidRPr="002319D7">
        <w:rPr>
          <w:lang w:val="en-US"/>
        </w:rPr>
        <w:t>An evaluation</w:t>
      </w:r>
      <w:r w:rsidR="00E15020" w:rsidRPr="002319D7">
        <w:rPr>
          <w:lang w:val="en-US"/>
        </w:rPr>
        <w:t xml:space="preserve"> of the factors affecting disclosure of GBV incidents and access of services</w:t>
      </w:r>
      <w:r w:rsidR="00AF1BA3" w:rsidRPr="002319D7">
        <w:rPr>
          <w:lang w:val="en-US"/>
        </w:rPr>
        <w:t>.</w:t>
      </w:r>
    </w:p>
    <w:p w14:paraId="29F4C3B9" w14:textId="700B8C99" w:rsidR="00E15020" w:rsidRPr="002319D7" w:rsidRDefault="00AF1BA3" w:rsidP="004212D9">
      <w:pPr>
        <w:pStyle w:val="ListParagraph"/>
        <w:numPr>
          <w:ilvl w:val="0"/>
          <w:numId w:val="6"/>
        </w:numPr>
        <w:jc w:val="both"/>
        <w:rPr>
          <w:lang w:val="en-US"/>
        </w:rPr>
      </w:pPr>
      <w:r w:rsidRPr="002319D7">
        <w:rPr>
          <w:lang w:val="en-US"/>
        </w:rPr>
        <w:t xml:space="preserve">A thorough assessment </w:t>
      </w:r>
      <w:r w:rsidR="00E15020" w:rsidRPr="002319D7">
        <w:rPr>
          <w:lang w:val="en-US"/>
        </w:rPr>
        <w:t>of traditional conflict resolution mechanisms to address GBV (especially in instances of IPV), vis-à-vis the</w:t>
      </w:r>
      <w:r w:rsidR="00087D3E">
        <w:rPr>
          <w:lang w:val="en-US"/>
        </w:rPr>
        <w:t xml:space="preserve"> st</w:t>
      </w:r>
      <w:r w:rsidR="00393F2C">
        <w:rPr>
          <w:lang w:val="en-US"/>
        </w:rPr>
        <w:t>ipulated</w:t>
      </w:r>
      <w:r w:rsidR="00E15020" w:rsidRPr="002319D7">
        <w:rPr>
          <w:lang w:val="en-US"/>
        </w:rPr>
        <w:t xml:space="preserve"> international GBV standards (specifically, non-promotion of mediation as a way of resolving GBV issues).</w:t>
      </w:r>
    </w:p>
    <w:p w14:paraId="630038BB" w14:textId="0247113C" w:rsidR="00CF4253" w:rsidRDefault="00BE7250" w:rsidP="004212D9">
      <w:pPr>
        <w:pStyle w:val="ListParagraph"/>
        <w:numPr>
          <w:ilvl w:val="0"/>
          <w:numId w:val="6"/>
        </w:numPr>
        <w:jc w:val="both"/>
        <w:rPr>
          <w:lang w:val="en-US"/>
        </w:rPr>
      </w:pPr>
      <w:r w:rsidRPr="00C43B3D">
        <w:rPr>
          <w:lang w:val="en-US"/>
        </w:rPr>
        <w:t>Through a gender analysis framework,</w:t>
      </w:r>
      <w:r>
        <w:rPr>
          <w:lang w:val="en-US"/>
        </w:rPr>
        <w:t xml:space="preserve"> </w:t>
      </w:r>
      <w:r w:rsidR="004F26E1">
        <w:rPr>
          <w:lang w:val="en-US"/>
        </w:rPr>
        <w:t>develop r</w:t>
      </w:r>
      <w:r w:rsidR="00415901" w:rsidRPr="002319D7">
        <w:rPr>
          <w:lang w:val="en-US"/>
        </w:rPr>
        <w:t xml:space="preserve">elevant </w:t>
      </w:r>
      <w:r w:rsidR="006F2CEB" w:rsidRPr="002319D7">
        <w:rPr>
          <w:lang w:val="en-US"/>
        </w:rPr>
        <w:t>and implementable gender transformative approaches</w:t>
      </w:r>
      <w:r w:rsidR="00AD1A3D" w:rsidRPr="002319D7">
        <w:rPr>
          <w:lang w:val="en-US"/>
        </w:rPr>
        <w:t xml:space="preserve"> and actions</w:t>
      </w:r>
      <w:r w:rsidR="006F2CEB" w:rsidRPr="002319D7">
        <w:rPr>
          <w:lang w:val="en-US"/>
        </w:rPr>
        <w:t xml:space="preserve"> </w:t>
      </w:r>
      <w:proofErr w:type="gramStart"/>
      <w:r w:rsidR="006F2CEB" w:rsidRPr="002319D7">
        <w:rPr>
          <w:lang w:val="en-US"/>
        </w:rPr>
        <w:t>in the area of</w:t>
      </w:r>
      <w:proofErr w:type="gramEnd"/>
      <w:r w:rsidR="006F2CEB" w:rsidRPr="002319D7">
        <w:rPr>
          <w:lang w:val="en-US"/>
        </w:rPr>
        <w:t xml:space="preserve"> responsibility.</w:t>
      </w:r>
      <w:r w:rsidR="00F15BDC" w:rsidRPr="002319D7">
        <w:rPr>
          <w:lang w:val="en-US"/>
        </w:rPr>
        <w:t xml:space="preserve"> To this end, develop a </w:t>
      </w:r>
      <w:r w:rsidR="008C1E7E" w:rsidRPr="002319D7">
        <w:rPr>
          <w:lang w:val="en-US"/>
        </w:rPr>
        <w:t xml:space="preserve">simple but practical </w:t>
      </w:r>
      <w:r w:rsidR="00F15BDC" w:rsidRPr="002319D7">
        <w:rPr>
          <w:lang w:val="en-US"/>
        </w:rPr>
        <w:t>manual</w:t>
      </w:r>
      <w:r w:rsidR="008C1E7E" w:rsidRPr="002319D7">
        <w:rPr>
          <w:lang w:val="en-US"/>
        </w:rPr>
        <w:t xml:space="preserve"> for use by UNHC</w:t>
      </w:r>
      <w:r w:rsidR="0062495C" w:rsidRPr="002319D7">
        <w:rPr>
          <w:lang w:val="en-US"/>
        </w:rPr>
        <w:t xml:space="preserve">R and its partners to guide men, women, </w:t>
      </w:r>
      <w:proofErr w:type="gramStart"/>
      <w:r w:rsidR="0062495C" w:rsidRPr="002319D7">
        <w:rPr>
          <w:lang w:val="en-US"/>
        </w:rPr>
        <w:t>boys</w:t>
      </w:r>
      <w:proofErr w:type="gramEnd"/>
      <w:r w:rsidR="0062495C" w:rsidRPr="002319D7">
        <w:rPr>
          <w:lang w:val="en-US"/>
        </w:rPr>
        <w:t xml:space="preserve"> and girls in the Afghan communities</w:t>
      </w:r>
      <w:r w:rsidR="00393F2C">
        <w:rPr>
          <w:lang w:val="en-US"/>
        </w:rPr>
        <w:t xml:space="preserve"> in</w:t>
      </w:r>
      <w:r w:rsidR="003D3398">
        <w:rPr>
          <w:lang w:val="en-US"/>
        </w:rPr>
        <w:t xml:space="preserve"> tackling the root causes of GBV, providing </w:t>
      </w:r>
      <w:r w:rsidR="00082A81">
        <w:rPr>
          <w:lang w:val="en-US"/>
        </w:rPr>
        <w:t>tools</w:t>
      </w:r>
      <w:r w:rsidR="003D3398">
        <w:rPr>
          <w:lang w:val="en-US"/>
        </w:rPr>
        <w:t xml:space="preserve"> to </w:t>
      </w:r>
      <w:r w:rsidR="003D3398">
        <w:rPr>
          <w:lang w:val="en-US"/>
        </w:rPr>
        <w:lastRenderedPageBreak/>
        <w:t>families</w:t>
      </w:r>
      <w:r w:rsidR="00082A81">
        <w:rPr>
          <w:lang w:val="en-US"/>
        </w:rPr>
        <w:t xml:space="preserve"> in the deterrence of GBV as well as extending support to GBV survivors</w:t>
      </w:r>
      <w:r w:rsidR="0062495C" w:rsidRPr="002319D7">
        <w:rPr>
          <w:lang w:val="en-US"/>
        </w:rPr>
        <w:t>.</w:t>
      </w:r>
      <w:r w:rsidR="008E2610">
        <w:rPr>
          <w:lang w:val="en-US"/>
        </w:rPr>
        <w:t xml:space="preserve"> </w:t>
      </w:r>
      <w:r w:rsidR="000525B3">
        <w:rPr>
          <w:lang w:val="en-US"/>
        </w:rPr>
        <w:t>The</w:t>
      </w:r>
      <w:r w:rsidR="008E2610">
        <w:rPr>
          <w:lang w:val="en-US"/>
        </w:rPr>
        <w:t xml:space="preserve"> </w:t>
      </w:r>
      <w:r w:rsidR="009C760E">
        <w:rPr>
          <w:lang w:val="en-US"/>
        </w:rPr>
        <w:t xml:space="preserve">electronic </w:t>
      </w:r>
      <w:r w:rsidR="008E2610">
        <w:rPr>
          <w:lang w:val="en-US"/>
        </w:rPr>
        <w:t xml:space="preserve">manual </w:t>
      </w:r>
      <w:r w:rsidR="000525B3">
        <w:rPr>
          <w:lang w:val="en-US"/>
        </w:rPr>
        <w:t xml:space="preserve">guide </w:t>
      </w:r>
      <w:r w:rsidR="008E2610">
        <w:rPr>
          <w:lang w:val="en-US"/>
        </w:rPr>
        <w:t xml:space="preserve">will </w:t>
      </w:r>
      <w:r w:rsidR="000525B3">
        <w:rPr>
          <w:lang w:val="en-US"/>
        </w:rPr>
        <w:t xml:space="preserve">be delivered to the staff via a </w:t>
      </w:r>
      <w:r w:rsidR="009A1C48">
        <w:rPr>
          <w:lang w:val="en-US"/>
        </w:rPr>
        <w:t>1 or 2-day training session.</w:t>
      </w:r>
    </w:p>
    <w:p w14:paraId="58A98D99" w14:textId="3CB6C73E" w:rsidR="009A1C48" w:rsidRDefault="009A1C48" w:rsidP="004212D9">
      <w:pPr>
        <w:pStyle w:val="ListParagraph"/>
        <w:numPr>
          <w:ilvl w:val="0"/>
          <w:numId w:val="6"/>
        </w:numPr>
        <w:jc w:val="both"/>
        <w:rPr>
          <w:lang w:val="en-US"/>
        </w:rPr>
      </w:pPr>
      <w:r>
        <w:rPr>
          <w:lang w:val="en-US"/>
        </w:rPr>
        <w:t>Thorough de-brief of the project with UNHCR</w:t>
      </w:r>
      <w:r w:rsidR="00667C9A">
        <w:rPr>
          <w:lang w:val="en-US"/>
        </w:rPr>
        <w:t xml:space="preserve"> Quetta</w:t>
      </w:r>
      <w:r>
        <w:rPr>
          <w:lang w:val="en-US"/>
        </w:rPr>
        <w:t xml:space="preserve">’s </w:t>
      </w:r>
      <w:r w:rsidR="00667C9A">
        <w:rPr>
          <w:lang w:val="en-US"/>
        </w:rPr>
        <w:t>Senior Management and other relevant staff.</w:t>
      </w:r>
    </w:p>
    <w:p w14:paraId="37044229" w14:textId="04346CF9" w:rsidR="00B03007" w:rsidRPr="00B03007" w:rsidRDefault="00B03007" w:rsidP="004212D9">
      <w:pPr>
        <w:jc w:val="both"/>
        <w:rPr>
          <w:lang w:val="en-US"/>
        </w:rPr>
      </w:pPr>
      <w:r w:rsidRPr="00B03007">
        <w:rPr>
          <w:lang w:val="en-US"/>
        </w:rPr>
        <w:t>The draft report will be reviewed by UNHCR Sub Office Multi-Functional Team, which can request any subsequent feedback, corrections, or changes to the final report. The report must be submitted in electronic version.</w:t>
      </w:r>
    </w:p>
    <w:p w14:paraId="5B471722" w14:textId="77777777" w:rsidR="0092338D" w:rsidRPr="0092338D" w:rsidRDefault="0092338D" w:rsidP="004212D9">
      <w:pPr>
        <w:jc w:val="both"/>
        <w:rPr>
          <w:b/>
          <w:bCs/>
          <w:sz w:val="28"/>
          <w:szCs w:val="28"/>
          <w:lang w:val="en-PK"/>
        </w:rPr>
      </w:pPr>
      <w:r w:rsidRPr="0092338D">
        <w:rPr>
          <w:b/>
          <w:bCs/>
          <w:sz w:val="28"/>
          <w:szCs w:val="28"/>
          <w:lang w:val="en-PK"/>
        </w:rPr>
        <w:t xml:space="preserve">Geographical Location of the Assignment </w:t>
      </w:r>
    </w:p>
    <w:p w14:paraId="6830D5C7" w14:textId="77777777" w:rsidR="00C54200" w:rsidRDefault="0092338D" w:rsidP="004212D9">
      <w:pPr>
        <w:jc w:val="both"/>
        <w:rPr>
          <w:bCs/>
          <w:lang w:val="en-US"/>
        </w:rPr>
      </w:pPr>
      <w:r w:rsidRPr="0092338D">
        <w:rPr>
          <w:bCs/>
          <w:lang w:val="en-US"/>
        </w:rPr>
        <w:t xml:space="preserve">The consultancy will be field based conducted in </w:t>
      </w:r>
      <w:r>
        <w:rPr>
          <w:bCs/>
          <w:lang w:val="en-US"/>
        </w:rPr>
        <w:t xml:space="preserve">Balochistan province in Quetta. Specifically, the areas to be covered </w:t>
      </w:r>
      <w:r w:rsidR="00C03CFC">
        <w:rPr>
          <w:bCs/>
          <w:lang w:val="en-US"/>
        </w:rPr>
        <w:t>in Quetta urban will cover the following communities-</w:t>
      </w:r>
      <w:r w:rsidR="0013265F">
        <w:rPr>
          <w:bCs/>
          <w:lang w:val="en-US"/>
        </w:rPr>
        <w:t xml:space="preserve"> the Uzbek, Tajik, </w:t>
      </w:r>
      <w:proofErr w:type="spellStart"/>
      <w:r w:rsidR="0013265F">
        <w:rPr>
          <w:bCs/>
          <w:lang w:val="en-US"/>
        </w:rPr>
        <w:t>Pashtoon</w:t>
      </w:r>
      <w:proofErr w:type="spellEnd"/>
      <w:r w:rsidR="0013265F">
        <w:rPr>
          <w:bCs/>
          <w:lang w:val="en-US"/>
        </w:rPr>
        <w:t xml:space="preserve"> and Hazara. </w:t>
      </w:r>
      <w:r w:rsidR="00124C89">
        <w:rPr>
          <w:bCs/>
          <w:lang w:val="en-US"/>
        </w:rPr>
        <w:t>Around 90% of the population i</w:t>
      </w:r>
      <w:r w:rsidR="0013265F">
        <w:rPr>
          <w:bCs/>
          <w:lang w:val="en-US"/>
        </w:rPr>
        <w:t>n the RVs</w:t>
      </w:r>
      <w:r w:rsidR="00124C89">
        <w:rPr>
          <w:bCs/>
          <w:lang w:val="en-US"/>
        </w:rPr>
        <w:t xml:space="preserve"> are from the </w:t>
      </w:r>
      <w:proofErr w:type="spellStart"/>
      <w:r w:rsidR="00124C89">
        <w:rPr>
          <w:bCs/>
          <w:lang w:val="en-US"/>
        </w:rPr>
        <w:t>Pashtoon</w:t>
      </w:r>
      <w:proofErr w:type="spellEnd"/>
      <w:r w:rsidR="00124C89">
        <w:rPr>
          <w:bCs/>
          <w:lang w:val="en-US"/>
        </w:rPr>
        <w:t xml:space="preserve"> community. </w:t>
      </w:r>
      <w:r w:rsidR="00006F77">
        <w:rPr>
          <w:bCs/>
          <w:lang w:val="en-US"/>
        </w:rPr>
        <w:t xml:space="preserve">The consultancy will cover the following RV locations- </w:t>
      </w:r>
      <w:r w:rsidR="00CA244A">
        <w:rPr>
          <w:bCs/>
          <w:lang w:val="en-US"/>
        </w:rPr>
        <w:t xml:space="preserve">Pishin, Loralai, Chaghi, Malgagai and Muhammad </w:t>
      </w:r>
      <w:proofErr w:type="spellStart"/>
      <w:r w:rsidR="00CA244A">
        <w:rPr>
          <w:bCs/>
          <w:lang w:val="en-US"/>
        </w:rPr>
        <w:t>Kheil</w:t>
      </w:r>
      <w:proofErr w:type="spellEnd"/>
      <w:r w:rsidR="00CA244A">
        <w:rPr>
          <w:bCs/>
          <w:lang w:val="en-US"/>
        </w:rPr>
        <w:t xml:space="preserve">. </w:t>
      </w:r>
    </w:p>
    <w:p w14:paraId="514F538F" w14:textId="34861A52" w:rsidR="0092338D" w:rsidRPr="0092338D" w:rsidRDefault="00767BF9" w:rsidP="004212D9">
      <w:pPr>
        <w:jc w:val="both"/>
        <w:rPr>
          <w:bCs/>
          <w:lang w:val="en-US"/>
        </w:rPr>
      </w:pPr>
      <w:r>
        <w:rPr>
          <w:bCs/>
          <w:lang w:val="en-US"/>
        </w:rPr>
        <w:t xml:space="preserve">A detailed </w:t>
      </w:r>
      <w:r w:rsidR="00133D7C">
        <w:rPr>
          <w:bCs/>
          <w:lang w:val="en-US"/>
        </w:rPr>
        <w:t>explanation of the locations will be provided by UNHCR and its partners</w:t>
      </w:r>
      <w:r w:rsidR="00C54200">
        <w:rPr>
          <w:bCs/>
          <w:lang w:val="en-US"/>
        </w:rPr>
        <w:t>,</w:t>
      </w:r>
      <w:r w:rsidR="00133D7C">
        <w:rPr>
          <w:bCs/>
          <w:lang w:val="en-US"/>
        </w:rPr>
        <w:t xml:space="preserve"> WESS and DANESH, prior to the commencement of the consultancy.</w:t>
      </w:r>
    </w:p>
    <w:p w14:paraId="32BC8BD2" w14:textId="77777777" w:rsidR="00616750" w:rsidRPr="00616750" w:rsidRDefault="00616750" w:rsidP="004212D9">
      <w:pPr>
        <w:jc w:val="both"/>
        <w:rPr>
          <w:b/>
          <w:bCs/>
          <w:sz w:val="28"/>
          <w:szCs w:val="28"/>
          <w:lang w:val="en-PK"/>
        </w:rPr>
      </w:pPr>
      <w:r w:rsidRPr="00616750">
        <w:rPr>
          <w:b/>
          <w:bCs/>
          <w:sz w:val="28"/>
          <w:szCs w:val="28"/>
          <w:lang w:val="en-PK"/>
        </w:rPr>
        <w:t>Working Arrangements</w:t>
      </w:r>
    </w:p>
    <w:p w14:paraId="340989BD" w14:textId="493A7F0E" w:rsidR="00DF05C6" w:rsidRDefault="00D872EA" w:rsidP="004212D9">
      <w:pPr>
        <w:ind w:left="720"/>
        <w:jc w:val="both"/>
        <w:rPr>
          <w:b/>
          <w:bCs/>
        </w:rPr>
      </w:pPr>
      <w:r w:rsidRPr="00D872EA">
        <w:rPr>
          <w:b/>
          <w:bCs/>
        </w:rPr>
        <w:t>Institutional Arrangement</w:t>
      </w:r>
    </w:p>
    <w:p w14:paraId="7DA36A7F" w14:textId="17B24A26" w:rsidR="00EE2935" w:rsidRPr="00EE2935" w:rsidRDefault="00EE2935" w:rsidP="004212D9">
      <w:pPr>
        <w:jc w:val="both"/>
        <w:rPr>
          <w:lang w:val="en-PK"/>
        </w:rPr>
      </w:pPr>
      <w:r w:rsidRPr="00EE2935">
        <w:rPr>
          <w:lang w:val="en-PK"/>
        </w:rPr>
        <w:t xml:space="preserve">The </w:t>
      </w:r>
      <w:r w:rsidR="008201B7" w:rsidRPr="00EE2935">
        <w:rPr>
          <w:lang w:val="en-PK"/>
        </w:rPr>
        <w:t>consultant</w:t>
      </w:r>
      <w:r w:rsidRPr="00B700CE">
        <w:rPr>
          <w:lang w:val="en-US"/>
        </w:rPr>
        <w:t>cy company</w:t>
      </w:r>
      <w:r w:rsidRPr="00EE2935">
        <w:rPr>
          <w:lang w:val="en-PK"/>
        </w:rPr>
        <w:t xml:space="preserve"> will </w:t>
      </w:r>
      <w:r w:rsidR="00736C2A" w:rsidRPr="00B700CE">
        <w:rPr>
          <w:lang w:val="en-US"/>
        </w:rPr>
        <w:t xml:space="preserve">have very close liaison with the Associate GBV Officer </w:t>
      </w:r>
      <w:r w:rsidR="00B700CE" w:rsidRPr="00B700CE">
        <w:rPr>
          <w:lang w:val="en-US"/>
        </w:rPr>
        <w:t xml:space="preserve">as well as other senior Protection Managers </w:t>
      </w:r>
      <w:r w:rsidR="00736C2A" w:rsidRPr="00B700CE">
        <w:rPr>
          <w:lang w:val="en-US"/>
        </w:rPr>
        <w:t>in UNHCR Sub-Office Quetta</w:t>
      </w:r>
      <w:r w:rsidR="00B700CE" w:rsidRPr="00B700CE">
        <w:rPr>
          <w:lang w:val="en-US"/>
        </w:rPr>
        <w:t>.</w:t>
      </w:r>
    </w:p>
    <w:p w14:paraId="0139864C" w14:textId="3D4D9A59" w:rsidR="00EE2935" w:rsidRPr="00EE2935" w:rsidRDefault="00EE2935" w:rsidP="004212D9">
      <w:pPr>
        <w:jc w:val="both"/>
        <w:rPr>
          <w:lang w:val="en-PK"/>
        </w:rPr>
      </w:pPr>
      <w:r w:rsidRPr="00EE2935">
        <w:rPr>
          <w:lang w:val="en-PK"/>
        </w:rPr>
        <w:t xml:space="preserve">The consultant will </w:t>
      </w:r>
      <w:r w:rsidR="00B700CE" w:rsidRPr="00D50173">
        <w:rPr>
          <w:lang w:val="en-US"/>
        </w:rPr>
        <w:t>have</w:t>
      </w:r>
      <w:r w:rsidRPr="00EE2935">
        <w:rPr>
          <w:lang w:val="en-PK"/>
        </w:rPr>
        <w:t xml:space="preserve"> the freedom to decide on the format of the final report, however it is </w:t>
      </w:r>
      <w:r w:rsidR="005932F3" w:rsidRPr="00D50173">
        <w:rPr>
          <w:lang w:val="en-US"/>
        </w:rPr>
        <w:t xml:space="preserve">expected </w:t>
      </w:r>
      <w:r w:rsidRPr="00EE2935">
        <w:rPr>
          <w:lang w:val="en-PK"/>
        </w:rPr>
        <w:t>that the consultant will present an annotated outline which includes a proposal on the format.</w:t>
      </w:r>
    </w:p>
    <w:p w14:paraId="16E1C457" w14:textId="4D097B7A" w:rsidR="00EE2935" w:rsidRPr="00EE2935" w:rsidRDefault="00EE2935" w:rsidP="004212D9">
      <w:pPr>
        <w:jc w:val="both"/>
        <w:rPr>
          <w:lang w:val="en-PK"/>
        </w:rPr>
      </w:pPr>
      <w:r w:rsidRPr="00EE2935">
        <w:rPr>
          <w:lang w:val="en-PK"/>
        </w:rPr>
        <w:t>The consultant is</w:t>
      </w:r>
      <w:r w:rsidR="003A3D5E">
        <w:rPr>
          <w:lang w:val="en-US"/>
        </w:rPr>
        <w:t xml:space="preserve"> also</w:t>
      </w:r>
      <w:r w:rsidRPr="00EE2935">
        <w:rPr>
          <w:lang w:val="en-PK"/>
        </w:rPr>
        <w:t xml:space="preserve"> expected to liaise with </w:t>
      </w:r>
      <w:r w:rsidR="00BC10F7" w:rsidRPr="00D53D9A">
        <w:rPr>
          <w:lang w:val="en-US"/>
        </w:rPr>
        <w:t>UNHCR and other relevant UN</w:t>
      </w:r>
      <w:r w:rsidR="00C9309E" w:rsidRPr="00D53D9A">
        <w:rPr>
          <w:lang w:val="en-US"/>
        </w:rPr>
        <w:t xml:space="preserve"> agencies such as UNFPA, UN Women, </w:t>
      </w:r>
      <w:proofErr w:type="gramStart"/>
      <w:r w:rsidR="00C9309E" w:rsidRPr="00D53D9A">
        <w:rPr>
          <w:lang w:val="en-US"/>
        </w:rPr>
        <w:t>UNICEF</w:t>
      </w:r>
      <w:proofErr w:type="gramEnd"/>
      <w:r w:rsidR="00C9309E" w:rsidRPr="00D53D9A">
        <w:rPr>
          <w:lang w:val="en-US"/>
        </w:rPr>
        <w:t xml:space="preserve"> and IOM</w:t>
      </w:r>
      <w:r w:rsidR="00D70211" w:rsidRPr="00D53D9A">
        <w:rPr>
          <w:lang w:val="en-US"/>
        </w:rPr>
        <w:t xml:space="preserve">, UNHCR’s GBV Partners- WESS and DANESH, </w:t>
      </w:r>
      <w:r w:rsidR="00AA7435" w:rsidRPr="00D53D9A">
        <w:rPr>
          <w:lang w:val="en-US"/>
        </w:rPr>
        <w:t>refugee communities (men, women, boys and girls)</w:t>
      </w:r>
      <w:r w:rsidR="00380F38" w:rsidRPr="00D53D9A">
        <w:rPr>
          <w:lang w:val="en-US"/>
        </w:rPr>
        <w:t>, Social Welfare Department</w:t>
      </w:r>
      <w:r w:rsidR="0081483F" w:rsidRPr="00D53D9A">
        <w:rPr>
          <w:lang w:val="en-US"/>
        </w:rPr>
        <w:t xml:space="preserve"> (SWD)</w:t>
      </w:r>
      <w:r w:rsidR="00380F38" w:rsidRPr="00D53D9A">
        <w:rPr>
          <w:lang w:val="en-US"/>
        </w:rPr>
        <w:t xml:space="preserve">, Women Development Department </w:t>
      </w:r>
      <w:r w:rsidR="0081483F" w:rsidRPr="00D53D9A">
        <w:rPr>
          <w:lang w:val="en-US"/>
        </w:rPr>
        <w:t>(WDD)</w:t>
      </w:r>
      <w:r w:rsidR="00C54200">
        <w:rPr>
          <w:lang w:val="en-US"/>
        </w:rPr>
        <w:t>, the police (especially Women Smart Police Stations), the refugee communities and other relevant stakeholders</w:t>
      </w:r>
      <w:r w:rsidRPr="00EE2935">
        <w:rPr>
          <w:lang w:val="en-PK"/>
        </w:rPr>
        <w:t>.</w:t>
      </w:r>
    </w:p>
    <w:p w14:paraId="6E35EFF5" w14:textId="3EBB85B3" w:rsidR="00EE2935" w:rsidRPr="00EE2935" w:rsidRDefault="00EE2935" w:rsidP="004212D9">
      <w:pPr>
        <w:jc w:val="both"/>
        <w:rPr>
          <w:lang w:val="en-PK"/>
        </w:rPr>
      </w:pPr>
      <w:r w:rsidRPr="00EE2935">
        <w:rPr>
          <w:lang w:val="en-PK"/>
        </w:rPr>
        <w:t>Since this concerns a home</w:t>
      </w:r>
      <w:r w:rsidR="00667062" w:rsidRPr="00667062">
        <w:rPr>
          <w:lang w:val="en-US"/>
        </w:rPr>
        <w:t>-</w:t>
      </w:r>
      <w:r w:rsidRPr="00EE2935">
        <w:rPr>
          <w:lang w:val="en-PK"/>
        </w:rPr>
        <w:t>based consultancy, UN</w:t>
      </w:r>
      <w:r w:rsidR="00667062" w:rsidRPr="00667062">
        <w:rPr>
          <w:lang w:val="en-US"/>
        </w:rPr>
        <w:t>HCR</w:t>
      </w:r>
      <w:r w:rsidRPr="00EE2935">
        <w:rPr>
          <w:lang w:val="en-PK"/>
        </w:rPr>
        <w:t xml:space="preserve"> will not make any support resources </w:t>
      </w:r>
      <w:r w:rsidR="00D50173">
        <w:rPr>
          <w:lang w:val="en-US"/>
        </w:rPr>
        <w:t xml:space="preserve">(travel and accommodation) </w:t>
      </w:r>
      <w:r w:rsidRPr="00EE2935">
        <w:rPr>
          <w:lang w:val="en-PK"/>
        </w:rPr>
        <w:t>available to the consultant. </w:t>
      </w:r>
    </w:p>
    <w:p w14:paraId="23194D0A" w14:textId="24AC5CF7" w:rsidR="00D872EA" w:rsidRPr="004407CA" w:rsidRDefault="00D872EA" w:rsidP="004212D9">
      <w:pPr>
        <w:jc w:val="both"/>
        <w:rPr>
          <w:b/>
          <w:bCs/>
          <w:sz w:val="28"/>
          <w:szCs w:val="28"/>
          <w:lang w:val="en-US"/>
        </w:rPr>
      </w:pPr>
      <w:r w:rsidRPr="00D872EA">
        <w:rPr>
          <w:b/>
          <w:bCs/>
          <w:sz w:val="28"/>
          <w:szCs w:val="28"/>
          <w:lang w:val="en-PK"/>
        </w:rPr>
        <w:t xml:space="preserve">Duration of the </w:t>
      </w:r>
      <w:r w:rsidR="004407CA">
        <w:rPr>
          <w:b/>
          <w:bCs/>
          <w:sz w:val="28"/>
          <w:szCs w:val="28"/>
          <w:lang w:val="en-US"/>
        </w:rPr>
        <w:t>Consultancy</w:t>
      </w:r>
    </w:p>
    <w:p w14:paraId="6991A672" w14:textId="50F07527" w:rsidR="009B78F1" w:rsidRDefault="00CB7CDE" w:rsidP="004212D9">
      <w:pPr>
        <w:jc w:val="both"/>
      </w:pPr>
      <w:r w:rsidRPr="005E58F3">
        <w:t xml:space="preserve">This consultancy is expected to take </w:t>
      </w:r>
      <w:r w:rsidR="00D50173">
        <w:t xml:space="preserve">2 </w:t>
      </w:r>
      <w:r w:rsidR="009E210B">
        <w:t>months</w:t>
      </w:r>
      <w:r w:rsidR="00930C45">
        <w:t xml:space="preserve">, with </w:t>
      </w:r>
      <w:r w:rsidRPr="005E58F3">
        <w:t xml:space="preserve">a </w:t>
      </w:r>
      <w:r w:rsidR="00930C45">
        <w:t xml:space="preserve">possible </w:t>
      </w:r>
      <w:r w:rsidRPr="005E58F3">
        <w:t xml:space="preserve">start date </w:t>
      </w:r>
      <w:r w:rsidR="008201B7">
        <w:t xml:space="preserve">in </w:t>
      </w:r>
      <w:r w:rsidR="00C06AF0">
        <w:t>November</w:t>
      </w:r>
      <w:r w:rsidR="00930C45">
        <w:t xml:space="preserve"> 2023</w:t>
      </w:r>
      <w:r w:rsidRPr="005E58F3">
        <w:t xml:space="preserve">. </w:t>
      </w:r>
    </w:p>
    <w:p w14:paraId="2F8EA7CB" w14:textId="44954D5C" w:rsidR="00D872EA" w:rsidRDefault="00CB7CDE" w:rsidP="004212D9">
      <w:pPr>
        <w:jc w:val="both"/>
      </w:pPr>
      <w:r w:rsidRPr="005E58F3">
        <w:t xml:space="preserve">The objective is for this </w:t>
      </w:r>
      <w:r w:rsidR="009B78F1">
        <w:t xml:space="preserve">study </w:t>
      </w:r>
      <w:r w:rsidRPr="005E58F3">
        <w:t xml:space="preserve">to be launched </w:t>
      </w:r>
      <w:r w:rsidR="009B78F1">
        <w:t xml:space="preserve">by </w:t>
      </w:r>
      <w:r w:rsidR="00C06AF0">
        <w:t>end January</w:t>
      </w:r>
      <w:r w:rsidR="00993D6B">
        <w:t xml:space="preserve"> 202</w:t>
      </w:r>
      <w:r w:rsidR="00C06AF0">
        <w:t>4</w:t>
      </w:r>
      <w:r w:rsidRPr="005E58F3">
        <w:t xml:space="preserve">. </w:t>
      </w:r>
      <w:r w:rsidR="00993D6B">
        <w:t xml:space="preserve">The findings </w:t>
      </w:r>
      <w:r w:rsidR="0016082E">
        <w:t>will</w:t>
      </w:r>
      <w:r w:rsidR="00EE5B23">
        <w:t xml:space="preserve"> be incorporated in </w:t>
      </w:r>
      <w:r w:rsidR="00FD0C20">
        <w:t xml:space="preserve">UNHCR’s GBV Partners’ </w:t>
      </w:r>
      <w:r w:rsidR="00B30471">
        <w:t>project descriptions for the implementation of the</w:t>
      </w:r>
      <w:r w:rsidR="00EE5B23">
        <w:t xml:space="preserve"> GBV programme </w:t>
      </w:r>
      <w:r w:rsidR="00FD0C20">
        <w:t xml:space="preserve">for Balochistan, </w:t>
      </w:r>
      <w:r w:rsidR="00B30471">
        <w:t>in</w:t>
      </w:r>
      <w:r w:rsidR="00FD0C20">
        <w:t xml:space="preserve"> 2024</w:t>
      </w:r>
      <w:r w:rsidR="0061078F">
        <w:t>-2025</w:t>
      </w:r>
      <w:r w:rsidR="00B30471">
        <w:t>.</w:t>
      </w:r>
    </w:p>
    <w:p w14:paraId="79511079" w14:textId="77777777" w:rsidR="00F877B0" w:rsidRPr="00237306" w:rsidRDefault="00F877B0" w:rsidP="004212D9">
      <w:pPr>
        <w:jc w:val="both"/>
        <w:rPr>
          <w:b/>
          <w:bCs/>
          <w:sz w:val="28"/>
          <w:szCs w:val="28"/>
          <w:lang w:val="en-PK"/>
        </w:rPr>
      </w:pPr>
      <w:r w:rsidRPr="00237306">
        <w:rPr>
          <w:b/>
          <w:bCs/>
          <w:sz w:val="28"/>
          <w:szCs w:val="28"/>
          <w:lang w:val="en-PK"/>
        </w:rPr>
        <w:t>Selection Criteria</w:t>
      </w:r>
    </w:p>
    <w:p w14:paraId="35F1ED97" w14:textId="77777777" w:rsidR="00F877B0" w:rsidRPr="006C6004" w:rsidRDefault="00F877B0" w:rsidP="004212D9">
      <w:pPr>
        <w:jc w:val="both"/>
        <w:rPr>
          <w:lang w:val="en-US"/>
        </w:rPr>
      </w:pPr>
      <w:r w:rsidRPr="0072078D">
        <w:rPr>
          <w:lang w:val="en-US"/>
        </w:rPr>
        <w:t>The</w:t>
      </w:r>
      <w:r w:rsidRPr="006C6004">
        <w:rPr>
          <w:lang w:val="en-PK"/>
        </w:rPr>
        <w:t xml:space="preserve"> consultant evaluation criteria for services will be adhered in the selection of potential consulting firm for the business, however generally the following selection criteria will be used to evaluate consultants</w:t>
      </w:r>
      <w:r w:rsidRPr="0072078D">
        <w:rPr>
          <w:lang w:val="en-US"/>
        </w:rPr>
        <w:t>:</w:t>
      </w:r>
    </w:p>
    <w:p w14:paraId="1D34889C" w14:textId="3753476D" w:rsidR="00F877B0" w:rsidRPr="0072078D" w:rsidRDefault="00F877B0" w:rsidP="004212D9">
      <w:pPr>
        <w:pStyle w:val="ListParagraph"/>
        <w:numPr>
          <w:ilvl w:val="0"/>
          <w:numId w:val="11"/>
        </w:numPr>
        <w:jc w:val="both"/>
        <w:rPr>
          <w:lang w:val="en-PK"/>
        </w:rPr>
      </w:pPr>
      <w:r w:rsidRPr="0072078D">
        <w:rPr>
          <w:lang w:val="en-PK"/>
        </w:rPr>
        <w:lastRenderedPageBreak/>
        <w:t>Consultant firm profile and experience in similar assignments</w:t>
      </w:r>
    </w:p>
    <w:p w14:paraId="0369787B" w14:textId="2F068648" w:rsidR="00F877B0" w:rsidRPr="0072078D" w:rsidRDefault="00F877B0" w:rsidP="004212D9">
      <w:pPr>
        <w:pStyle w:val="ListParagraph"/>
        <w:numPr>
          <w:ilvl w:val="0"/>
          <w:numId w:val="11"/>
        </w:numPr>
        <w:jc w:val="both"/>
        <w:rPr>
          <w:lang w:val="en-PK"/>
        </w:rPr>
      </w:pPr>
      <w:r w:rsidRPr="0072078D">
        <w:rPr>
          <w:lang w:val="en-PK"/>
        </w:rPr>
        <w:t>Professional compositions of the firm</w:t>
      </w:r>
    </w:p>
    <w:p w14:paraId="003FB5D1" w14:textId="2BAF5952" w:rsidR="00F877B0" w:rsidRPr="0072078D" w:rsidRDefault="00F877B0" w:rsidP="004212D9">
      <w:pPr>
        <w:pStyle w:val="ListParagraph"/>
        <w:numPr>
          <w:ilvl w:val="0"/>
          <w:numId w:val="11"/>
        </w:numPr>
        <w:jc w:val="both"/>
        <w:rPr>
          <w:lang w:val="en-PK"/>
        </w:rPr>
      </w:pPr>
      <w:r w:rsidRPr="0072078D">
        <w:rPr>
          <w:lang w:val="en-PK"/>
        </w:rPr>
        <w:t>Financial viability</w:t>
      </w:r>
    </w:p>
    <w:p w14:paraId="272ED012" w14:textId="52EF574B" w:rsidR="00F877B0" w:rsidRPr="0072078D" w:rsidRDefault="00F877B0" w:rsidP="004212D9">
      <w:pPr>
        <w:pStyle w:val="ListParagraph"/>
        <w:numPr>
          <w:ilvl w:val="0"/>
          <w:numId w:val="11"/>
        </w:numPr>
        <w:jc w:val="both"/>
        <w:rPr>
          <w:lang w:val="en-PK"/>
        </w:rPr>
      </w:pPr>
      <w:r w:rsidRPr="0072078D">
        <w:rPr>
          <w:lang w:val="en-PK"/>
        </w:rPr>
        <w:t xml:space="preserve">Consultant firm logistical and materials capacity </w:t>
      </w:r>
    </w:p>
    <w:p w14:paraId="49F0FE68" w14:textId="43211371" w:rsidR="00F877B0" w:rsidRPr="0072078D" w:rsidRDefault="00F877B0" w:rsidP="004212D9">
      <w:pPr>
        <w:pStyle w:val="ListParagraph"/>
        <w:numPr>
          <w:ilvl w:val="0"/>
          <w:numId w:val="11"/>
        </w:numPr>
        <w:jc w:val="both"/>
        <w:rPr>
          <w:lang w:val="en-PK"/>
        </w:rPr>
      </w:pPr>
      <w:r w:rsidRPr="0072078D">
        <w:rPr>
          <w:lang w:val="en-PK"/>
        </w:rPr>
        <w:t xml:space="preserve">Priorities will be given to candidates available the </w:t>
      </w:r>
      <w:proofErr w:type="gramStart"/>
      <w:r w:rsidRPr="0072078D">
        <w:rPr>
          <w:lang w:val="en-PK"/>
        </w:rPr>
        <w:t>soonest</w:t>
      </w:r>
      <w:proofErr w:type="gramEnd"/>
      <w:r w:rsidRPr="0072078D">
        <w:rPr>
          <w:lang w:val="en-PK"/>
        </w:rPr>
        <w:t xml:space="preserve"> </w:t>
      </w:r>
    </w:p>
    <w:p w14:paraId="3D5CC907" w14:textId="3055F0FB" w:rsidR="00F877B0" w:rsidRPr="0072078D" w:rsidRDefault="00F877B0" w:rsidP="004212D9">
      <w:pPr>
        <w:pStyle w:val="ListParagraph"/>
        <w:numPr>
          <w:ilvl w:val="0"/>
          <w:numId w:val="11"/>
        </w:numPr>
        <w:jc w:val="both"/>
        <w:rPr>
          <w:lang w:val="en-PK"/>
        </w:rPr>
      </w:pPr>
      <w:r w:rsidRPr="0072078D">
        <w:rPr>
          <w:lang w:val="en-PK"/>
        </w:rPr>
        <w:t xml:space="preserve">Proposed methodology and additional </w:t>
      </w:r>
      <w:proofErr w:type="gramStart"/>
      <w:r w:rsidRPr="0072078D">
        <w:rPr>
          <w:lang w:val="en-PK"/>
        </w:rPr>
        <w:t>outcomes</w:t>
      </w:r>
      <w:proofErr w:type="gramEnd"/>
      <w:r w:rsidRPr="0072078D">
        <w:rPr>
          <w:lang w:val="en-PK"/>
        </w:rPr>
        <w:t xml:space="preserve"> </w:t>
      </w:r>
    </w:p>
    <w:p w14:paraId="2B98E4F1" w14:textId="6D9FBAE7" w:rsidR="00F877B0" w:rsidRPr="0072078D" w:rsidRDefault="00F877B0" w:rsidP="004212D9">
      <w:pPr>
        <w:pStyle w:val="ListParagraph"/>
        <w:numPr>
          <w:ilvl w:val="0"/>
          <w:numId w:val="11"/>
        </w:numPr>
        <w:jc w:val="both"/>
        <w:rPr>
          <w:lang w:val="en-PK"/>
        </w:rPr>
      </w:pPr>
      <w:r w:rsidRPr="0072078D">
        <w:rPr>
          <w:lang w:val="en-PK"/>
        </w:rPr>
        <w:t xml:space="preserve">Detailed work breakdown and time of completion </w:t>
      </w:r>
    </w:p>
    <w:p w14:paraId="26C85905" w14:textId="77777777" w:rsidR="00616FDA" w:rsidRPr="00616FDA" w:rsidRDefault="00616FDA" w:rsidP="004212D9">
      <w:pPr>
        <w:jc w:val="both"/>
        <w:rPr>
          <w:b/>
          <w:bCs/>
          <w:sz w:val="28"/>
          <w:szCs w:val="28"/>
          <w:lang w:val="en-PK"/>
        </w:rPr>
      </w:pPr>
      <w:r w:rsidRPr="00616FDA">
        <w:rPr>
          <w:b/>
          <w:bCs/>
          <w:sz w:val="28"/>
          <w:szCs w:val="28"/>
          <w:lang w:val="en-PK"/>
        </w:rPr>
        <w:t xml:space="preserve">Confidentiality Statement: </w:t>
      </w:r>
    </w:p>
    <w:p w14:paraId="6F0BE271" w14:textId="04E65061" w:rsidR="00616FDA" w:rsidRPr="00616FDA" w:rsidRDefault="00616FDA" w:rsidP="004212D9">
      <w:pPr>
        <w:jc w:val="both"/>
        <w:rPr>
          <w:lang w:val="en-US"/>
        </w:rPr>
      </w:pPr>
      <w:r w:rsidRPr="00616FDA">
        <w:rPr>
          <w:lang w:val="en-US"/>
        </w:rPr>
        <w:t>All data and information received from agencies and any other stakeholder for the purpose of this assignment is to be treated with utmost confidentiality and should only be used in the execution of the Terms of Reference</w:t>
      </w:r>
      <w:r>
        <w:rPr>
          <w:lang w:val="en-US"/>
        </w:rPr>
        <w:t>.</w:t>
      </w:r>
    </w:p>
    <w:p w14:paraId="35FAE9C9" w14:textId="1D46FE7B" w:rsidR="00616FDA" w:rsidRDefault="00616FDA" w:rsidP="004212D9">
      <w:pPr>
        <w:jc w:val="both"/>
        <w:rPr>
          <w:lang w:val="en-US"/>
        </w:rPr>
      </w:pPr>
      <w:r w:rsidRPr="00616FDA">
        <w:rPr>
          <w:lang w:val="en-US"/>
        </w:rPr>
        <w:t>Contents of written materials obtained and used in this assignment may not be disclosed to any</w:t>
      </w:r>
      <w:r w:rsidR="007D4B3F">
        <w:rPr>
          <w:lang w:val="en-US"/>
        </w:rPr>
        <w:t xml:space="preserve"> third</w:t>
      </w:r>
      <w:r w:rsidRPr="00616FDA">
        <w:rPr>
          <w:lang w:val="en-US"/>
        </w:rPr>
        <w:t xml:space="preserve"> parties without advance written authorization of the UN Refugee Agency (UNHCR)</w:t>
      </w:r>
      <w:r>
        <w:rPr>
          <w:lang w:val="en-US"/>
        </w:rPr>
        <w:t>.</w:t>
      </w:r>
    </w:p>
    <w:p w14:paraId="12ABDB21" w14:textId="1E334601" w:rsidR="00257F37" w:rsidRPr="00257F37" w:rsidRDefault="00257F37" w:rsidP="004212D9">
      <w:pPr>
        <w:jc w:val="both"/>
        <w:rPr>
          <w:b/>
          <w:bCs/>
          <w:sz w:val="28"/>
          <w:szCs w:val="28"/>
          <w:lang w:val="en-PK"/>
        </w:rPr>
      </w:pPr>
      <w:r w:rsidRPr="00257F37">
        <w:rPr>
          <w:b/>
          <w:bCs/>
          <w:sz w:val="28"/>
          <w:szCs w:val="28"/>
          <w:lang w:val="en-PK"/>
        </w:rPr>
        <w:t xml:space="preserve">Instructions for Submission </w:t>
      </w:r>
    </w:p>
    <w:p w14:paraId="4DC5811C" w14:textId="38736716" w:rsidR="00371088" w:rsidRDefault="00257F37" w:rsidP="004212D9">
      <w:pPr>
        <w:jc w:val="both"/>
        <w:rPr>
          <w:bCs/>
        </w:rPr>
      </w:pPr>
      <w:r w:rsidRPr="00257F37">
        <w:rPr>
          <w:bCs/>
        </w:rPr>
        <w:t xml:space="preserve">Consultant Technical and Financial Proposals meeting the TOR requirements are to be submitted not late than </w:t>
      </w:r>
      <w:r w:rsidR="008201B7">
        <w:rPr>
          <w:bCs/>
        </w:rPr>
        <w:t>20</w:t>
      </w:r>
      <w:r w:rsidR="008201B7" w:rsidRPr="008201B7">
        <w:rPr>
          <w:bCs/>
          <w:vertAlign w:val="superscript"/>
        </w:rPr>
        <w:t>th</w:t>
      </w:r>
      <w:r w:rsidR="008201B7">
        <w:rPr>
          <w:bCs/>
        </w:rPr>
        <w:t xml:space="preserve"> </w:t>
      </w:r>
      <w:r w:rsidR="001735FA">
        <w:rPr>
          <w:bCs/>
        </w:rPr>
        <w:t>November</w:t>
      </w:r>
      <w:r w:rsidR="00712BDD">
        <w:rPr>
          <w:bCs/>
        </w:rPr>
        <w:t xml:space="preserve"> </w:t>
      </w:r>
      <w:r w:rsidRPr="00257F37">
        <w:rPr>
          <w:bCs/>
        </w:rPr>
        <w:t>202</w:t>
      </w:r>
      <w:r w:rsidR="00712BDD">
        <w:rPr>
          <w:bCs/>
        </w:rPr>
        <w:t>3</w:t>
      </w:r>
      <w:r w:rsidRPr="00257F37">
        <w:rPr>
          <w:bCs/>
        </w:rPr>
        <w:t>. The Technical Proposal should spell out your understanding of the scope of work and should demonstrate</w:t>
      </w:r>
      <w:r w:rsidR="0074261F">
        <w:rPr>
          <w:bCs/>
        </w:rPr>
        <w:t xml:space="preserve"> the ability to work with refugee communities</w:t>
      </w:r>
      <w:r w:rsidR="005D496A">
        <w:rPr>
          <w:bCs/>
        </w:rPr>
        <w:t xml:space="preserve">, as well as </w:t>
      </w:r>
      <w:r w:rsidR="00D45235">
        <w:rPr>
          <w:bCs/>
        </w:rPr>
        <w:t xml:space="preserve">a proactive and rigorous approach to GBV and gender transformative approaches, </w:t>
      </w:r>
      <w:r w:rsidR="00371088">
        <w:rPr>
          <w:bCs/>
        </w:rPr>
        <w:t xml:space="preserve">crafted to the local context. </w:t>
      </w:r>
    </w:p>
    <w:p w14:paraId="14AB737E" w14:textId="2070DCFF" w:rsidR="001C2B90" w:rsidRDefault="00257F37" w:rsidP="004212D9">
      <w:pPr>
        <w:jc w:val="both"/>
        <w:rPr>
          <w:bCs/>
        </w:rPr>
      </w:pPr>
      <w:r w:rsidRPr="00257F37">
        <w:rPr>
          <w:bCs/>
        </w:rPr>
        <w:t>Financial Proposal to include detailed cost breakdown (</w:t>
      </w:r>
      <w:r w:rsidR="001C2B90">
        <w:rPr>
          <w:bCs/>
        </w:rPr>
        <w:t>c</w:t>
      </w:r>
      <w:r w:rsidRPr="00257F37">
        <w:rPr>
          <w:bCs/>
        </w:rPr>
        <w:t xml:space="preserve">onsultancy fees and </w:t>
      </w:r>
      <w:r w:rsidR="001C2B90">
        <w:rPr>
          <w:bCs/>
        </w:rPr>
        <w:t>o</w:t>
      </w:r>
      <w:r w:rsidRPr="00257F37">
        <w:rPr>
          <w:bCs/>
        </w:rPr>
        <w:t xml:space="preserve">ther </w:t>
      </w:r>
      <w:r w:rsidR="001C2B90">
        <w:rPr>
          <w:bCs/>
        </w:rPr>
        <w:t>c</w:t>
      </w:r>
      <w:r w:rsidRPr="00257F37">
        <w:rPr>
          <w:bCs/>
        </w:rPr>
        <w:t>osts</w:t>
      </w:r>
      <w:r w:rsidR="001C2B90">
        <w:rPr>
          <w:bCs/>
        </w:rPr>
        <w:t xml:space="preserve">, noting the </w:t>
      </w:r>
      <w:r w:rsidRPr="00257F37">
        <w:rPr>
          <w:bCs/>
        </w:rPr>
        <w:t>Consultants will pay for own accommodation</w:t>
      </w:r>
      <w:r w:rsidR="001C2B90">
        <w:rPr>
          <w:bCs/>
        </w:rPr>
        <w:t xml:space="preserve"> and transport</w:t>
      </w:r>
      <w:r w:rsidR="005D496A">
        <w:rPr>
          <w:bCs/>
        </w:rPr>
        <w:t>-</w:t>
      </w:r>
      <w:r w:rsidR="001C2B90">
        <w:rPr>
          <w:bCs/>
        </w:rPr>
        <w:t>related fees)</w:t>
      </w:r>
      <w:r w:rsidRPr="00257F37">
        <w:rPr>
          <w:bCs/>
        </w:rPr>
        <w:t xml:space="preserve">. </w:t>
      </w:r>
    </w:p>
    <w:p w14:paraId="66024E50" w14:textId="1CF84A57" w:rsidR="00257F37" w:rsidRPr="00257F37" w:rsidRDefault="00257F37" w:rsidP="004212D9">
      <w:pPr>
        <w:jc w:val="both"/>
        <w:rPr>
          <w:bCs/>
        </w:rPr>
      </w:pPr>
      <w:r w:rsidRPr="00257F37">
        <w:rPr>
          <w:bCs/>
        </w:rPr>
        <w:t xml:space="preserve">UNHCR </w:t>
      </w:r>
      <w:r w:rsidR="001C2B90">
        <w:rPr>
          <w:bCs/>
        </w:rPr>
        <w:t xml:space="preserve">and its partners </w:t>
      </w:r>
      <w:r w:rsidRPr="00257F37">
        <w:rPr>
          <w:bCs/>
        </w:rPr>
        <w:t xml:space="preserve">will support any </w:t>
      </w:r>
      <w:r w:rsidR="00FE421E">
        <w:rPr>
          <w:bCs/>
        </w:rPr>
        <w:t>coordination</w:t>
      </w:r>
      <w:r w:rsidRPr="00257F37">
        <w:rPr>
          <w:bCs/>
        </w:rPr>
        <w:t xml:space="preserve"> related to focus group discussions </w:t>
      </w:r>
      <w:r w:rsidR="00FE421E">
        <w:rPr>
          <w:bCs/>
        </w:rPr>
        <w:t xml:space="preserve">and other meetings with the refugee </w:t>
      </w:r>
      <w:r w:rsidR="006B6FAA">
        <w:rPr>
          <w:bCs/>
        </w:rPr>
        <w:t xml:space="preserve">communities. </w:t>
      </w:r>
    </w:p>
    <w:p w14:paraId="205DF6E0" w14:textId="77777777" w:rsidR="00D872EA" w:rsidRDefault="00D872EA" w:rsidP="004212D9">
      <w:pPr>
        <w:jc w:val="both"/>
        <w:rPr>
          <w:lang w:val="en-US"/>
        </w:rPr>
      </w:pPr>
    </w:p>
    <w:p w14:paraId="28F5F418" w14:textId="77777777" w:rsidR="00DF05C6" w:rsidRDefault="00DF05C6" w:rsidP="004212D9">
      <w:pPr>
        <w:jc w:val="both"/>
        <w:rPr>
          <w:lang w:val="en-US"/>
        </w:rPr>
      </w:pPr>
    </w:p>
    <w:p w14:paraId="3F438932" w14:textId="1CF30E65" w:rsidR="00DF05C6" w:rsidRDefault="00DF05C6">
      <w:pPr>
        <w:rPr>
          <w:lang w:val="en-US"/>
        </w:rPr>
      </w:pPr>
    </w:p>
    <w:p w14:paraId="337BFA41" w14:textId="77777777" w:rsidR="00DF05C6" w:rsidRPr="00DF05C6" w:rsidRDefault="00DF05C6">
      <w:pPr>
        <w:rPr>
          <w:lang w:val="en-US"/>
        </w:rPr>
      </w:pPr>
    </w:p>
    <w:sectPr w:rsidR="00DF05C6" w:rsidRPr="00DF05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F6F8" w14:textId="77777777" w:rsidR="00045FB3" w:rsidRDefault="00045FB3" w:rsidP="00045FB3">
      <w:pPr>
        <w:spacing w:after="0" w:line="240" w:lineRule="auto"/>
      </w:pPr>
      <w:r>
        <w:separator/>
      </w:r>
    </w:p>
  </w:endnote>
  <w:endnote w:type="continuationSeparator" w:id="0">
    <w:p w14:paraId="02775394" w14:textId="77777777" w:rsidR="00045FB3" w:rsidRDefault="00045FB3" w:rsidP="0004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2"/>
      <w:gridCol w:w="4494"/>
    </w:tblGrid>
    <w:tr w:rsidR="00C17481" w14:paraId="4A891A38" w14:textId="77777777">
      <w:trPr>
        <w:trHeight w:hRule="exact" w:val="115"/>
        <w:jc w:val="center"/>
      </w:trPr>
      <w:tc>
        <w:tcPr>
          <w:tcW w:w="4686" w:type="dxa"/>
          <w:shd w:val="clear" w:color="auto" w:fill="4472C4" w:themeFill="accent1"/>
          <w:tcMar>
            <w:top w:w="0" w:type="dxa"/>
            <w:bottom w:w="0" w:type="dxa"/>
          </w:tcMar>
        </w:tcPr>
        <w:p w14:paraId="1C4C8865" w14:textId="77777777" w:rsidR="00C17481" w:rsidRDefault="00C17481">
          <w:pPr>
            <w:pStyle w:val="Header"/>
            <w:rPr>
              <w:caps/>
              <w:sz w:val="18"/>
            </w:rPr>
          </w:pPr>
        </w:p>
      </w:tc>
      <w:tc>
        <w:tcPr>
          <w:tcW w:w="4674" w:type="dxa"/>
          <w:shd w:val="clear" w:color="auto" w:fill="4472C4" w:themeFill="accent1"/>
          <w:tcMar>
            <w:top w:w="0" w:type="dxa"/>
            <w:bottom w:w="0" w:type="dxa"/>
          </w:tcMar>
        </w:tcPr>
        <w:p w14:paraId="3F195971" w14:textId="77777777" w:rsidR="00C17481" w:rsidRDefault="00C17481">
          <w:pPr>
            <w:pStyle w:val="Header"/>
            <w:jc w:val="right"/>
            <w:rPr>
              <w:caps/>
              <w:sz w:val="18"/>
            </w:rPr>
          </w:pPr>
        </w:p>
      </w:tc>
    </w:tr>
    <w:tr w:rsidR="00C17481" w14:paraId="1B85971F" w14:textId="77777777">
      <w:trPr>
        <w:jc w:val="center"/>
      </w:trPr>
      <w:sdt>
        <w:sdtPr>
          <w:rPr>
            <w:caps/>
            <w:color w:val="808080" w:themeColor="background1" w:themeShade="80"/>
            <w:sz w:val="18"/>
            <w:szCs w:val="18"/>
          </w:rPr>
          <w:alias w:val="Author"/>
          <w:tag w:val=""/>
          <w:id w:val="1534151868"/>
          <w:placeholder>
            <w:docPart w:val="DD0416B357374032968E8BD1C652D9F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8BFABD7" w14:textId="0DFE7A9F" w:rsidR="00C17481" w:rsidRDefault="00C17481">
              <w:pPr>
                <w:pStyle w:val="Footer"/>
                <w:rPr>
                  <w:caps/>
                  <w:color w:val="808080" w:themeColor="background1" w:themeShade="80"/>
                  <w:sz w:val="18"/>
                  <w:szCs w:val="18"/>
                </w:rPr>
              </w:pPr>
              <w:r>
                <w:rPr>
                  <w:caps/>
                  <w:color w:val="808080" w:themeColor="background1" w:themeShade="80"/>
                  <w:sz w:val="18"/>
                  <w:szCs w:val="18"/>
                </w:rPr>
                <w:t>UNHCR SUB-OFFICE QUETTA, PAKISTAN</w:t>
              </w:r>
            </w:p>
          </w:tc>
        </w:sdtContent>
      </w:sdt>
      <w:tc>
        <w:tcPr>
          <w:tcW w:w="4674" w:type="dxa"/>
          <w:shd w:val="clear" w:color="auto" w:fill="auto"/>
          <w:vAlign w:val="center"/>
        </w:tcPr>
        <w:p w14:paraId="3C30143F" w14:textId="77777777" w:rsidR="00C17481" w:rsidRDefault="00C17481">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ACBAB07" w14:textId="77777777" w:rsidR="00C17481" w:rsidRDefault="00C1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5D37" w14:textId="77777777" w:rsidR="00045FB3" w:rsidRDefault="00045FB3" w:rsidP="00045FB3">
      <w:pPr>
        <w:spacing w:after="0" w:line="240" w:lineRule="auto"/>
      </w:pPr>
      <w:r>
        <w:separator/>
      </w:r>
    </w:p>
  </w:footnote>
  <w:footnote w:type="continuationSeparator" w:id="0">
    <w:p w14:paraId="239DE607" w14:textId="77777777" w:rsidR="00045FB3" w:rsidRDefault="00045FB3" w:rsidP="00045FB3">
      <w:pPr>
        <w:spacing w:after="0" w:line="240" w:lineRule="auto"/>
      </w:pPr>
      <w:r>
        <w:continuationSeparator/>
      </w:r>
    </w:p>
  </w:footnote>
  <w:footnote w:id="1">
    <w:p w14:paraId="215C96ED" w14:textId="018AF955" w:rsidR="00796E00" w:rsidRPr="00796E00" w:rsidRDefault="00796E00">
      <w:pPr>
        <w:pStyle w:val="FootnoteText"/>
        <w:rPr>
          <w:lang w:val="en-US"/>
        </w:rPr>
      </w:pPr>
      <w:r>
        <w:rPr>
          <w:rStyle w:val="FootnoteReference"/>
        </w:rPr>
        <w:footnoteRef/>
      </w:r>
      <w:r>
        <w:t xml:space="preserve"> </w:t>
      </w:r>
      <w:hyperlink r:id="rId1" w:history="1">
        <w:r w:rsidR="00B31B16" w:rsidRPr="00E407FC">
          <w:rPr>
            <w:rStyle w:val="Hyperlink"/>
          </w:rPr>
          <w:t>https://www.unhcr.org/about-unhcr</w:t>
        </w:r>
      </w:hyperlink>
      <w:r w:rsidR="00B31B16">
        <w:t xml:space="preserve"> </w:t>
      </w:r>
    </w:p>
  </w:footnote>
  <w:footnote w:id="2">
    <w:p w14:paraId="507A7094" w14:textId="431FB0FB" w:rsidR="00045FB3" w:rsidRPr="00045FB3" w:rsidRDefault="00045FB3">
      <w:pPr>
        <w:pStyle w:val="FootnoteText"/>
        <w:rPr>
          <w:lang w:val="en-US"/>
        </w:rPr>
      </w:pPr>
      <w:r>
        <w:rPr>
          <w:rStyle w:val="FootnoteReference"/>
        </w:rPr>
        <w:footnoteRef/>
      </w:r>
      <w:r>
        <w:t xml:space="preserve"> </w:t>
      </w:r>
      <w:hyperlink r:id="rId2" w:history="1">
        <w:r w:rsidRPr="00E407FC">
          <w:rPr>
            <w:rStyle w:val="Hyperlink"/>
          </w:rPr>
          <w:t>https://www.unhcr.org/countries/pakistan</w:t>
        </w:r>
      </w:hyperlink>
      <w:r>
        <w:t xml:space="preserve"> </w:t>
      </w:r>
    </w:p>
  </w:footnote>
  <w:footnote w:id="3">
    <w:p w14:paraId="5DE6C052" w14:textId="3A99D80F" w:rsidR="00B36A01" w:rsidRPr="00B36A01" w:rsidRDefault="00B36A01">
      <w:pPr>
        <w:pStyle w:val="FootnoteText"/>
        <w:rPr>
          <w:lang w:val="en-US"/>
        </w:rPr>
      </w:pPr>
      <w:r>
        <w:rPr>
          <w:rStyle w:val="FootnoteReference"/>
        </w:rPr>
        <w:footnoteRef/>
      </w:r>
      <w:r>
        <w:t xml:space="preserve"> </w:t>
      </w:r>
      <w:hyperlink r:id="rId3" w:history="1">
        <w:r w:rsidRPr="00E407FC">
          <w:rPr>
            <w:rStyle w:val="Hyperlink"/>
          </w:rPr>
          <w:t>https://www.unhcr.org/pk/protection</w:t>
        </w:r>
      </w:hyperlink>
      <w:r>
        <w:t xml:space="preserve"> </w:t>
      </w:r>
    </w:p>
  </w:footnote>
  <w:footnote w:id="4">
    <w:p w14:paraId="0FC60B3F" w14:textId="20B924C9" w:rsidR="00DE0268" w:rsidRPr="00DE0268" w:rsidRDefault="00DE0268">
      <w:pPr>
        <w:pStyle w:val="FootnoteText"/>
        <w:rPr>
          <w:lang w:val="en-US"/>
        </w:rPr>
      </w:pPr>
      <w:r>
        <w:rPr>
          <w:rStyle w:val="FootnoteReference"/>
        </w:rPr>
        <w:footnoteRef/>
      </w:r>
      <w:r>
        <w:t xml:space="preserve"> </w:t>
      </w:r>
      <w:hyperlink r:id="rId4" w:history="1">
        <w:r w:rsidR="008D1693" w:rsidRPr="00E407FC">
          <w:rPr>
            <w:rStyle w:val="Hyperlink"/>
          </w:rPr>
          <w:t>https://reporting.unhcr.org/unhcr-strategic-directions-2022-2026</w:t>
        </w:r>
      </w:hyperlink>
      <w:r w:rsidR="008D1693">
        <w:t xml:space="preserve"> </w:t>
      </w:r>
    </w:p>
  </w:footnote>
  <w:footnote w:id="5">
    <w:p w14:paraId="4B9148C2" w14:textId="50ABA64B" w:rsidR="001813BF" w:rsidRPr="001813BF" w:rsidRDefault="001813BF">
      <w:pPr>
        <w:pStyle w:val="FootnoteText"/>
        <w:rPr>
          <w:lang w:val="en-US"/>
        </w:rPr>
      </w:pPr>
      <w:r>
        <w:rPr>
          <w:rStyle w:val="FootnoteReference"/>
        </w:rPr>
        <w:footnoteRef/>
      </w:r>
      <w:r>
        <w:t xml:space="preserve"> </w:t>
      </w:r>
      <w:r>
        <w:rPr>
          <w:lang w:val="en-US"/>
        </w:rPr>
        <w:t>UNHCR Sub-Office Quetta Registration Report</w:t>
      </w:r>
    </w:p>
  </w:footnote>
  <w:footnote w:id="6">
    <w:p w14:paraId="28DCFFE4" w14:textId="60A3D4B0" w:rsidR="00CE4A94" w:rsidRPr="00CE4A94" w:rsidRDefault="00CE4A94">
      <w:pPr>
        <w:pStyle w:val="FootnoteText"/>
        <w:rPr>
          <w:lang w:val="en-US"/>
        </w:rPr>
      </w:pPr>
      <w:r>
        <w:rPr>
          <w:rStyle w:val="FootnoteReference"/>
        </w:rPr>
        <w:footnoteRef/>
      </w:r>
      <w:r>
        <w:t xml:space="preserve"> </w:t>
      </w:r>
      <w:hyperlink r:id="rId5" w:history="1">
        <w:r w:rsidRPr="00E407FC">
          <w:rPr>
            <w:rStyle w:val="Hyperlink"/>
          </w:rPr>
          <w:t>https://help.unhcr.org/pakistan/proof-of-registration-card-por/</w:t>
        </w:r>
      </w:hyperlink>
    </w:p>
  </w:footnote>
  <w:footnote w:id="7">
    <w:p w14:paraId="3FF5127E" w14:textId="0FEA00E6" w:rsidR="00D23E96" w:rsidRPr="00D23E96" w:rsidRDefault="00D23E96">
      <w:pPr>
        <w:pStyle w:val="FootnoteText"/>
        <w:rPr>
          <w:lang w:val="en-US"/>
        </w:rPr>
      </w:pPr>
      <w:r>
        <w:rPr>
          <w:rStyle w:val="FootnoteReference"/>
        </w:rPr>
        <w:footnoteRef/>
      </w:r>
      <w:r>
        <w:t xml:space="preserve"> </w:t>
      </w:r>
      <w:r w:rsidR="00C20293">
        <w:rPr>
          <w:lang w:val="en-US"/>
        </w:rPr>
        <w:t>Guidance Note on Afghanistan, Update I. UNHCR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F0665A"/>
    <w:multiLevelType w:val="hybridMultilevel"/>
    <w:tmpl w:val="E5EE3FD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B5F89"/>
    <w:multiLevelType w:val="hybridMultilevel"/>
    <w:tmpl w:val="975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313E"/>
    <w:multiLevelType w:val="hybridMultilevel"/>
    <w:tmpl w:val="BD5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798"/>
    <w:multiLevelType w:val="hybridMultilevel"/>
    <w:tmpl w:val="BC802E5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C712F60"/>
    <w:multiLevelType w:val="hybridMultilevel"/>
    <w:tmpl w:val="E1621D0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A69C6"/>
    <w:multiLevelType w:val="hybridMultilevel"/>
    <w:tmpl w:val="3FAC049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301313A"/>
    <w:multiLevelType w:val="hybridMultilevel"/>
    <w:tmpl w:val="84FE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130BD"/>
    <w:multiLevelType w:val="hybridMultilevel"/>
    <w:tmpl w:val="E24C1DEA"/>
    <w:lvl w:ilvl="0" w:tplc="5C16493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9B90FAD"/>
    <w:multiLevelType w:val="multilevel"/>
    <w:tmpl w:val="852EB8C8"/>
    <w:lvl w:ilvl="0">
      <w:start w:val="1"/>
      <w:numFmt w:val="decimal"/>
      <w:lvlText w:val="%1."/>
      <w:lvlJc w:val="left"/>
      <w:pPr>
        <w:ind w:left="720" w:hanging="360"/>
      </w:pPr>
      <w:rPr>
        <w:rFonts w:hint="default"/>
        <w:sz w:val="24"/>
        <w:szCs w:val="24"/>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9" w15:restartNumberingAfterBreak="0">
    <w:nsid w:val="77E678A9"/>
    <w:multiLevelType w:val="hybridMultilevel"/>
    <w:tmpl w:val="A25C21D2"/>
    <w:lvl w:ilvl="0" w:tplc="04090001">
      <w:start w:val="1"/>
      <w:numFmt w:val="bullet"/>
      <w:lvlText w:val=""/>
      <w:lvlJc w:val="left"/>
      <w:pPr>
        <w:tabs>
          <w:tab w:val="num" w:pos="720"/>
        </w:tabs>
        <w:ind w:left="720" w:hanging="360"/>
      </w:pPr>
      <w:rPr>
        <w:rFonts w:ascii="Symbol" w:hAnsi="Symbol" w:hint="default"/>
      </w:rPr>
    </w:lvl>
    <w:lvl w:ilvl="1" w:tplc="5F1AD652">
      <w:start w:val="1"/>
      <w:numFmt w:val="bullet"/>
      <w:lvlText w:val=""/>
      <w:lvlJc w:val="left"/>
      <w:pPr>
        <w:tabs>
          <w:tab w:val="num" w:pos="1800"/>
        </w:tabs>
        <w:ind w:left="1800" w:hanging="72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5478589">
    <w:abstractNumId w:val="2"/>
  </w:num>
  <w:num w:numId="2" w16cid:durableId="965622117">
    <w:abstractNumId w:val="8"/>
  </w:num>
  <w:num w:numId="3" w16cid:durableId="142236683">
    <w:abstractNumId w:val="7"/>
  </w:num>
  <w:num w:numId="4" w16cid:durableId="1518426735">
    <w:abstractNumId w:val="7"/>
  </w:num>
  <w:num w:numId="5" w16cid:durableId="108162396">
    <w:abstractNumId w:val="4"/>
  </w:num>
  <w:num w:numId="6" w16cid:durableId="484014315">
    <w:abstractNumId w:val="3"/>
  </w:num>
  <w:num w:numId="7" w16cid:durableId="546642229">
    <w:abstractNumId w:val="9"/>
  </w:num>
  <w:num w:numId="8" w16cid:durableId="1267694357">
    <w:abstractNumId w:val="6"/>
  </w:num>
  <w:num w:numId="9" w16cid:durableId="1091510847">
    <w:abstractNumId w:val="1"/>
  </w:num>
  <w:num w:numId="10" w16cid:durableId="665087154">
    <w:abstractNumId w:val="0"/>
  </w:num>
  <w:num w:numId="11" w16cid:durableId="314333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C6"/>
    <w:rsid w:val="00000F13"/>
    <w:rsid w:val="00006F77"/>
    <w:rsid w:val="000317CF"/>
    <w:rsid w:val="00037C7F"/>
    <w:rsid w:val="00045FB3"/>
    <w:rsid w:val="0004659D"/>
    <w:rsid w:val="000525B3"/>
    <w:rsid w:val="00055999"/>
    <w:rsid w:val="00074B70"/>
    <w:rsid w:val="00082A81"/>
    <w:rsid w:val="000841A8"/>
    <w:rsid w:val="00087D3E"/>
    <w:rsid w:val="000A12A1"/>
    <w:rsid w:val="000C65F2"/>
    <w:rsid w:val="000D5B3B"/>
    <w:rsid w:val="000F1896"/>
    <w:rsid w:val="000F2DB3"/>
    <w:rsid w:val="001233B2"/>
    <w:rsid w:val="001240BF"/>
    <w:rsid w:val="00124C89"/>
    <w:rsid w:val="0013265F"/>
    <w:rsid w:val="00133D7C"/>
    <w:rsid w:val="0016082E"/>
    <w:rsid w:val="00161B42"/>
    <w:rsid w:val="00162E02"/>
    <w:rsid w:val="001654F8"/>
    <w:rsid w:val="00171104"/>
    <w:rsid w:val="001735FA"/>
    <w:rsid w:val="001813BF"/>
    <w:rsid w:val="001955CA"/>
    <w:rsid w:val="001A11CF"/>
    <w:rsid w:val="001A7FF7"/>
    <w:rsid w:val="001C2B90"/>
    <w:rsid w:val="001C3111"/>
    <w:rsid w:val="001C5BA3"/>
    <w:rsid w:val="001D5A54"/>
    <w:rsid w:val="001F20A8"/>
    <w:rsid w:val="00213C79"/>
    <w:rsid w:val="00220821"/>
    <w:rsid w:val="00221034"/>
    <w:rsid w:val="002319D7"/>
    <w:rsid w:val="0023366A"/>
    <w:rsid w:val="00237306"/>
    <w:rsid w:val="00240DB6"/>
    <w:rsid w:val="00241C6F"/>
    <w:rsid w:val="00244F46"/>
    <w:rsid w:val="00245671"/>
    <w:rsid w:val="0025362B"/>
    <w:rsid w:val="002567F3"/>
    <w:rsid w:val="00257F37"/>
    <w:rsid w:val="002652C5"/>
    <w:rsid w:val="0028288A"/>
    <w:rsid w:val="002A7815"/>
    <w:rsid w:val="002A7C67"/>
    <w:rsid w:val="002A7D0C"/>
    <w:rsid w:val="002B30B4"/>
    <w:rsid w:val="002C3023"/>
    <w:rsid w:val="002D604D"/>
    <w:rsid w:val="002D6C39"/>
    <w:rsid w:val="003110C6"/>
    <w:rsid w:val="00327361"/>
    <w:rsid w:val="00331037"/>
    <w:rsid w:val="00331BA5"/>
    <w:rsid w:val="003344D2"/>
    <w:rsid w:val="0034069A"/>
    <w:rsid w:val="00350C6F"/>
    <w:rsid w:val="003522D6"/>
    <w:rsid w:val="00371088"/>
    <w:rsid w:val="003716AC"/>
    <w:rsid w:val="00380F38"/>
    <w:rsid w:val="0038227B"/>
    <w:rsid w:val="003830FC"/>
    <w:rsid w:val="00387009"/>
    <w:rsid w:val="00393F2C"/>
    <w:rsid w:val="00397E5C"/>
    <w:rsid w:val="003A3D5E"/>
    <w:rsid w:val="003C0ADB"/>
    <w:rsid w:val="003D3398"/>
    <w:rsid w:val="003E72EE"/>
    <w:rsid w:val="00402FF2"/>
    <w:rsid w:val="00415901"/>
    <w:rsid w:val="004212D9"/>
    <w:rsid w:val="00433BA6"/>
    <w:rsid w:val="0043686A"/>
    <w:rsid w:val="004407CA"/>
    <w:rsid w:val="00456270"/>
    <w:rsid w:val="004B3697"/>
    <w:rsid w:val="004B6D44"/>
    <w:rsid w:val="004E4712"/>
    <w:rsid w:val="004F26E1"/>
    <w:rsid w:val="004F4836"/>
    <w:rsid w:val="00505223"/>
    <w:rsid w:val="00511767"/>
    <w:rsid w:val="00532A25"/>
    <w:rsid w:val="00542600"/>
    <w:rsid w:val="005457F6"/>
    <w:rsid w:val="00553248"/>
    <w:rsid w:val="00554E58"/>
    <w:rsid w:val="00564733"/>
    <w:rsid w:val="00567E34"/>
    <w:rsid w:val="00583D5D"/>
    <w:rsid w:val="0058553D"/>
    <w:rsid w:val="00591323"/>
    <w:rsid w:val="00591F58"/>
    <w:rsid w:val="005932F3"/>
    <w:rsid w:val="005C16B5"/>
    <w:rsid w:val="005C35C0"/>
    <w:rsid w:val="005C7A3D"/>
    <w:rsid w:val="005D328E"/>
    <w:rsid w:val="005D496A"/>
    <w:rsid w:val="005E27D6"/>
    <w:rsid w:val="005E58F3"/>
    <w:rsid w:val="005F3027"/>
    <w:rsid w:val="00606A8F"/>
    <w:rsid w:val="0061078F"/>
    <w:rsid w:val="00616750"/>
    <w:rsid w:val="00616FDA"/>
    <w:rsid w:val="0062495C"/>
    <w:rsid w:val="00631DCA"/>
    <w:rsid w:val="0064062A"/>
    <w:rsid w:val="00661084"/>
    <w:rsid w:val="00663E85"/>
    <w:rsid w:val="00667062"/>
    <w:rsid w:val="00667C9A"/>
    <w:rsid w:val="00677921"/>
    <w:rsid w:val="006B1083"/>
    <w:rsid w:val="006B6FAA"/>
    <w:rsid w:val="006C6004"/>
    <w:rsid w:val="006F255E"/>
    <w:rsid w:val="006F2CEB"/>
    <w:rsid w:val="00712BDD"/>
    <w:rsid w:val="007154B5"/>
    <w:rsid w:val="0072078D"/>
    <w:rsid w:val="00720AA9"/>
    <w:rsid w:val="007212C2"/>
    <w:rsid w:val="00722693"/>
    <w:rsid w:val="0072392E"/>
    <w:rsid w:val="00736C2A"/>
    <w:rsid w:val="0074261F"/>
    <w:rsid w:val="00767901"/>
    <w:rsid w:val="00767BF9"/>
    <w:rsid w:val="00796E00"/>
    <w:rsid w:val="007D4B3F"/>
    <w:rsid w:val="007F6E86"/>
    <w:rsid w:val="0081483F"/>
    <w:rsid w:val="008201B7"/>
    <w:rsid w:val="008632A5"/>
    <w:rsid w:val="00865525"/>
    <w:rsid w:val="008749D7"/>
    <w:rsid w:val="00894892"/>
    <w:rsid w:val="008A1862"/>
    <w:rsid w:val="008C1E7E"/>
    <w:rsid w:val="008C55A2"/>
    <w:rsid w:val="008C58B0"/>
    <w:rsid w:val="008C66BC"/>
    <w:rsid w:val="008D1693"/>
    <w:rsid w:val="008E2610"/>
    <w:rsid w:val="008E7A3D"/>
    <w:rsid w:val="008F0718"/>
    <w:rsid w:val="00900B64"/>
    <w:rsid w:val="0092338D"/>
    <w:rsid w:val="00930C45"/>
    <w:rsid w:val="00993D6B"/>
    <w:rsid w:val="009A1087"/>
    <w:rsid w:val="009A1C48"/>
    <w:rsid w:val="009A7DE8"/>
    <w:rsid w:val="009B78F1"/>
    <w:rsid w:val="009C760E"/>
    <w:rsid w:val="009D029C"/>
    <w:rsid w:val="009E017F"/>
    <w:rsid w:val="009E210B"/>
    <w:rsid w:val="009F4781"/>
    <w:rsid w:val="00A025AD"/>
    <w:rsid w:val="00A048DE"/>
    <w:rsid w:val="00A25073"/>
    <w:rsid w:val="00A315B7"/>
    <w:rsid w:val="00A34E65"/>
    <w:rsid w:val="00A36417"/>
    <w:rsid w:val="00AA7435"/>
    <w:rsid w:val="00AC7FB1"/>
    <w:rsid w:val="00AD1A3D"/>
    <w:rsid w:val="00AD3FD4"/>
    <w:rsid w:val="00AF1BA3"/>
    <w:rsid w:val="00B03007"/>
    <w:rsid w:val="00B13760"/>
    <w:rsid w:val="00B30471"/>
    <w:rsid w:val="00B31B16"/>
    <w:rsid w:val="00B36A01"/>
    <w:rsid w:val="00B42CD9"/>
    <w:rsid w:val="00B66B70"/>
    <w:rsid w:val="00B66FE3"/>
    <w:rsid w:val="00B700CE"/>
    <w:rsid w:val="00B75E73"/>
    <w:rsid w:val="00B83DDF"/>
    <w:rsid w:val="00BA53A4"/>
    <w:rsid w:val="00BB5015"/>
    <w:rsid w:val="00BC10F7"/>
    <w:rsid w:val="00BC3B3F"/>
    <w:rsid w:val="00BE7250"/>
    <w:rsid w:val="00BF6A44"/>
    <w:rsid w:val="00C03CFC"/>
    <w:rsid w:val="00C06AF0"/>
    <w:rsid w:val="00C17481"/>
    <w:rsid w:val="00C17BD3"/>
    <w:rsid w:val="00C17FCC"/>
    <w:rsid w:val="00C20293"/>
    <w:rsid w:val="00C30663"/>
    <w:rsid w:val="00C43B3D"/>
    <w:rsid w:val="00C472E9"/>
    <w:rsid w:val="00C54200"/>
    <w:rsid w:val="00C63660"/>
    <w:rsid w:val="00C800F6"/>
    <w:rsid w:val="00C8196F"/>
    <w:rsid w:val="00C9309E"/>
    <w:rsid w:val="00CA244A"/>
    <w:rsid w:val="00CB5896"/>
    <w:rsid w:val="00CB7CDE"/>
    <w:rsid w:val="00CC51CC"/>
    <w:rsid w:val="00CE1981"/>
    <w:rsid w:val="00CE4A94"/>
    <w:rsid w:val="00CF4253"/>
    <w:rsid w:val="00D11932"/>
    <w:rsid w:val="00D20ABE"/>
    <w:rsid w:val="00D23E96"/>
    <w:rsid w:val="00D302D2"/>
    <w:rsid w:val="00D42657"/>
    <w:rsid w:val="00D433DF"/>
    <w:rsid w:val="00D45167"/>
    <w:rsid w:val="00D45235"/>
    <w:rsid w:val="00D46596"/>
    <w:rsid w:val="00D47865"/>
    <w:rsid w:val="00D50086"/>
    <w:rsid w:val="00D50173"/>
    <w:rsid w:val="00D53D9A"/>
    <w:rsid w:val="00D70211"/>
    <w:rsid w:val="00D872EA"/>
    <w:rsid w:val="00D965AA"/>
    <w:rsid w:val="00DB1430"/>
    <w:rsid w:val="00DC1D2C"/>
    <w:rsid w:val="00DC2649"/>
    <w:rsid w:val="00DD26F4"/>
    <w:rsid w:val="00DE0268"/>
    <w:rsid w:val="00DF05C6"/>
    <w:rsid w:val="00DF0EDB"/>
    <w:rsid w:val="00E15020"/>
    <w:rsid w:val="00E306D2"/>
    <w:rsid w:val="00E43E31"/>
    <w:rsid w:val="00ED1687"/>
    <w:rsid w:val="00EE2935"/>
    <w:rsid w:val="00EE5B23"/>
    <w:rsid w:val="00F14F5C"/>
    <w:rsid w:val="00F15BDC"/>
    <w:rsid w:val="00F43D20"/>
    <w:rsid w:val="00F5782C"/>
    <w:rsid w:val="00F73365"/>
    <w:rsid w:val="00F74A5C"/>
    <w:rsid w:val="00F877B0"/>
    <w:rsid w:val="00FC17AC"/>
    <w:rsid w:val="00FD0C20"/>
    <w:rsid w:val="00FD78DB"/>
    <w:rsid w:val="00FE421E"/>
    <w:rsid w:val="00FE62B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66FF"/>
  <w15:chartTrackingRefBased/>
  <w15:docId w15:val="{325915DD-C0E3-43D6-8D6D-9B814374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2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5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FB3"/>
    <w:rPr>
      <w:sz w:val="20"/>
      <w:szCs w:val="20"/>
      <w:lang w:val="en-GB"/>
    </w:rPr>
  </w:style>
  <w:style w:type="character" w:styleId="FootnoteReference">
    <w:name w:val="footnote reference"/>
    <w:basedOn w:val="DefaultParagraphFont"/>
    <w:uiPriority w:val="99"/>
    <w:semiHidden/>
    <w:unhideWhenUsed/>
    <w:rsid w:val="00045FB3"/>
    <w:rPr>
      <w:vertAlign w:val="superscript"/>
    </w:rPr>
  </w:style>
  <w:style w:type="character" w:styleId="Hyperlink">
    <w:name w:val="Hyperlink"/>
    <w:basedOn w:val="DefaultParagraphFont"/>
    <w:uiPriority w:val="99"/>
    <w:unhideWhenUsed/>
    <w:rsid w:val="00045FB3"/>
    <w:rPr>
      <w:color w:val="0563C1" w:themeColor="hyperlink"/>
      <w:u w:val="single"/>
    </w:rPr>
  </w:style>
  <w:style w:type="character" w:styleId="UnresolvedMention">
    <w:name w:val="Unresolved Mention"/>
    <w:basedOn w:val="DefaultParagraphFont"/>
    <w:uiPriority w:val="99"/>
    <w:semiHidden/>
    <w:unhideWhenUsed/>
    <w:rsid w:val="00045FB3"/>
    <w:rPr>
      <w:color w:val="605E5C"/>
      <w:shd w:val="clear" w:color="auto" w:fill="E1DFDD"/>
    </w:rPr>
  </w:style>
  <w:style w:type="paragraph" w:styleId="ListParagraph">
    <w:name w:val="List Paragraph"/>
    <w:basedOn w:val="Normal"/>
    <w:uiPriority w:val="34"/>
    <w:qFormat/>
    <w:rsid w:val="002319D7"/>
    <w:pPr>
      <w:ind w:left="720"/>
      <w:contextualSpacing/>
    </w:pPr>
  </w:style>
  <w:style w:type="paragraph" w:styleId="Header">
    <w:name w:val="header"/>
    <w:basedOn w:val="Normal"/>
    <w:link w:val="HeaderChar"/>
    <w:uiPriority w:val="99"/>
    <w:unhideWhenUsed/>
    <w:rsid w:val="00C17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81"/>
    <w:rPr>
      <w:lang w:val="en-GB"/>
    </w:rPr>
  </w:style>
  <w:style w:type="paragraph" w:styleId="Footer">
    <w:name w:val="footer"/>
    <w:basedOn w:val="Normal"/>
    <w:link w:val="FooterChar"/>
    <w:uiPriority w:val="99"/>
    <w:unhideWhenUsed/>
    <w:rsid w:val="00C17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81"/>
    <w:rPr>
      <w:lang w:val="en-GB"/>
    </w:rPr>
  </w:style>
  <w:style w:type="character" w:styleId="CommentReference">
    <w:name w:val="annotation reference"/>
    <w:basedOn w:val="DefaultParagraphFont"/>
    <w:uiPriority w:val="99"/>
    <w:semiHidden/>
    <w:unhideWhenUsed/>
    <w:rsid w:val="00677921"/>
    <w:rPr>
      <w:sz w:val="16"/>
      <w:szCs w:val="16"/>
    </w:rPr>
  </w:style>
  <w:style w:type="paragraph" w:styleId="CommentText">
    <w:name w:val="annotation text"/>
    <w:basedOn w:val="Normal"/>
    <w:link w:val="CommentTextChar"/>
    <w:uiPriority w:val="99"/>
    <w:unhideWhenUsed/>
    <w:rsid w:val="00677921"/>
    <w:pPr>
      <w:spacing w:line="240" w:lineRule="auto"/>
    </w:pPr>
    <w:rPr>
      <w:sz w:val="20"/>
      <w:szCs w:val="20"/>
    </w:rPr>
  </w:style>
  <w:style w:type="character" w:customStyle="1" w:styleId="CommentTextChar">
    <w:name w:val="Comment Text Char"/>
    <w:basedOn w:val="DefaultParagraphFont"/>
    <w:link w:val="CommentText"/>
    <w:uiPriority w:val="99"/>
    <w:rsid w:val="00677921"/>
    <w:rPr>
      <w:sz w:val="20"/>
      <w:szCs w:val="20"/>
      <w:lang w:val="en-GB"/>
    </w:rPr>
  </w:style>
  <w:style w:type="paragraph" w:styleId="CommentSubject">
    <w:name w:val="annotation subject"/>
    <w:basedOn w:val="CommentText"/>
    <w:next w:val="CommentText"/>
    <w:link w:val="CommentSubjectChar"/>
    <w:uiPriority w:val="99"/>
    <w:semiHidden/>
    <w:unhideWhenUsed/>
    <w:rsid w:val="00677921"/>
    <w:rPr>
      <w:b/>
      <w:bCs/>
    </w:rPr>
  </w:style>
  <w:style w:type="character" w:customStyle="1" w:styleId="CommentSubjectChar">
    <w:name w:val="Comment Subject Char"/>
    <w:basedOn w:val="CommentTextChar"/>
    <w:link w:val="CommentSubject"/>
    <w:uiPriority w:val="99"/>
    <w:semiHidden/>
    <w:rsid w:val="0067792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539">
      <w:bodyDiv w:val="1"/>
      <w:marLeft w:val="0"/>
      <w:marRight w:val="0"/>
      <w:marTop w:val="0"/>
      <w:marBottom w:val="0"/>
      <w:divBdr>
        <w:top w:val="none" w:sz="0" w:space="0" w:color="auto"/>
        <w:left w:val="none" w:sz="0" w:space="0" w:color="auto"/>
        <w:bottom w:val="none" w:sz="0" w:space="0" w:color="auto"/>
        <w:right w:val="none" w:sz="0" w:space="0" w:color="auto"/>
      </w:divBdr>
    </w:div>
    <w:div w:id="1373967297">
      <w:bodyDiv w:val="1"/>
      <w:marLeft w:val="0"/>
      <w:marRight w:val="0"/>
      <w:marTop w:val="0"/>
      <w:marBottom w:val="0"/>
      <w:divBdr>
        <w:top w:val="none" w:sz="0" w:space="0" w:color="auto"/>
        <w:left w:val="none" w:sz="0" w:space="0" w:color="auto"/>
        <w:bottom w:val="none" w:sz="0" w:space="0" w:color="auto"/>
        <w:right w:val="none" w:sz="0" w:space="0" w:color="auto"/>
      </w:divBdr>
    </w:div>
    <w:div w:id="1429540902">
      <w:bodyDiv w:val="1"/>
      <w:marLeft w:val="0"/>
      <w:marRight w:val="0"/>
      <w:marTop w:val="0"/>
      <w:marBottom w:val="0"/>
      <w:divBdr>
        <w:top w:val="none" w:sz="0" w:space="0" w:color="auto"/>
        <w:left w:val="none" w:sz="0" w:space="0" w:color="auto"/>
        <w:bottom w:val="none" w:sz="0" w:space="0" w:color="auto"/>
        <w:right w:val="none" w:sz="0" w:space="0" w:color="auto"/>
      </w:divBdr>
    </w:div>
    <w:div w:id="1488859785">
      <w:bodyDiv w:val="1"/>
      <w:marLeft w:val="0"/>
      <w:marRight w:val="0"/>
      <w:marTop w:val="0"/>
      <w:marBottom w:val="0"/>
      <w:divBdr>
        <w:top w:val="none" w:sz="0" w:space="0" w:color="auto"/>
        <w:left w:val="none" w:sz="0" w:space="0" w:color="auto"/>
        <w:bottom w:val="none" w:sz="0" w:space="0" w:color="auto"/>
        <w:right w:val="none" w:sz="0" w:space="0" w:color="auto"/>
      </w:divBdr>
    </w:div>
    <w:div w:id="1499884471">
      <w:bodyDiv w:val="1"/>
      <w:marLeft w:val="0"/>
      <w:marRight w:val="0"/>
      <w:marTop w:val="0"/>
      <w:marBottom w:val="0"/>
      <w:divBdr>
        <w:top w:val="none" w:sz="0" w:space="0" w:color="auto"/>
        <w:left w:val="none" w:sz="0" w:space="0" w:color="auto"/>
        <w:bottom w:val="none" w:sz="0" w:space="0" w:color="auto"/>
        <w:right w:val="none" w:sz="0" w:space="0" w:color="auto"/>
      </w:divBdr>
    </w:div>
    <w:div w:id="20035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pk/protection" TargetMode="External"/><Relationship Id="rId2" Type="http://schemas.openxmlformats.org/officeDocument/2006/relationships/hyperlink" Target="https://www.unhcr.org/countries/pakistan" TargetMode="External"/><Relationship Id="rId1" Type="http://schemas.openxmlformats.org/officeDocument/2006/relationships/hyperlink" Target="https://www.unhcr.org/about-unhcr" TargetMode="External"/><Relationship Id="rId5" Type="http://schemas.openxmlformats.org/officeDocument/2006/relationships/hyperlink" Target="https://help.unhcr.org/pakistan/proof-of-registration-card-por/" TargetMode="External"/><Relationship Id="rId4" Type="http://schemas.openxmlformats.org/officeDocument/2006/relationships/hyperlink" Target="https://reporting.unhcr.org/unhcr-strategic-directions-2022-20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416B357374032968E8BD1C652D9F2"/>
        <w:category>
          <w:name w:val="General"/>
          <w:gallery w:val="placeholder"/>
        </w:category>
        <w:types>
          <w:type w:val="bbPlcHdr"/>
        </w:types>
        <w:behaviors>
          <w:behavior w:val="content"/>
        </w:behaviors>
        <w:guid w:val="{10134D9E-868F-42FE-92E3-8C209E24169A}"/>
      </w:docPartPr>
      <w:docPartBody>
        <w:p w:rsidR="00AD7852" w:rsidRDefault="00D7576C" w:rsidP="00D7576C">
          <w:pPr>
            <w:pStyle w:val="DD0416B357374032968E8BD1C652D9F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6C"/>
    <w:rsid w:val="00AD7852"/>
    <w:rsid w:val="00D7576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76C"/>
    <w:rPr>
      <w:color w:val="808080"/>
    </w:rPr>
  </w:style>
  <w:style w:type="paragraph" w:customStyle="1" w:styleId="DD0416B357374032968E8BD1C652D9F2">
    <w:name w:val="DD0416B357374032968E8BD1C652D9F2"/>
    <w:rsid w:val="00D75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B78F-E331-4F37-80FF-3AD296F2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 SUB-OFFICE QUETTA, PAKISTAN</dc:creator>
  <cp:keywords/>
  <dc:description/>
  <cp:lastModifiedBy>Richard Musaki</cp:lastModifiedBy>
  <cp:revision>8</cp:revision>
  <dcterms:created xsi:type="dcterms:W3CDTF">2023-10-03T09:22:00Z</dcterms:created>
  <dcterms:modified xsi:type="dcterms:W3CDTF">2023-11-06T04:41:00Z</dcterms:modified>
</cp:coreProperties>
</file>