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1EDBD" w14:textId="77777777" w:rsidR="00BF0A89" w:rsidRPr="003F211E" w:rsidRDefault="00BF0A89" w:rsidP="00BF0A89">
      <w:pPr>
        <w:pStyle w:val="Titre"/>
        <w:rPr>
          <w:rFonts w:ascii="Calibri" w:hAnsi="Calibri"/>
          <w:lang w:val="fr-FR" w:eastAsia="en-GB"/>
        </w:rPr>
      </w:pPr>
      <w:r w:rsidRPr="003F211E">
        <w:rPr>
          <w:rFonts w:ascii="Calibri" w:hAnsi="Calibri"/>
          <w:lang w:val="fr-FR" w:eastAsia="en-GB"/>
        </w:rPr>
        <w:t>Ajust</w:t>
      </w:r>
      <w:r w:rsidR="001E4981" w:rsidRPr="003F211E">
        <w:rPr>
          <w:rFonts w:ascii="Calibri" w:hAnsi="Calibri"/>
          <w:lang w:val="fr-FR" w:eastAsia="en-GB"/>
        </w:rPr>
        <w:t>e</w:t>
      </w:r>
      <w:r w:rsidRPr="003F211E">
        <w:rPr>
          <w:rFonts w:ascii="Calibri" w:hAnsi="Calibri"/>
          <w:lang w:val="fr-FR" w:eastAsia="en-GB"/>
        </w:rPr>
        <w:t xml:space="preserve">ment </w:t>
      </w:r>
      <w:r w:rsidR="001E4981" w:rsidRPr="003F211E">
        <w:rPr>
          <w:rFonts w:ascii="Calibri" w:hAnsi="Calibri"/>
          <w:lang w:val="fr-FR" w:eastAsia="en-GB"/>
        </w:rPr>
        <w:t>pour l’</w:t>
      </w:r>
      <w:r w:rsidRPr="003F211E">
        <w:rPr>
          <w:rFonts w:ascii="Calibri" w:hAnsi="Calibri"/>
          <w:lang w:val="fr-FR" w:eastAsia="en-GB"/>
        </w:rPr>
        <w:t>Altitude</w:t>
      </w:r>
      <w:r w:rsidR="001E4981" w:rsidRPr="003F211E">
        <w:rPr>
          <w:rStyle w:val="Appelnotedebasdep"/>
          <w:rFonts w:ascii="Calibri" w:hAnsi="Calibri"/>
          <w:lang w:val="fr-FR" w:eastAsia="en-GB"/>
        </w:rPr>
        <w:footnoteReference w:id="1"/>
      </w:r>
    </w:p>
    <w:p w14:paraId="2A6A5742" w14:textId="77777777" w:rsidR="00100161" w:rsidRPr="003F211E" w:rsidRDefault="00100161" w:rsidP="001D61A8">
      <w:pPr>
        <w:autoSpaceDE w:val="0"/>
        <w:autoSpaceDN w:val="0"/>
        <w:adjustRightInd w:val="0"/>
        <w:spacing w:after="0" w:line="240" w:lineRule="auto"/>
        <w:jc w:val="both"/>
        <w:rPr>
          <w:bCs/>
          <w:sz w:val="24"/>
          <w:szCs w:val="24"/>
          <w:lang w:val="fr-FR" w:eastAsia="en-GB"/>
        </w:rPr>
      </w:pPr>
    </w:p>
    <w:p w14:paraId="4CA25285" w14:textId="15488864" w:rsidR="00100161" w:rsidRPr="003F211E" w:rsidRDefault="00100161" w:rsidP="001D61A8">
      <w:pPr>
        <w:autoSpaceDE w:val="0"/>
        <w:autoSpaceDN w:val="0"/>
        <w:adjustRightInd w:val="0"/>
        <w:spacing w:after="0" w:line="240" w:lineRule="auto"/>
        <w:jc w:val="both"/>
        <w:rPr>
          <w:bCs/>
          <w:sz w:val="24"/>
          <w:szCs w:val="24"/>
          <w:lang w:val="fr-FR" w:eastAsia="en-GB"/>
        </w:rPr>
      </w:pPr>
      <w:r w:rsidRPr="003F211E">
        <w:rPr>
          <w:bCs/>
          <w:sz w:val="24"/>
          <w:szCs w:val="24"/>
          <w:lang w:val="fr-FR" w:eastAsia="en-GB"/>
        </w:rPr>
        <w:t xml:space="preserve">La concentration en hémoglobine dans le sang varie en fonction de divers facteurs, notamment l’âge, le sexe et le stade de la grossesse. Elle est également affectée par l’origine ethnique, l’altitude et le tabagisme. C’est pour ces raisons qu’il existe différentes valeurs seuils pour définir l’anémie selon l’âge et le sexe. </w:t>
      </w:r>
      <w:r w:rsidR="001F5041" w:rsidRPr="003F211E">
        <w:rPr>
          <w:bCs/>
          <w:sz w:val="24"/>
          <w:szCs w:val="24"/>
          <w:lang w:val="fr-FR" w:eastAsia="en-GB"/>
        </w:rPr>
        <w:t>Beaucoup</w:t>
      </w:r>
      <w:r w:rsidRPr="003F211E">
        <w:rPr>
          <w:bCs/>
          <w:sz w:val="24"/>
          <w:szCs w:val="24"/>
          <w:lang w:val="fr-FR" w:eastAsia="en-GB"/>
        </w:rPr>
        <w:t xml:space="preserve"> de femmes enceintes </w:t>
      </w:r>
      <w:r w:rsidR="001F5041" w:rsidRPr="003F211E">
        <w:rPr>
          <w:bCs/>
          <w:sz w:val="24"/>
          <w:szCs w:val="24"/>
          <w:lang w:val="fr-FR" w:eastAsia="en-GB"/>
        </w:rPr>
        <w:t>réfugiées</w:t>
      </w:r>
      <w:r w:rsidRPr="003F211E">
        <w:rPr>
          <w:bCs/>
          <w:sz w:val="24"/>
          <w:szCs w:val="24"/>
          <w:lang w:val="fr-FR" w:eastAsia="en-GB"/>
        </w:rPr>
        <w:t xml:space="preserve"> peuvent ne pas connaitre </w:t>
      </w:r>
      <w:r w:rsidR="001F5041" w:rsidRPr="003F211E">
        <w:rPr>
          <w:bCs/>
          <w:sz w:val="24"/>
          <w:szCs w:val="24"/>
          <w:lang w:val="fr-FR" w:eastAsia="en-GB"/>
        </w:rPr>
        <w:t>précisément leur âge</w:t>
      </w:r>
      <w:r w:rsidRPr="003F211E">
        <w:rPr>
          <w:bCs/>
          <w:sz w:val="24"/>
          <w:szCs w:val="24"/>
          <w:lang w:val="fr-FR" w:eastAsia="en-GB"/>
        </w:rPr>
        <w:t xml:space="preserve"> gestationnel et c’est pour cette raison-ci</w:t>
      </w:r>
      <w:r w:rsidR="00456861">
        <w:rPr>
          <w:bCs/>
          <w:sz w:val="24"/>
          <w:szCs w:val="24"/>
          <w:lang w:val="fr-FR" w:eastAsia="en-GB"/>
        </w:rPr>
        <w:t xml:space="preserve"> principalement, ainsi que pour la petite taille d’échantillon,</w:t>
      </w:r>
      <w:r w:rsidRPr="003F211E">
        <w:rPr>
          <w:bCs/>
          <w:sz w:val="24"/>
          <w:szCs w:val="24"/>
          <w:lang w:val="fr-FR" w:eastAsia="en-GB"/>
        </w:rPr>
        <w:t xml:space="preserve"> </w:t>
      </w:r>
      <w:r w:rsidR="00456861">
        <w:rPr>
          <w:bCs/>
          <w:sz w:val="24"/>
          <w:szCs w:val="24"/>
          <w:lang w:val="fr-FR" w:eastAsia="en-GB"/>
        </w:rPr>
        <w:t xml:space="preserve">que l’évaluation de la concentration en hémoglobine </w:t>
      </w:r>
      <w:r w:rsidRPr="003F211E">
        <w:rPr>
          <w:bCs/>
          <w:sz w:val="24"/>
          <w:szCs w:val="24"/>
          <w:lang w:val="fr-FR" w:eastAsia="en-GB"/>
        </w:rPr>
        <w:t xml:space="preserve">chez les femmes </w:t>
      </w:r>
      <w:r w:rsidR="001F5041" w:rsidRPr="003F211E">
        <w:rPr>
          <w:bCs/>
          <w:sz w:val="24"/>
          <w:szCs w:val="24"/>
          <w:lang w:val="fr-FR" w:eastAsia="en-GB"/>
        </w:rPr>
        <w:t>enceintes</w:t>
      </w:r>
      <w:r w:rsidRPr="003F211E">
        <w:rPr>
          <w:bCs/>
          <w:sz w:val="24"/>
          <w:szCs w:val="24"/>
          <w:lang w:val="fr-FR" w:eastAsia="en-GB"/>
        </w:rPr>
        <w:t xml:space="preserve"> </w:t>
      </w:r>
      <w:r w:rsidR="001F5041" w:rsidRPr="003F211E">
        <w:rPr>
          <w:bCs/>
          <w:sz w:val="24"/>
          <w:szCs w:val="24"/>
          <w:lang w:val="fr-FR" w:eastAsia="en-GB"/>
        </w:rPr>
        <w:t>e</w:t>
      </w:r>
      <w:r w:rsidRPr="003F211E">
        <w:rPr>
          <w:bCs/>
          <w:sz w:val="24"/>
          <w:szCs w:val="24"/>
          <w:lang w:val="fr-FR" w:eastAsia="en-GB"/>
        </w:rPr>
        <w:t>st maintenant exclu</w:t>
      </w:r>
      <w:r w:rsidR="00456861">
        <w:rPr>
          <w:bCs/>
          <w:sz w:val="24"/>
          <w:szCs w:val="24"/>
          <w:lang w:val="fr-FR" w:eastAsia="en-GB"/>
        </w:rPr>
        <w:t>e</w:t>
      </w:r>
      <w:r w:rsidRPr="003F211E">
        <w:rPr>
          <w:bCs/>
          <w:sz w:val="24"/>
          <w:szCs w:val="24"/>
          <w:lang w:val="fr-FR" w:eastAsia="en-GB"/>
        </w:rPr>
        <w:t xml:space="preserve"> des </w:t>
      </w:r>
      <w:r w:rsidR="001F5041" w:rsidRPr="003F211E">
        <w:rPr>
          <w:bCs/>
          <w:sz w:val="24"/>
          <w:szCs w:val="24"/>
          <w:lang w:val="fr-FR" w:eastAsia="en-GB"/>
        </w:rPr>
        <w:t>enquêtes</w:t>
      </w:r>
      <w:r w:rsidRPr="003F211E">
        <w:rPr>
          <w:bCs/>
          <w:sz w:val="24"/>
          <w:szCs w:val="24"/>
          <w:lang w:val="fr-FR" w:eastAsia="en-GB"/>
        </w:rPr>
        <w:t xml:space="preserve"> nutritionnelles dans les </w:t>
      </w:r>
      <w:r w:rsidR="001F5041" w:rsidRPr="003F211E">
        <w:rPr>
          <w:bCs/>
          <w:sz w:val="24"/>
          <w:szCs w:val="24"/>
          <w:lang w:val="fr-FR" w:eastAsia="en-GB"/>
        </w:rPr>
        <w:t>contextes</w:t>
      </w:r>
      <w:r w:rsidRPr="003F211E">
        <w:rPr>
          <w:bCs/>
          <w:sz w:val="24"/>
          <w:szCs w:val="24"/>
          <w:lang w:val="fr-FR" w:eastAsia="en-GB"/>
        </w:rPr>
        <w:t xml:space="preserve"> de </w:t>
      </w:r>
      <w:r w:rsidR="001F5041" w:rsidRPr="003F211E">
        <w:rPr>
          <w:bCs/>
          <w:sz w:val="24"/>
          <w:szCs w:val="24"/>
          <w:lang w:val="fr-FR" w:eastAsia="en-GB"/>
        </w:rPr>
        <w:t>réfugiés</w:t>
      </w:r>
      <w:r w:rsidRPr="003F211E">
        <w:rPr>
          <w:bCs/>
          <w:sz w:val="24"/>
          <w:szCs w:val="24"/>
          <w:lang w:val="fr-FR" w:eastAsia="en-GB"/>
        </w:rPr>
        <w:t>.</w:t>
      </w:r>
    </w:p>
    <w:p w14:paraId="0A44A677" w14:textId="77777777" w:rsidR="00100161" w:rsidRPr="003F211E" w:rsidRDefault="00100161" w:rsidP="001D61A8">
      <w:pPr>
        <w:autoSpaceDE w:val="0"/>
        <w:autoSpaceDN w:val="0"/>
        <w:adjustRightInd w:val="0"/>
        <w:spacing w:after="0" w:line="240" w:lineRule="auto"/>
        <w:jc w:val="both"/>
        <w:rPr>
          <w:bCs/>
          <w:sz w:val="24"/>
          <w:szCs w:val="24"/>
          <w:lang w:val="fr-FR" w:eastAsia="en-GB"/>
        </w:rPr>
      </w:pPr>
    </w:p>
    <w:p w14:paraId="06B2D729" w14:textId="207E9DE6" w:rsidR="006F14C7" w:rsidRPr="003F211E" w:rsidRDefault="006F14C7" w:rsidP="001D61A8">
      <w:pPr>
        <w:autoSpaceDE w:val="0"/>
        <w:autoSpaceDN w:val="0"/>
        <w:adjustRightInd w:val="0"/>
        <w:spacing w:after="0" w:line="240" w:lineRule="auto"/>
        <w:jc w:val="both"/>
        <w:rPr>
          <w:bCs/>
          <w:sz w:val="24"/>
          <w:szCs w:val="24"/>
          <w:lang w:val="fr-FR" w:eastAsia="en-GB"/>
        </w:rPr>
      </w:pPr>
      <w:r w:rsidRPr="003F211E">
        <w:rPr>
          <w:bCs/>
          <w:sz w:val="24"/>
          <w:szCs w:val="24"/>
          <w:lang w:val="fr-FR" w:eastAsia="en-GB"/>
        </w:rPr>
        <w:t xml:space="preserve">Au-delà de 1000 mètres d’altitude par rapport au niveau de la mer, on sait que la concentration en hémoglobine augmente </w:t>
      </w:r>
      <w:r w:rsidR="003A62A6" w:rsidRPr="003F211E">
        <w:rPr>
          <w:bCs/>
          <w:sz w:val="24"/>
          <w:szCs w:val="24"/>
          <w:lang w:val="fr-FR" w:eastAsia="en-GB"/>
        </w:rPr>
        <w:t>afin de</w:t>
      </w:r>
      <w:r w:rsidRPr="003F211E">
        <w:rPr>
          <w:bCs/>
          <w:sz w:val="24"/>
          <w:szCs w:val="24"/>
          <w:lang w:val="fr-FR" w:eastAsia="en-GB"/>
        </w:rPr>
        <w:t xml:space="preserve"> compenser la baisse de la pression partielle en oxygène et la réduction de la saturation en oxygène </w:t>
      </w:r>
      <w:r w:rsidR="003A62A6" w:rsidRPr="003F211E">
        <w:rPr>
          <w:bCs/>
          <w:sz w:val="24"/>
          <w:szCs w:val="24"/>
          <w:lang w:val="fr-FR" w:eastAsia="en-GB"/>
        </w:rPr>
        <w:t>du</w:t>
      </w:r>
      <w:r w:rsidRPr="003F211E">
        <w:rPr>
          <w:bCs/>
          <w:sz w:val="24"/>
          <w:szCs w:val="24"/>
          <w:lang w:val="fr-FR" w:eastAsia="en-GB"/>
        </w:rPr>
        <w:t xml:space="preserve"> sang. </w:t>
      </w:r>
      <w:r w:rsidR="003A62A6" w:rsidRPr="003F211E">
        <w:rPr>
          <w:bCs/>
          <w:sz w:val="24"/>
          <w:szCs w:val="24"/>
          <w:lang w:val="fr-FR" w:eastAsia="en-GB"/>
        </w:rPr>
        <w:t>Cela se traduit par</w:t>
      </w:r>
      <w:r w:rsidRPr="003F211E">
        <w:rPr>
          <w:bCs/>
          <w:sz w:val="24"/>
          <w:szCs w:val="24"/>
          <w:lang w:val="fr-FR" w:eastAsia="en-GB"/>
        </w:rPr>
        <w:t xml:space="preserve"> une </w:t>
      </w:r>
      <w:r w:rsidR="003A62A6" w:rsidRPr="003F211E">
        <w:rPr>
          <w:bCs/>
          <w:sz w:val="24"/>
          <w:szCs w:val="24"/>
          <w:lang w:val="fr-FR" w:eastAsia="en-GB"/>
        </w:rPr>
        <w:t>production compensat</w:t>
      </w:r>
      <w:r w:rsidRPr="003F211E">
        <w:rPr>
          <w:bCs/>
          <w:sz w:val="24"/>
          <w:szCs w:val="24"/>
          <w:lang w:val="fr-FR" w:eastAsia="en-GB"/>
        </w:rPr>
        <w:t>o</w:t>
      </w:r>
      <w:r w:rsidR="003A62A6" w:rsidRPr="003F211E">
        <w:rPr>
          <w:bCs/>
          <w:sz w:val="24"/>
          <w:szCs w:val="24"/>
          <w:lang w:val="fr-FR" w:eastAsia="en-GB"/>
        </w:rPr>
        <w:t>ire</w:t>
      </w:r>
      <w:r w:rsidRPr="003F211E">
        <w:rPr>
          <w:bCs/>
          <w:sz w:val="24"/>
          <w:szCs w:val="24"/>
          <w:lang w:val="fr-FR" w:eastAsia="en-GB"/>
        </w:rPr>
        <w:t xml:space="preserve"> </w:t>
      </w:r>
      <w:r w:rsidR="003A62A6" w:rsidRPr="003F211E">
        <w:rPr>
          <w:bCs/>
          <w:sz w:val="24"/>
          <w:szCs w:val="24"/>
          <w:lang w:val="fr-FR" w:eastAsia="en-GB"/>
        </w:rPr>
        <w:t xml:space="preserve">accrue </w:t>
      </w:r>
      <w:r w:rsidRPr="003F211E">
        <w:rPr>
          <w:bCs/>
          <w:sz w:val="24"/>
          <w:szCs w:val="24"/>
          <w:lang w:val="fr-FR" w:eastAsia="en-GB"/>
        </w:rPr>
        <w:t xml:space="preserve">de globules rouges </w:t>
      </w:r>
      <w:r w:rsidR="003A62A6" w:rsidRPr="003F211E">
        <w:rPr>
          <w:bCs/>
          <w:sz w:val="24"/>
          <w:szCs w:val="24"/>
          <w:lang w:val="fr-FR" w:eastAsia="en-GB"/>
        </w:rPr>
        <w:t>permettant ainsi</w:t>
      </w:r>
      <w:r w:rsidRPr="003F211E">
        <w:rPr>
          <w:bCs/>
          <w:sz w:val="24"/>
          <w:szCs w:val="24"/>
          <w:lang w:val="fr-FR" w:eastAsia="en-GB"/>
        </w:rPr>
        <w:t xml:space="preserve"> de fournir suffisamment d’</w:t>
      </w:r>
      <w:r w:rsidR="003A62A6" w:rsidRPr="003F211E">
        <w:rPr>
          <w:bCs/>
          <w:sz w:val="24"/>
          <w:szCs w:val="24"/>
          <w:lang w:val="fr-FR" w:eastAsia="en-GB"/>
        </w:rPr>
        <w:t>oxygène</w:t>
      </w:r>
      <w:r w:rsidRPr="003F211E">
        <w:rPr>
          <w:bCs/>
          <w:sz w:val="24"/>
          <w:szCs w:val="24"/>
          <w:lang w:val="fr-FR" w:eastAsia="en-GB"/>
        </w:rPr>
        <w:t xml:space="preserve"> aux tissus</w:t>
      </w:r>
      <w:r w:rsidR="001E7DEE" w:rsidRPr="003F211E">
        <w:rPr>
          <w:rStyle w:val="Appelnotedebasdep"/>
          <w:bCs/>
          <w:sz w:val="24"/>
          <w:szCs w:val="24"/>
          <w:lang w:val="fr-FR" w:eastAsia="en-GB"/>
        </w:rPr>
        <w:footnoteReference w:id="2"/>
      </w:r>
      <w:r w:rsidRPr="003F211E">
        <w:rPr>
          <w:bCs/>
          <w:sz w:val="24"/>
          <w:szCs w:val="24"/>
          <w:lang w:val="fr-FR" w:eastAsia="en-GB"/>
        </w:rPr>
        <w:t xml:space="preserve"> La progression est </w:t>
      </w:r>
      <w:r w:rsidR="003A62A6" w:rsidRPr="003F211E">
        <w:rPr>
          <w:bCs/>
          <w:sz w:val="24"/>
          <w:szCs w:val="24"/>
          <w:lang w:val="fr-FR" w:eastAsia="en-GB"/>
        </w:rPr>
        <w:t>curviligne</w:t>
      </w:r>
      <w:r w:rsidRPr="003F211E">
        <w:rPr>
          <w:bCs/>
          <w:sz w:val="24"/>
          <w:szCs w:val="24"/>
          <w:lang w:val="fr-FR" w:eastAsia="en-GB"/>
        </w:rPr>
        <w:t xml:space="preserve">, </w:t>
      </w:r>
      <w:r w:rsidR="003A62A6" w:rsidRPr="003F211E">
        <w:rPr>
          <w:bCs/>
          <w:sz w:val="24"/>
          <w:szCs w:val="24"/>
          <w:lang w:val="fr-FR" w:eastAsia="en-GB"/>
        </w:rPr>
        <w:t>avec l’augmentation</w:t>
      </w:r>
      <w:r w:rsidRPr="003F211E">
        <w:rPr>
          <w:bCs/>
          <w:sz w:val="24"/>
          <w:szCs w:val="24"/>
          <w:lang w:val="fr-FR" w:eastAsia="en-GB"/>
        </w:rPr>
        <w:t xml:space="preserve"> de la concentration en </w:t>
      </w:r>
      <w:r w:rsidR="003A62A6" w:rsidRPr="003F211E">
        <w:rPr>
          <w:bCs/>
          <w:sz w:val="24"/>
          <w:szCs w:val="24"/>
          <w:lang w:val="fr-FR" w:eastAsia="en-GB"/>
        </w:rPr>
        <w:t>hémoglobine</w:t>
      </w:r>
      <w:r w:rsidRPr="003F211E">
        <w:rPr>
          <w:bCs/>
          <w:sz w:val="24"/>
          <w:szCs w:val="24"/>
          <w:lang w:val="fr-FR" w:eastAsia="en-GB"/>
        </w:rPr>
        <w:t xml:space="preserve"> </w:t>
      </w:r>
      <w:r w:rsidR="003A62A6" w:rsidRPr="003F211E">
        <w:rPr>
          <w:bCs/>
          <w:sz w:val="24"/>
          <w:szCs w:val="24"/>
          <w:lang w:val="fr-FR" w:eastAsia="en-GB"/>
        </w:rPr>
        <w:t>qui est</w:t>
      </w:r>
      <w:r w:rsidRPr="003F211E">
        <w:rPr>
          <w:bCs/>
          <w:sz w:val="24"/>
          <w:szCs w:val="24"/>
          <w:lang w:val="fr-FR" w:eastAsia="en-GB"/>
        </w:rPr>
        <w:t xml:space="preserve"> </w:t>
      </w:r>
      <w:r w:rsidR="003A62A6" w:rsidRPr="003F211E">
        <w:rPr>
          <w:bCs/>
          <w:sz w:val="24"/>
          <w:szCs w:val="24"/>
          <w:lang w:val="fr-FR" w:eastAsia="en-GB"/>
        </w:rPr>
        <w:t>de plus en plus importante</w:t>
      </w:r>
      <w:r w:rsidRPr="003F211E">
        <w:rPr>
          <w:bCs/>
          <w:sz w:val="24"/>
          <w:szCs w:val="24"/>
          <w:lang w:val="fr-FR" w:eastAsia="en-GB"/>
        </w:rPr>
        <w:t xml:space="preserve"> au fur et </w:t>
      </w:r>
      <w:r w:rsidR="003A62A6" w:rsidRPr="003F211E">
        <w:rPr>
          <w:bCs/>
          <w:sz w:val="24"/>
          <w:szCs w:val="24"/>
          <w:lang w:val="fr-FR" w:eastAsia="en-GB"/>
        </w:rPr>
        <w:t>à</w:t>
      </w:r>
      <w:r w:rsidRPr="003F211E">
        <w:rPr>
          <w:bCs/>
          <w:sz w:val="24"/>
          <w:szCs w:val="24"/>
          <w:lang w:val="fr-FR" w:eastAsia="en-GB"/>
        </w:rPr>
        <w:t xml:space="preserve"> mesure que </w:t>
      </w:r>
      <w:r w:rsidR="003A62A6" w:rsidRPr="003F211E">
        <w:rPr>
          <w:bCs/>
          <w:sz w:val="24"/>
          <w:szCs w:val="24"/>
          <w:lang w:val="fr-FR" w:eastAsia="en-GB"/>
        </w:rPr>
        <w:t>l’altitude</w:t>
      </w:r>
      <w:r w:rsidRPr="003F211E">
        <w:rPr>
          <w:bCs/>
          <w:sz w:val="24"/>
          <w:szCs w:val="24"/>
          <w:lang w:val="fr-FR" w:eastAsia="en-GB"/>
        </w:rPr>
        <w:t xml:space="preserve"> augmente.</w:t>
      </w:r>
    </w:p>
    <w:p w14:paraId="15F4EEA7" w14:textId="77777777" w:rsidR="006F14C7" w:rsidRPr="003F211E" w:rsidRDefault="006F14C7" w:rsidP="001D61A8">
      <w:pPr>
        <w:autoSpaceDE w:val="0"/>
        <w:autoSpaceDN w:val="0"/>
        <w:adjustRightInd w:val="0"/>
        <w:spacing w:after="0" w:line="240" w:lineRule="auto"/>
        <w:jc w:val="both"/>
        <w:rPr>
          <w:bCs/>
          <w:sz w:val="24"/>
          <w:szCs w:val="24"/>
          <w:lang w:val="fr-FR" w:eastAsia="en-GB"/>
        </w:rPr>
      </w:pPr>
    </w:p>
    <w:p w14:paraId="70743D54" w14:textId="77777777" w:rsidR="006F14C7" w:rsidRPr="003F211E" w:rsidRDefault="00063594" w:rsidP="001D61A8">
      <w:pPr>
        <w:autoSpaceDE w:val="0"/>
        <w:autoSpaceDN w:val="0"/>
        <w:adjustRightInd w:val="0"/>
        <w:spacing w:after="0" w:line="240" w:lineRule="auto"/>
        <w:jc w:val="both"/>
        <w:rPr>
          <w:sz w:val="24"/>
          <w:szCs w:val="24"/>
          <w:lang w:val="fr-FR" w:eastAsia="en-GB"/>
        </w:rPr>
      </w:pPr>
      <w:r w:rsidRPr="003F211E">
        <w:rPr>
          <w:color w:val="000000"/>
          <w:sz w:val="24"/>
          <w:szCs w:val="24"/>
          <w:lang w:val="fr-FR" w:eastAsia="en-GB"/>
        </w:rPr>
        <w:t xml:space="preserve">Deux publications fournissent de plus amples informations sur les valeurs seuils de l’hémoglobine et les différents ajustements </w:t>
      </w:r>
      <w:r w:rsidRPr="003F211E">
        <w:rPr>
          <w:sz w:val="24"/>
          <w:szCs w:val="24"/>
          <w:lang w:val="fr-FR" w:eastAsia="en-GB"/>
        </w:rPr>
        <w:t xml:space="preserve">(UNICEF, UNU, OMS 2001 ; </w:t>
      </w:r>
      <w:proofErr w:type="spellStart"/>
      <w:r w:rsidRPr="003F211E">
        <w:rPr>
          <w:sz w:val="24"/>
          <w:szCs w:val="24"/>
          <w:lang w:val="fr-FR" w:eastAsia="en-GB"/>
        </w:rPr>
        <w:t>Nestel</w:t>
      </w:r>
      <w:proofErr w:type="spellEnd"/>
      <w:r w:rsidRPr="003F211E">
        <w:rPr>
          <w:sz w:val="24"/>
          <w:szCs w:val="24"/>
          <w:lang w:val="fr-FR" w:eastAsia="en-GB"/>
        </w:rPr>
        <w:t xml:space="preserve"> &amp; Le comité directeur INACG 2002). Bien que les différences entre les deux publications soient mineures, selon Sullivan et al. du Centre de Contrôle et de Prévention des Maladies (CDC), les recommandations de l’UNICEF, l’UNU et de l’OMS de 2001 sont préférées en raison d’un consensus réunissant de nombreux experts.</w:t>
      </w:r>
    </w:p>
    <w:p w14:paraId="3661B65A" w14:textId="77777777" w:rsidR="00062A7A" w:rsidRPr="003F211E" w:rsidRDefault="00062A7A" w:rsidP="00925684">
      <w:pPr>
        <w:autoSpaceDE w:val="0"/>
        <w:autoSpaceDN w:val="0"/>
        <w:adjustRightInd w:val="0"/>
        <w:spacing w:after="0" w:line="240" w:lineRule="auto"/>
        <w:jc w:val="both"/>
        <w:rPr>
          <w:sz w:val="24"/>
          <w:szCs w:val="24"/>
          <w:lang w:val="fr-FR" w:eastAsia="en-GB"/>
        </w:rPr>
      </w:pPr>
    </w:p>
    <w:p w14:paraId="5D9D77D4" w14:textId="10B43A5A" w:rsidR="00AD6C83" w:rsidRPr="003F211E" w:rsidRDefault="00063594" w:rsidP="00B666F1">
      <w:pPr>
        <w:autoSpaceDE w:val="0"/>
        <w:autoSpaceDN w:val="0"/>
        <w:adjustRightInd w:val="0"/>
        <w:spacing w:after="0" w:line="240" w:lineRule="auto"/>
        <w:jc w:val="both"/>
        <w:rPr>
          <w:sz w:val="24"/>
          <w:szCs w:val="24"/>
          <w:lang w:val="fr-FR" w:eastAsia="en-GB"/>
        </w:rPr>
      </w:pPr>
      <w:r w:rsidRPr="003F211E">
        <w:rPr>
          <w:sz w:val="24"/>
          <w:szCs w:val="24"/>
          <w:lang w:val="fr-FR" w:eastAsia="en-GB"/>
        </w:rPr>
        <w:t>L’ajustement pour l’altitude es</w:t>
      </w:r>
      <w:r w:rsidR="001F74E0">
        <w:rPr>
          <w:sz w:val="24"/>
          <w:szCs w:val="24"/>
          <w:lang w:val="fr-FR" w:eastAsia="en-GB"/>
        </w:rPr>
        <w:t>t basé sur la formule suivante.</w:t>
      </w:r>
    </w:p>
    <w:p w14:paraId="7D0AF7BF" w14:textId="77777777" w:rsidR="00AD6C83" w:rsidRPr="003F211E" w:rsidRDefault="00AD6C83" w:rsidP="001D61A8">
      <w:pPr>
        <w:autoSpaceDE w:val="0"/>
        <w:autoSpaceDN w:val="0"/>
        <w:adjustRightInd w:val="0"/>
        <w:spacing w:after="0" w:line="240" w:lineRule="auto"/>
        <w:jc w:val="both"/>
        <w:rPr>
          <w:sz w:val="24"/>
          <w:szCs w:val="24"/>
          <w:lang w:val="fr-FR" w:eastAsia="en-GB"/>
        </w:rPr>
      </w:pPr>
    </w:p>
    <w:p w14:paraId="28CF64A2" w14:textId="77777777" w:rsidR="00A57AE8" w:rsidRPr="003F211E" w:rsidRDefault="00063594" w:rsidP="008E470D">
      <w:pPr>
        <w:autoSpaceDE w:val="0"/>
        <w:autoSpaceDN w:val="0"/>
        <w:adjustRightInd w:val="0"/>
        <w:spacing w:after="0" w:line="240" w:lineRule="auto"/>
        <w:jc w:val="center"/>
        <w:rPr>
          <w:color w:val="000000"/>
          <w:sz w:val="20"/>
          <w:szCs w:val="20"/>
          <w:lang w:val="fr-FR" w:eastAsia="en-GB"/>
        </w:rPr>
      </w:pPr>
      <w:bookmarkStart w:id="0" w:name="OLE_LINK6"/>
      <w:bookmarkStart w:id="1" w:name="OLE_LINK7"/>
      <w:bookmarkStart w:id="2" w:name="OLE_LINK4"/>
      <w:bookmarkStart w:id="3" w:name="OLE_LINK5"/>
      <w:r w:rsidRPr="003F211E">
        <w:rPr>
          <w:color w:val="000000"/>
          <w:sz w:val="20"/>
          <w:szCs w:val="20"/>
          <w:lang w:val="fr-FR" w:eastAsia="en-GB"/>
        </w:rPr>
        <w:t>A</w:t>
      </w:r>
      <w:r w:rsidR="0042406B" w:rsidRPr="003F211E">
        <w:rPr>
          <w:color w:val="000000"/>
          <w:sz w:val="20"/>
          <w:szCs w:val="20"/>
          <w:lang w:val="fr-FR" w:eastAsia="en-GB"/>
        </w:rPr>
        <w:t>just</w:t>
      </w:r>
      <w:r w:rsidRPr="003F211E">
        <w:rPr>
          <w:color w:val="000000"/>
          <w:sz w:val="20"/>
          <w:szCs w:val="20"/>
          <w:lang w:val="fr-FR" w:eastAsia="en-GB"/>
        </w:rPr>
        <w:t>e</w:t>
      </w:r>
      <w:r w:rsidR="0042406B" w:rsidRPr="003F211E">
        <w:rPr>
          <w:color w:val="000000"/>
          <w:sz w:val="20"/>
          <w:szCs w:val="20"/>
          <w:lang w:val="fr-FR" w:eastAsia="en-GB"/>
        </w:rPr>
        <w:t>ment</w:t>
      </w:r>
      <w:r w:rsidRPr="003F211E">
        <w:rPr>
          <w:color w:val="000000"/>
          <w:sz w:val="20"/>
          <w:szCs w:val="20"/>
          <w:lang w:val="fr-FR" w:eastAsia="en-GB"/>
        </w:rPr>
        <w:t xml:space="preserve"> Hb</w:t>
      </w:r>
      <w:r w:rsidR="00F06839" w:rsidRPr="003F211E">
        <w:rPr>
          <w:color w:val="000000"/>
          <w:sz w:val="20"/>
          <w:szCs w:val="20"/>
          <w:lang w:val="fr-FR" w:eastAsia="en-GB"/>
        </w:rPr>
        <w:t xml:space="preserve"> </w:t>
      </w:r>
      <w:r w:rsidRPr="003F211E">
        <w:rPr>
          <w:color w:val="000000"/>
          <w:sz w:val="20"/>
          <w:szCs w:val="20"/>
          <w:lang w:val="fr-FR" w:eastAsia="en-GB"/>
        </w:rPr>
        <w:t>= -</w:t>
      </w:r>
      <w:r w:rsidR="00A57AE8" w:rsidRPr="003F211E">
        <w:rPr>
          <w:color w:val="000000"/>
          <w:sz w:val="20"/>
          <w:szCs w:val="20"/>
          <w:lang w:val="fr-FR" w:eastAsia="en-GB"/>
        </w:rPr>
        <w:t xml:space="preserve">0.032 x (altitude </w:t>
      </w:r>
      <w:r w:rsidRPr="003F211E">
        <w:rPr>
          <w:color w:val="000000"/>
          <w:sz w:val="20"/>
          <w:szCs w:val="20"/>
          <w:lang w:val="fr-FR" w:eastAsia="en-GB"/>
        </w:rPr>
        <w:t>en</w:t>
      </w:r>
      <w:r w:rsidR="00A57AE8" w:rsidRPr="003F211E">
        <w:rPr>
          <w:color w:val="000000"/>
          <w:sz w:val="20"/>
          <w:szCs w:val="20"/>
          <w:lang w:val="fr-FR" w:eastAsia="en-GB"/>
        </w:rPr>
        <w:t xml:space="preserve"> </w:t>
      </w:r>
      <w:r w:rsidRPr="003F211E">
        <w:rPr>
          <w:color w:val="000000"/>
          <w:sz w:val="20"/>
          <w:szCs w:val="20"/>
          <w:lang w:val="fr-FR" w:eastAsia="en-GB"/>
        </w:rPr>
        <w:t>mètres</w:t>
      </w:r>
      <w:r w:rsidR="00A57AE8" w:rsidRPr="003F211E">
        <w:rPr>
          <w:color w:val="000000"/>
          <w:sz w:val="20"/>
          <w:szCs w:val="20"/>
          <w:lang w:val="fr-FR" w:eastAsia="en-GB"/>
        </w:rPr>
        <w:t xml:space="preserve"> x </w:t>
      </w:r>
      <w:r w:rsidR="0042406B" w:rsidRPr="003F211E">
        <w:rPr>
          <w:sz w:val="20"/>
          <w:szCs w:val="20"/>
          <w:lang w:val="fr-FR" w:eastAsia="en-GB"/>
        </w:rPr>
        <w:t>0</w:t>
      </w:r>
      <w:r w:rsidR="00196163" w:rsidRPr="003F211E">
        <w:rPr>
          <w:sz w:val="20"/>
          <w:szCs w:val="20"/>
          <w:lang w:val="fr-FR" w:eastAsia="en-GB"/>
        </w:rPr>
        <w:t>.</w:t>
      </w:r>
      <w:r w:rsidR="0042406B" w:rsidRPr="003F211E">
        <w:rPr>
          <w:sz w:val="20"/>
          <w:szCs w:val="20"/>
          <w:lang w:val="fr-FR" w:eastAsia="en-GB"/>
        </w:rPr>
        <w:t>0032808</w:t>
      </w:r>
      <w:r w:rsidR="00A57AE8" w:rsidRPr="003F211E">
        <w:rPr>
          <w:color w:val="000000"/>
          <w:sz w:val="20"/>
          <w:szCs w:val="20"/>
          <w:lang w:val="fr-FR" w:eastAsia="en-GB"/>
        </w:rPr>
        <w:t>) + 0.022</w:t>
      </w:r>
      <w:r w:rsidR="00181EF6" w:rsidRPr="003F211E">
        <w:rPr>
          <w:color w:val="000000"/>
          <w:sz w:val="20"/>
          <w:szCs w:val="20"/>
          <w:lang w:val="fr-FR" w:eastAsia="en-GB"/>
        </w:rPr>
        <w:t xml:space="preserve"> </w:t>
      </w:r>
      <w:r w:rsidRPr="003F211E">
        <w:rPr>
          <w:color w:val="000000"/>
          <w:sz w:val="20"/>
          <w:szCs w:val="20"/>
          <w:lang w:val="fr-FR" w:eastAsia="en-GB"/>
        </w:rPr>
        <w:t>x (altitude en</w:t>
      </w:r>
      <w:r w:rsidR="00A57AE8" w:rsidRPr="003F211E">
        <w:rPr>
          <w:color w:val="000000"/>
          <w:sz w:val="20"/>
          <w:szCs w:val="20"/>
          <w:lang w:val="fr-FR" w:eastAsia="en-GB"/>
        </w:rPr>
        <w:t xml:space="preserve"> </w:t>
      </w:r>
      <w:r w:rsidRPr="003F211E">
        <w:rPr>
          <w:color w:val="000000"/>
          <w:sz w:val="20"/>
          <w:szCs w:val="20"/>
          <w:lang w:val="fr-FR" w:eastAsia="en-GB"/>
        </w:rPr>
        <w:t>mètres</w:t>
      </w:r>
      <w:r w:rsidR="00A57AE8" w:rsidRPr="003F211E">
        <w:rPr>
          <w:color w:val="000000"/>
          <w:sz w:val="20"/>
          <w:szCs w:val="20"/>
          <w:lang w:val="fr-FR" w:eastAsia="en-GB"/>
        </w:rPr>
        <w:t xml:space="preserve"> x </w:t>
      </w:r>
      <w:r w:rsidR="0042406B" w:rsidRPr="003F211E">
        <w:rPr>
          <w:sz w:val="20"/>
          <w:szCs w:val="20"/>
          <w:lang w:val="fr-FR" w:eastAsia="en-GB"/>
        </w:rPr>
        <w:t>0</w:t>
      </w:r>
      <w:r w:rsidR="000B7698" w:rsidRPr="003F211E">
        <w:rPr>
          <w:sz w:val="20"/>
          <w:szCs w:val="20"/>
          <w:lang w:val="fr-FR" w:eastAsia="en-GB"/>
        </w:rPr>
        <w:t>.</w:t>
      </w:r>
      <w:r w:rsidR="0042406B" w:rsidRPr="003F211E">
        <w:rPr>
          <w:sz w:val="20"/>
          <w:szCs w:val="20"/>
          <w:lang w:val="fr-FR" w:eastAsia="en-GB"/>
        </w:rPr>
        <w:t>0032808</w:t>
      </w:r>
      <w:r w:rsidR="00A57AE8" w:rsidRPr="003F211E">
        <w:rPr>
          <w:color w:val="000000"/>
          <w:sz w:val="20"/>
          <w:szCs w:val="20"/>
          <w:lang w:val="fr-FR" w:eastAsia="en-GB"/>
        </w:rPr>
        <w:t>)</w:t>
      </w:r>
      <w:r w:rsidR="00A57AE8" w:rsidRPr="003F211E">
        <w:rPr>
          <w:color w:val="000000"/>
          <w:sz w:val="20"/>
          <w:szCs w:val="20"/>
          <w:vertAlign w:val="superscript"/>
          <w:lang w:val="fr-FR" w:eastAsia="en-GB"/>
        </w:rPr>
        <w:t>2</w:t>
      </w:r>
    </w:p>
    <w:bookmarkEnd w:id="0"/>
    <w:bookmarkEnd w:id="1"/>
    <w:p w14:paraId="37545346" w14:textId="77777777" w:rsidR="00C77717" w:rsidRPr="003F211E" w:rsidRDefault="00C77717" w:rsidP="001D61A8">
      <w:pPr>
        <w:autoSpaceDE w:val="0"/>
        <w:autoSpaceDN w:val="0"/>
        <w:adjustRightInd w:val="0"/>
        <w:spacing w:after="0" w:line="240" w:lineRule="auto"/>
        <w:jc w:val="both"/>
        <w:rPr>
          <w:color w:val="000000"/>
          <w:sz w:val="24"/>
          <w:szCs w:val="24"/>
          <w:lang w:val="fr-FR" w:eastAsia="en-GB"/>
        </w:rPr>
      </w:pPr>
    </w:p>
    <w:bookmarkEnd w:id="2"/>
    <w:bookmarkEnd w:id="3"/>
    <w:p w14:paraId="390B75A7" w14:textId="77777777" w:rsidR="00015796" w:rsidRPr="003F211E" w:rsidRDefault="005411BB" w:rsidP="00925684">
      <w:pPr>
        <w:autoSpaceDE w:val="0"/>
        <w:autoSpaceDN w:val="0"/>
        <w:adjustRightInd w:val="0"/>
        <w:spacing w:after="0" w:line="240" w:lineRule="auto"/>
        <w:jc w:val="both"/>
        <w:rPr>
          <w:color w:val="000000"/>
          <w:sz w:val="24"/>
          <w:szCs w:val="24"/>
          <w:lang w:val="fr-FR" w:eastAsia="en-GB"/>
        </w:rPr>
      </w:pPr>
      <w:r w:rsidRPr="003F211E">
        <w:rPr>
          <w:color w:val="000000"/>
          <w:sz w:val="24"/>
          <w:szCs w:val="24"/>
          <w:lang w:val="fr-FR" w:eastAsia="en-GB"/>
        </w:rPr>
        <w:t xml:space="preserve">L’ajustement de la concentration en </w:t>
      </w:r>
      <w:r w:rsidR="00015796" w:rsidRPr="003F211E">
        <w:rPr>
          <w:color w:val="000000"/>
          <w:sz w:val="24"/>
          <w:szCs w:val="24"/>
          <w:lang w:val="fr-FR" w:eastAsia="en-GB"/>
        </w:rPr>
        <w:t>hémoglobine</w:t>
      </w:r>
      <w:r w:rsidRPr="003F211E">
        <w:rPr>
          <w:color w:val="000000"/>
          <w:sz w:val="24"/>
          <w:szCs w:val="24"/>
          <w:lang w:val="fr-FR" w:eastAsia="en-GB"/>
        </w:rPr>
        <w:t xml:space="preserve"> peut </w:t>
      </w:r>
      <w:r w:rsidR="00015796" w:rsidRPr="003F211E">
        <w:rPr>
          <w:color w:val="000000"/>
          <w:sz w:val="24"/>
          <w:szCs w:val="24"/>
          <w:lang w:val="fr-FR" w:eastAsia="en-GB"/>
        </w:rPr>
        <w:t>être</w:t>
      </w:r>
      <w:r w:rsidRPr="003F211E">
        <w:rPr>
          <w:color w:val="000000"/>
          <w:sz w:val="24"/>
          <w:szCs w:val="24"/>
          <w:lang w:val="fr-FR" w:eastAsia="en-GB"/>
        </w:rPr>
        <w:t xml:space="preserve"> fait de deux </w:t>
      </w:r>
      <w:r w:rsidR="00015796" w:rsidRPr="003F211E">
        <w:rPr>
          <w:color w:val="000000"/>
          <w:sz w:val="24"/>
          <w:szCs w:val="24"/>
          <w:lang w:val="fr-FR" w:eastAsia="en-GB"/>
        </w:rPr>
        <w:t>différentes manières</w:t>
      </w:r>
      <w:r w:rsidRPr="003F211E">
        <w:rPr>
          <w:color w:val="000000"/>
          <w:sz w:val="24"/>
          <w:szCs w:val="24"/>
          <w:lang w:val="fr-FR" w:eastAsia="en-GB"/>
        </w:rPr>
        <w:t xml:space="preserve">. Cela peut </w:t>
      </w:r>
      <w:r w:rsidR="00015796" w:rsidRPr="003F211E">
        <w:rPr>
          <w:color w:val="000000"/>
          <w:sz w:val="24"/>
          <w:szCs w:val="24"/>
          <w:lang w:val="fr-FR" w:eastAsia="en-GB"/>
        </w:rPr>
        <w:t>être</w:t>
      </w:r>
      <w:r w:rsidRPr="003F211E">
        <w:rPr>
          <w:color w:val="000000"/>
          <w:sz w:val="24"/>
          <w:szCs w:val="24"/>
          <w:lang w:val="fr-FR" w:eastAsia="en-GB"/>
        </w:rPr>
        <w:t xml:space="preserve"> fait en ajoutant un facteur d’ajustement </w:t>
      </w:r>
      <w:r w:rsidR="00015796" w:rsidRPr="003F211E">
        <w:rPr>
          <w:color w:val="000000"/>
          <w:sz w:val="24"/>
          <w:szCs w:val="24"/>
          <w:lang w:val="fr-FR" w:eastAsia="en-GB"/>
        </w:rPr>
        <w:t>à</w:t>
      </w:r>
      <w:r w:rsidRPr="003F211E">
        <w:rPr>
          <w:color w:val="000000"/>
          <w:sz w:val="24"/>
          <w:szCs w:val="24"/>
          <w:lang w:val="fr-FR" w:eastAsia="en-GB"/>
        </w:rPr>
        <w:t xml:space="preserve"> la </w:t>
      </w:r>
      <w:r w:rsidR="00015796" w:rsidRPr="003F211E">
        <w:rPr>
          <w:color w:val="000000"/>
          <w:sz w:val="24"/>
          <w:szCs w:val="24"/>
          <w:lang w:val="fr-FR" w:eastAsia="en-GB"/>
        </w:rPr>
        <w:t>valeur</w:t>
      </w:r>
      <w:r w:rsidRPr="003F211E">
        <w:rPr>
          <w:color w:val="000000"/>
          <w:sz w:val="24"/>
          <w:szCs w:val="24"/>
          <w:lang w:val="fr-FR" w:eastAsia="en-GB"/>
        </w:rPr>
        <w:t xml:space="preserve"> seuil</w:t>
      </w:r>
      <w:r w:rsidR="00015796" w:rsidRPr="003F211E">
        <w:rPr>
          <w:color w:val="000000"/>
          <w:sz w:val="24"/>
          <w:szCs w:val="24"/>
          <w:lang w:val="fr-FR" w:eastAsia="en-GB"/>
        </w:rPr>
        <w:t xml:space="preserve"> elle-même, puis en comparant la valeur seuil ajustée </w:t>
      </w:r>
      <w:r w:rsidR="00015796" w:rsidRPr="003F211E">
        <w:rPr>
          <w:rFonts w:cs="Calibri"/>
          <w:color w:val="000000"/>
          <w:sz w:val="24"/>
          <w:szCs w:val="24"/>
          <w:lang w:val="fr-FR" w:eastAsia="en-GB"/>
        </w:rPr>
        <w:t>à</w:t>
      </w:r>
      <w:r w:rsidR="00015796" w:rsidRPr="003F211E">
        <w:rPr>
          <w:color w:val="000000"/>
          <w:sz w:val="24"/>
          <w:szCs w:val="24"/>
          <w:lang w:val="fr-FR" w:eastAsia="en-GB"/>
        </w:rPr>
        <w:t xml:space="preserve"> la valeur d’hémoglobine individuelle non ajustée des personnes testées (ci-après dénommée méthode 1). Ou alors, le facteur d’ajustement peut être soustrait à la concentration en hémoglobine individuelle, puis la concentration en hémoglobine est comparée aux valeurs seuils normales non ajustées et utilisées couramment (ci-après dénommée méthode 2).</w:t>
      </w:r>
    </w:p>
    <w:p w14:paraId="07AD5D9D" w14:textId="77777777" w:rsidR="00062A7A" w:rsidRPr="003F211E" w:rsidRDefault="00062A7A" w:rsidP="00925684">
      <w:pPr>
        <w:autoSpaceDE w:val="0"/>
        <w:autoSpaceDN w:val="0"/>
        <w:adjustRightInd w:val="0"/>
        <w:spacing w:after="0" w:line="240" w:lineRule="auto"/>
        <w:jc w:val="both"/>
        <w:rPr>
          <w:color w:val="000000"/>
          <w:sz w:val="24"/>
          <w:szCs w:val="24"/>
          <w:lang w:val="fr-FR" w:eastAsia="en-GB"/>
        </w:rPr>
      </w:pPr>
    </w:p>
    <w:p w14:paraId="20ED10A0" w14:textId="77777777" w:rsidR="00015796" w:rsidRPr="003F211E" w:rsidRDefault="007F4C10" w:rsidP="00925684">
      <w:pPr>
        <w:autoSpaceDE w:val="0"/>
        <w:autoSpaceDN w:val="0"/>
        <w:adjustRightInd w:val="0"/>
        <w:spacing w:after="0" w:line="240" w:lineRule="auto"/>
        <w:jc w:val="both"/>
        <w:rPr>
          <w:color w:val="000000"/>
          <w:sz w:val="24"/>
          <w:szCs w:val="24"/>
          <w:lang w:val="fr-FR" w:eastAsia="en-GB"/>
        </w:rPr>
      </w:pPr>
      <w:r w:rsidRPr="003F211E">
        <w:rPr>
          <w:color w:val="000000"/>
          <w:sz w:val="24"/>
          <w:szCs w:val="24"/>
          <w:lang w:val="fr-FR" w:eastAsia="en-GB"/>
        </w:rPr>
        <w:t>Le</w:t>
      </w:r>
      <w:r w:rsidR="00015796" w:rsidRPr="003F211E">
        <w:rPr>
          <w:color w:val="000000"/>
          <w:sz w:val="24"/>
          <w:szCs w:val="24"/>
          <w:lang w:val="fr-FR" w:eastAsia="en-GB"/>
        </w:rPr>
        <w:t xml:space="preserve"> tableau ci-dessous fournit l</w:t>
      </w:r>
      <w:r w:rsidR="00131235" w:rsidRPr="003F211E">
        <w:rPr>
          <w:color w:val="000000"/>
          <w:sz w:val="24"/>
          <w:szCs w:val="24"/>
          <w:lang w:val="fr-FR" w:eastAsia="en-GB"/>
        </w:rPr>
        <w:t>’ajustement pour l</w:t>
      </w:r>
      <w:r w:rsidR="00015796" w:rsidRPr="003F211E">
        <w:rPr>
          <w:color w:val="000000"/>
          <w:sz w:val="24"/>
          <w:szCs w:val="24"/>
          <w:lang w:val="fr-FR" w:eastAsia="en-GB"/>
        </w:rPr>
        <w:t>es valeurs seuils (</w:t>
      </w:r>
      <w:r w:rsidRPr="003F211E">
        <w:rPr>
          <w:color w:val="000000"/>
          <w:sz w:val="24"/>
          <w:szCs w:val="24"/>
          <w:lang w:val="fr-FR" w:eastAsia="en-GB"/>
        </w:rPr>
        <w:t>méthode</w:t>
      </w:r>
      <w:r w:rsidR="00015796" w:rsidRPr="003F211E">
        <w:rPr>
          <w:color w:val="000000"/>
          <w:sz w:val="24"/>
          <w:szCs w:val="24"/>
          <w:lang w:val="fr-FR" w:eastAsia="en-GB"/>
        </w:rPr>
        <w:t xml:space="preserve"> 1)</w:t>
      </w:r>
      <w:r w:rsidRPr="003F211E">
        <w:rPr>
          <w:color w:val="000000"/>
          <w:sz w:val="24"/>
          <w:szCs w:val="24"/>
          <w:lang w:val="fr-FR" w:eastAsia="en-GB"/>
        </w:rPr>
        <w:t>,</w:t>
      </w:r>
      <w:r w:rsidR="00015796" w:rsidRPr="003F211E">
        <w:rPr>
          <w:color w:val="000000"/>
          <w:sz w:val="24"/>
          <w:szCs w:val="24"/>
          <w:lang w:val="fr-FR" w:eastAsia="en-GB"/>
        </w:rPr>
        <w:t xml:space="preserve"> ainsi que l</w:t>
      </w:r>
      <w:r w:rsidR="00131235" w:rsidRPr="003F211E">
        <w:rPr>
          <w:color w:val="000000"/>
          <w:sz w:val="24"/>
          <w:szCs w:val="24"/>
          <w:lang w:val="fr-FR" w:eastAsia="en-GB"/>
        </w:rPr>
        <w:t xml:space="preserve">e facteur d’ajustement </w:t>
      </w:r>
      <w:r w:rsidRPr="003F211E">
        <w:rPr>
          <w:color w:val="000000"/>
          <w:sz w:val="24"/>
          <w:szCs w:val="24"/>
          <w:lang w:val="fr-FR" w:eastAsia="en-GB"/>
        </w:rPr>
        <w:t xml:space="preserve">à appliquer </w:t>
      </w:r>
      <w:r w:rsidR="00131235" w:rsidRPr="003F211E">
        <w:rPr>
          <w:color w:val="000000"/>
          <w:sz w:val="24"/>
          <w:szCs w:val="24"/>
          <w:lang w:val="fr-FR" w:eastAsia="en-GB"/>
        </w:rPr>
        <w:t>pour l</w:t>
      </w:r>
      <w:r w:rsidR="00015796" w:rsidRPr="003F211E">
        <w:rPr>
          <w:color w:val="000000"/>
          <w:sz w:val="24"/>
          <w:szCs w:val="24"/>
          <w:lang w:val="fr-FR" w:eastAsia="en-GB"/>
        </w:rPr>
        <w:t>a c</w:t>
      </w:r>
      <w:r w:rsidR="00131235" w:rsidRPr="003F211E">
        <w:rPr>
          <w:color w:val="000000"/>
          <w:sz w:val="24"/>
          <w:szCs w:val="24"/>
          <w:lang w:val="fr-FR" w:eastAsia="en-GB"/>
        </w:rPr>
        <w:t xml:space="preserve">oncentration en </w:t>
      </w:r>
      <w:r w:rsidRPr="003F211E">
        <w:rPr>
          <w:color w:val="000000"/>
          <w:sz w:val="24"/>
          <w:szCs w:val="24"/>
          <w:lang w:val="fr-FR" w:eastAsia="en-GB"/>
        </w:rPr>
        <w:t>hémoglobine</w:t>
      </w:r>
      <w:r w:rsidR="00131235" w:rsidRPr="003F211E">
        <w:rPr>
          <w:color w:val="000000"/>
          <w:sz w:val="24"/>
          <w:szCs w:val="24"/>
          <w:lang w:val="fr-FR" w:eastAsia="en-GB"/>
        </w:rPr>
        <w:t xml:space="preserve"> </w:t>
      </w:r>
      <w:r w:rsidR="00015796" w:rsidRPr="003F211E">
        <w:rPr>
          <w:color w:val="000000"/>
          <w:sz w:val="24"/>
          <w:szCs w:val="24"/>
          <w:lang w:val="fr-FR" w:eastAsia="en-GB"/>
        </w:rPr>
        <w:t xml:space="preserve">selon </w:t>
      </w:r>
      <w:r w:rsidRPr="003F211E">
        <w:rPr>
          <w:color w:val="000000"/>
          <w:sz w:val="24"/>
          <w:szCs w:val="24"/>
          <w:lang w:val="fr-FR" w:eastAsia="en-GB"/>
        </w:rPr>
        <w:t>différents</w:t>
      </w:r>
      <w:r w:rsidR="00015796" w:rsidRPr="003F211E">
        <w:rPr>
          <w:color w:val="000000"/>
          <w:sz w:val="24"/>
          <w:szCs w:val="24"/>
          <w:lang w:val="fr-FR" w:eastAsia="en-GB"/>
        </w:rPr>
        <w:t xml:space="preserve"> niveaux d’al</w:t>
      </w:r>
      <w:r w:rsidR="00131235" w:rsidRPr="003F211E">
        <w:rPr>
          <w:color w:val="000000"/>
          <w:sz w:val="24"/>
          <w:szCs w:val="24"/>
          <w:lang w:val="fr-FR" w:eastAsia="en-GB"/>
        </w:rPr>
        <w:t>t</w:t>
      </w:r>
      <w:r w:rsidR="00015796" w:rsidRPr="003F211E">
        <w:rPr>
          <w:color w:val="000000"/>
          <w:sz w:val="24"/>
          <w:szCs w:val="24"/>
          <w:lang w:val="fr-FR" w:eastAsia="en-GB"/>
        </w:rPr>
        <w:t>itude (</w:t>
      </w:r>
      <w:r w:rsidRPr="003F211E">
        <w:rPr>
          <w:color w:val="000000"/>
          <w:sz w:val="24"/>
          <w:szCs w:val="24"/>
          <w:lang w:val="fr-FR" w:eastAsia="en-GB"/>
        </w:rPr>
        <w:t>méthode</w:t>
      </w:r>
      <w:r w:rsidR="00015796" w:rsidRPr="003F211E">
        <w:rPr>
          <w:color w:val="000000"/>
          <w:sz w:val="24"/>
          <w:szCs w:val="24"/>
          <w:lang w:val="fr-FR" w:eastAsia="en-GB"/>
        </w:rPr>
        <w:t xml:space="preserve"> 2). </w:t>
      </w:r>
      <w:r w:rsidR="00131235" w:rsidRPr="003F211E">
        <w:rPr>
          <w:color w:val="000000"/>
          <w:sz w:val="24"/>
          <w:szCs w:val="24"/>
          <w:lang w:val="fr-FR" w:eastAsia="en-GB"/>
        </w:rPr>
        <w:t xml:space="preserve">Dans ce tableau les </w:t>
      </w:r>
      <w:r w:rsidRPr="003F211E">
        <w:rPr>
          <w:color w:val="000000"/>
          <w:sz w:val="24"/>
          <w:szCs w:val="24"/>
          <w:lang w:val="fr-FR" w:eastAsia="en-GB"/>
        </w:rPr>
        <w:t>différents</w:t>
      </w:r>
      <w:r w:rsidR="00131235" w:rsidRPr="003F211E">
        <w:rPr>
          <w:color w:val="000000"/>
          <w:sz w:val="24"/>
          <w:szCs w:val="24"/>
          <w:lang w:val="fr-FR" w:eastAsia="en-GB"/>
        </w:rPr>
        <w:t xml:space="preserve"> niveaux d’altitude ont </w:t>
      </w:r>
      <w:r w:rsidRPr="003F211E">
        <w:rPr>
          <w:color w:val="000000"/>
          <w:sz w:val="24"/>
          <w:szCs w:val="24"/>
          <w:lang w:val="fr-FR" w:eastAsia="en-GB"/>
        </w:rPr>
        <w:t>été</w:t>
      </w:r>
      <w:r w:rsidR="00131235" w:rsidRPr="003F211E">
        <w:rPr>
          <w:color w:val="000000"/>
          <w:sz w:val="24"/>
          <w:szCs w:val="24"/>
          <w:lang w:val="fr-FR" w:eastAsia="en-GB"/>
        </w:rPr>
        <w:t xml:space="preserve"> </w:t>
      </w:r>
      <w:r w:rsidRPr="003F211E">
        <w:rPr>
          <w:color w:val="000000"/>
          <w:sz w:val="24"/>
          <w:szCs w:val="24"/>
          <w:lang w:val="fr-FR" w:eastAsia="en-GB"/>
        </w:rPr>
        <w:t>regroupés</w:t>
      </w:r>
      <w:r w:rsidR="00131235" w:rsidRPr="003F211E">
        <w:rPr>
          <w:color w:val="000000"/>
          <w:sz w:val="24"/>
          <w:szCs w:val="24"/>
          <w:lang w:val="fr-FR" w:eastAsia="en-GB"/>
        </w:rPr>
        <w:t xml:space="preserve"> par </w:t>
      </w:r>
      <w:r w:rsidRPr="003F211E">
        <w:rPr>
          <w:color w:val="000000"/>
          <w:sz w:val="24"/>
          <w:szCs w:val="24"/>
          <w:lang w:val="fr-FR" w:eastAsia="en-GB"/>
        </w:rPr>
        <w:t>catégories</w:t>
      </w:r>
      <w:r w:rsidR="00131235" w:rsidRPr="003F211E">
        <w:rPr>
          <w:color w:val="000000"/>
          <w:sz w:val="24"/>
          <w:szCs w:val="24"/>
          <w:lang w:val="fr-FR" w:eastAsia="en-GB"/>
        </w:rPr>
        <w:t xml:space="preserve"> et fournissent</w:t>
      </w:r>
      <w:r w:rsidRPr="003F211E">
        <w:rPr>
          <w:color w:val="000000"/>
          <w:sz w:val="24"/>
          <w:szCs w:val="24"/>
          <w:lang w:val="fr-FR" w:eastAsia="en-GB"/>
        </w:rPr>
        <w:t xml:space="preserve"> donc un facteur d’ajustement estimé </w:t>
      </w:r>
      <w:r w:rsidR="005A14CA" w:rsidRPr="003F211E">
        <w:rPr>
          <w:color w:val="000000"/>
          <w:sz w:val="24"/>
          <w:szCs w:val="24"/>
          <w:lang w:val="fr-FR" w:eastAsia="en-GB"/>
        </w:rPr>
        <w:t>pour l’</w:t>
      </w:r>
      <w:r w:rsidRPr="003F211E">
        <w:rPr>
          <w:color w:val="000000"/>
          <w:sz w:val="24"/>
          <w:szCs w:val="24"/>
          <w:lang w:val="fr-FR" w:eastAsia="en-GB"/>
        </w:rPr>
        <w:t>hémoglobine en fonction des catégories d’altitude.</w:t>
      </w:r>
    </w:p>
    <w:p w14:paraId="1DAA0277" w14:textId="77777777" w:rsidR="001F74E0" w:rsidRDefault="001F74E0" w:rsidP="001D61A8">
      <w:pPr>
        <w:autoSpaceDE w:val="0"/>
        <w:autoSpaceDN w:val="0"/>
        <w:adjustRightInd w:val="0"/>
        <w:spacing w:after="0" w:line="240" w:lineRule="auto"/>
        <w:jc w:val="both"/>
        <w:rPr>
          <w:b/>
          <w:sz w:val="24"/>
          <w:szCs w:val="24"/>
          <w:lang w:val="fr-FR" w:eastAsia="en-GB"/>
        </w:rPr>
      </w:pPr>
      <w:r>
        <w:rPr>
          <w:b/>
          <w:sz w:val="24"/>
          <w:szCs w:val="24"/>
          <w:lang w:val="fr-FR" w:eastAsia="en-GB"/>
        </w:rPr>
        <w:br w:type="page"/>
      </w:r>
    </w:p>
    <w:p w14:paraId="6FB078A4" w14:textId="13680317" w:rsidR="000663DA" w:rsidRDefault="000663DA" w:rsidP="001D61A8">
      <w:pPr>
        <w:autoSpaceDE w:val="0"/>
        <w:autoSpaceDN w:val="0"/>
        <w:adjustRightInd w:val="0"/>
        <w:spacing w:after="0" w:line="240" w:lineRule="auto"/>
        <w:jc w:val="both"/>
        <w:rPr>
          <w:b/>
          <w:sz w:val="24"/>
          <w:szCs w:val="24"/>
          <w:lang w:val="fr-FR" w:eastAsia="en-GB"/>
        </w:rPr>
      </w:pPr>
      <w:r w:rsidRPr="003F211E">
        <w:rPr>
          <w:b/>
          <w:sz w:val="24"/>
          <w:szCs w:val="24"/>
          <w:lang w:val="fr-FR" w:eastAsia="en-GB"/>
        </w:rPr>
        <w:lastRenderedPageBreak/>
        <w:t>Table</w:t>
      </w:r>
      <w:r w:rsidR="001E7DEE" w:rsidRPr="003F211E">
        <w:rPr>
          <w:b/>
          <w:sz w:val="24"/>
          <w:szCs w:val="24"/>
          <w:lang w:val="fr-FR" w:eastAsia="en-GB"/>
        </w:rPr>
        <w:t>au 1 A</w:t>
      </w:r>
      <w:r w:rsidRPr="003F211E">
        <w:rPr>
          <w:b/>
          <w:sz w:val="24"/>
          <w:szCs w:val="24"/>
          <w:lang w:val="fr-FR" w:eastAsia="en-GB"/>
        </w:rPr>
        <w:t>just</w:t>
      </w:r>
      <w:r w:rsidR="001E7DEE" w:rsidRPr="003F211E">
        <w:rPr>
          <w:b/>
          <w:sz w:val="24"/>
          <w:szCs w:val="24"/>
          <w:lang w:val="fr-FR" w:eastAsia="en-GB"/>
        </w:rPr>
        <w:t>e</w:t>
      </w:r>
      <w:r w:rsidRPr="003F211E">
        <w:rPr>
          <w:b/>
          <w:sz w:val="24"/>
          <w:szCs w:val="24"/>
          <w:lang w:val="fr-FR" w:eastAsia="en-GB"/>
        </w:rPr>
        <w:t xml:space="preserve">ments </w:t>
      </w:r>
      <w:r w:rsidR="001E7DEE" w:rsidRPr="003F211E">
        <w:rPr>
          <w:b/>
          <w:sz w:val="24"/>
          <w:szCs w:val="24"/>
          <w:lang w:val="fr-FR" w:eastAsia="en-GB"/>
        </w:rPr>
        <w:t>des valeurs seuils de l’hémoglobine et</w:t>
      </w:r>
      <w:r w:rsidRPr="003F211E">
        <w:rPr>
          <w:b/>
          <w:sz w:val="24"/>
          <w:szCs w:val="24"/>
          <w:lang w:val="fr-FR" w:eastAsia="en-GB"/>
        </w:rPr>
        <w:t xml:space="preserve"> </w:t>
      </w:r>
      <w:r w:rsidR="001E7DEE" w:rsidRPr="003F211E">
        <w:rPr>
          <w:b/>
          <w:sz w:val="24"/>
          <w:szCs w:val="24"/>
          <w:lang w:val="fr-FR" w:eastAsia="en-GB"/>
        </w:rPr>
        <w:t>facteur d’ajustement individuel de l’hémoglobine selon l’altitude</w:t>
      </w:r>
      <w:r w:rsidRPr="003F211E">
        <w:rPr>
          <w:rStyle w:val="Appelnotedebasdep"/>
          <w:b/>
          <w:sz w:val="24"/>
          <w:szCs w:val="24"/>
          <w:lang w:val="fr-FR" w:eastAsia="en-GB"/>
        </w:rPr>
        <w:footnoteReference w:id="3"/>
      </w:r>
    </w:p>
    <w:p w14:paraId="184B4587" w14:textId="77777777" w:rsidR="001F74E0" w:rsidRPr="003F211E" w:rsidRDefault="001F74E0" w:rsidP="001D61A8">
      <w:pPr>
        <w:autoSpaceDE w:val="0"/>
        <w:autoSpaceDN w:val="0"/>
        <w:adjustRightInd w:val="0"/>
        <w:spacing w:after="0" w:line="240" w:lineRule="auto"/>
        <w:jc w:val="both"/>
        <w:rPr>
          <w:b/>
          <w:color w:val="000000"/>
          <w:sz w:val="24"/>
          <w:szCs w:val="24"/>
          <w:lang w:val="fr-FR"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3664"/>
        <w:gridCol w:w="3666"/>
      </w:tblGrid>
      <w:tr w:rsidR="00182EB6" w:rsidRPr="003F211E" w14:paraId="1A3AED7B" w14:textId="77777777" w:rsidTr="003F211E">
        <w:trPr>
          <w:trHeight w:val="368"/>
        </w:trPr>
        <w:tc>
          <w:tcPr>
            <w:tcW w:w="1495" w:type="pct"/>
            <w:shd w:val="clear" w:color="auto" w:fill="auto"/>
          </w:tcPr>
          <w:p w14:paraId="60111B38" w14:textId="77777777" w:rsidR="00182EB6" w:rsidRPr="003F211E" w:rsidRDefault="00182EB6" w:rsidP="00B34F95">
            <w:pPr>
              <w:jc w:val="center"/>
              <w:rPr>
                <w:b/>
                <w:sz w:val="24"/>
                <w:szCs w:val="24"/>
                <w:lang w:val="fr-FR"/>
              </w:rPr>
            </w:pPr>
          </w:p>
        </w:tc>
        <w:tc>
          <w:tcPr>
            <w:tcW w:w="1752" w:type="pct"/>
            <w:shd w:val="clear" w:color="auto" w:fill="auto"/>
          </w:tcPr>
          <w:p w14:paraId="0B4E2610" w14:textId="77777777" w:rsidR="00182EB6" w:rsidRPr="003F211E" w:rsidRDefault="00B34F95" w:rsidP="00B34F95">
            <w:pPr>
              <w:autoSpaceDE w:val="0"/>
              <w:autoSpaceDN w:val="0"/>
              <w:adjustRightInd w:val="0"/>
              <w:spacing w:after="0" w:line="240" w:lineRule="auto"/>
              <w:jc w:val="center"/>
              <w:rPr>
                <w:b/>
                <w:sz w:val="24"/>
                <w:szCs w:val="24"/>
                <w:lang w:val="fr-FR" w:eastAsia="en-GB"/>
              </w:rPr>
            </w:pPr>
            <w:r w:rsidRPr="003F211E">
              <w:rPr>
                <w:b/>
                <w:sz w:val="24"/>
                <w:szCs w:val="24"/>
                <w:lang w:val="fr-FR" w:eastAsia="en-GB"/>
              </w:rPr>
              <w:t>Méthode</w:t>
            </w:r>
            <w:r w:rsidR="00182EB6" w:rsidRPr="003F211E">
              <w:rPr>
                <w:b/>
                <w:sz w:val="24"/>
                <w:szCs w:val="24"/>
                <w:lang w:val="fr-FR" w:eastAsia="en-GB"/>
              </w:rPr>
              <w:t xml:space="preserve"> 1</w:t>
            </w:r>
          </w:p>
        </w:tc>
        <w:tc>
          <w:tcPr>
            <w:tcW w:w="1753" w:type="pct"/>
            <w:shd w:val="clear" w:color="auto" w:fill="auto"/>
          </w:tcPr>
          <w:p w14:paraId="5016EACF" w14:textId="77777777" w:rsidR="00182EB6" w:rsidRPr="003F211E" w:rsidRDefault="00B34F95" w:rsidP="00B34F95">
            <w:pPr>
              <w:autoSpaceDE w:val="0"/>
              <w:autoSpaceDN w:val="0"/>
              <w:adjustRightInd w:val="0"/>
              <w:spacing w:after="0" w:line="240" w:lineRule="auto"/>
              <w:jc w:val="center"/>
              <w:rPr>
                <w:b/>
                <w:sz w:val="24"/>
                <w:szCs w:val="24"/>
                <w:lang w:val="fr-FR" w:eastAsia="en-GB"/>
              </w:rPr>
            </w:pPr>
            <w:r w:rsidRPr="003F211E">
              <w:rPr>
                <w:b/>
                <w:sz w:val="24"/>
                <w:szCs w:val="24"/>
                <w:lang w:val="fr-FR" w:eastAsia="en-GB"/>
              </w:rPr>
              <w:t>Méthode</w:t>
            </w:r>
            <w:r w:rsidR="00182EB6" w:rsidRPr="003F211E">
              <w:rPr>
                <w:b/>
                <w:sz w:val="24"/>
                <w:szCs w:val="24"/>
                <w:lang w:val="fr-FR" w:eastAsia="en-GB"/>
              </w:rPr>
              <w:t xml:space="preserve"> 2</w:t>
            </w:r>
          </w:p>
        </w:tc>
      </w:tr>
      <w:tr w:rsidR="000658FF" w:rsidRPr="00456861" w14:paraId="543D1431" w14:textId="77777777" w:rsidTr="003F211E">
        <w:trPr>
          <w:trHeight w:val="783"/>
        </w:trPr>
        <w:tc>
          <w:tcPr>
            <w:tcW w:w="1495" w:type="pct"/>
            <w:shd w:val="clear" w:color="auto" w:fill="auto"/>
            <w:vAlign w:val="center"/>
          </w:tcPr>
          <w:p w14:paraId="61B538D6" w14:textId="77777777" w:rsidR="000658FF" w:rsidRPr="003F211E" w:rsidRDefault="000658FF" w:rsidP="00B34F95">
            <w:pPr>
              <w:rPr>
                <w:b/>
                <w:sz w:val="24"/>
                <w:szCs w:val="24"/>
                <w:lang w:val="fr-FR"/>
              </w:rPr>
            </w:pPr>
            <w:r w:rsidRPr="003F211E">
              <w:rPr>
                <w:b/>
                <w:sz w:val="24"/>
                <w:szCs w:val="24"/>
                <w:lang w:val="fr-FR"/>
              </w:rPr>
              <w:t xml:space="preserve">Altitude </w:t>
            </w:r>
            <w:r w:rsidR="00344F43" w:rsidRPr="003F211E">
              <w:rPr>
                <w:b/>
                <w:sz w:val="24"/>
                <w:szCs w:val="24"/>
                <w:lang w:val="fr-FR"/>
              </w:rPr>
              <w:t>(m)</w:t>
            </w:r>
          </w:p>
        </w:tc>
        <w:tc>
          <w:tcPr>
            <w:tcW w:w="1752" w:type="pct"/>
            <w:shd w:val="clear" w:color="auto" w:fill="auto"/>
          </w:tcPr>
          <w:p w14:paraId="00524994" w14:textId="77777777" w:rsidR="000658FF" w:rsidRPr="003F211E" w:rsidRDefault="00B34F95" w:rsidP="00B34F95">
            <w:pPr>
              <w:autoSpaceDE w:val="0"/>
              <w:autoSpaceDN w:val="0"/>
              <w:adjustRightInd w:val="0"/>
              <w:spacing w:after="0" w:line="240" w:lineRule="auto"/>
              <w:jc w:val="center"/>
              <w:rPr>
                <w:b/>
                <w:sz w:val="24"/>
                <w:szCs w:val="24"/>
                <w:lang w:val="fr-FR" w:eastAsia="en-GB"/>
              </w:rPr>
            </w:pPr>
            <w:r w:rsidRPr="003F211E">
              <w:rPr>
                <w:b/>
                <w:sz w:val="24"/>
                <w:szCs w:val="24"/>
                <w:lang w:val="fr-FR" w:eastAsia="en-GB"/>
              </w:rPr>
              <w:t>Ajustement des valeurs seuils de l’hémoglobine</w:t>
            </w:r>
          </w:p>
          <w:p w14:paraId="6FDD7274" w14:textId="77777777" w:rsidR="000658FF" w:rsidRPr="003F211E" w:rsidRDefault="00B34F95" w:rsidP="00B34F95">
            <w:pPr>
              <w:autoSpaceDE w:val="0"/>
              <w:autoSpaceDN w:val="0"/>
              <w:adjustRightInd w:val="0"/>
              <w:spacing w:after="0" w:line="240" w:lineRule="auto"/>
              <w:jc w:val="center"/>
              <w:rPr>
                <w:b/>
                <w:sz w:val="24"/>
                <w:szCs w:val="24"/>
                <w:lang w:val="fr-FR"/>
              </w:rPr>
            </w:pPr>
            <w:r w:rsidRPr="003F211E">
              <w:rPr>
                <w:b/>
                <w:sz w:val="24"/>
                <w:szCs w:val="24"/>
                <w:lang w:val="fr-FR" w:eastAsia="en-GB"/>
              </w:rPr>
              <w:t>(</w:t>
            </w:r>
            <w:proofErr w:type="spellStart"/>
            <w:r w:rsidRPr="003F211E">
              <w:rPr>
                <w:b/>
                <w:sz w:val="24"/>
                <w:szCs w:val="24"/>
                <w:lang w:val="fr-FR" w:eastAsia="en-GB"/>
              </w:rPr>
              <w:t>g</w:t>
            </w:r>
            <w:r w:rsidR="000658FF" w:rsidRPr="003F211E">
              <w:rPr>
                <w:rFonts w:eastAsia="AdvPSSym"/>
                <w:b/>
                <w:sz w:val="24"/>
                <w:szCs w:val="24"/>
                <w:lang w:val="fr-FR" w:eastAsia="en-GB"/>
              </w:rPr>
              <w:t>⁄</w:t>
            </w:r>
            <w:r w:rsidR="000658FF" w:rsidRPr="003F211E">
              <w:rPr>
                <w:b/>
                <w:sz w:val="24"/>
                <w:szCs w:val="24"/>
                <w:lang w:val="fr-FR" w:eastAsia="en-GB"/>
              </w:rPr>
              <w:t>d</w:t>
            </w:r>
            <w:r w:rsidRPr="003F211E">
              <w:rPr>
                <w:b/>
                <w:sz w:val="24"/>
                <w:szCs w:val="24"/>
                <w:lang w:val="fr-FR" w:eastAsia="en-GB"/>
              </w:rPr>
              <w:t>L</w:t>
            </w:r>
            <w:proofErr w:type="spellEnd"/>
            <w:r w:rsidR="000658FF" w:rsidRPr="003F211E">
              <w:rPr>
                <w:b/>
                <w:sz w:val="24"/>
                <w:szCs w:val="24"/>
                <w:lang w:val="fr-FR" w:eastAsia="en-GB"/>
              </w:rPr>
              <w:t>)</w:t>
            </w:r>
          </w:p>
        </w:tc>
        <w:tc>
          <w:tcPr>
            <w:tcW w:w="1753" w:type="pct"/>
            <w:shd w:val="clear" w:color="auto" w:fill="auto"/>
          </w:tcPr>
          <w:p w14:paraId="1D7CB51E" w14:textId="77777777" w:rsidR="000658FF" w:rsidRPr="003F211E" w:rsidRDefault="00B34F95" w:rsidP="00B34F95">
            <w:pPr>
              <w:autoSpaceDE w:val="0"/>
              <w:autoSpaceDN w:val="0"/>
              <w:adjustRightInd w:val="0"/>
              <w:spacing w:after="0" w:line="240" w:lineRule="auto"/>
              <w:jc w:val="center"/>
              <w:rPr>
                <w:b/>
                <w:sz w:val="24"/>
                <w:szCs w:val="24"/>
                <w:lang w:val="fr-FR"/>
              </w:rPr>
            </w:pPr>
            <w:r w:rsidRPr="003F211E">
              <w:rPr>
                <w:b/>
                <w:sz w:val="24"/>
                <w:szCs w:val="24"/>
                <w:lang w:val="fr-FR" w:eastAsia="en-GB"/>
              </w:rPr>
              <w:t>Ajustement</w:t>
            </w:r>
            <w:r w:rsidR="000658FF" w:rsidRPr="003F211E">
              <w:rPr>
                <w:b/>
                <w:sz w:val="24"/>
                <w:szCs w:val="24"/>
                <w:lang w:val="fr-FR" w:eastAsia="en-GB"/>
              </w:rPr>
              <w:t xml:space="preserve"> </w:t>
            </w:r>
            <w:r w:rsidRPr="003F211E">
              <w:rPr>
                <w:b/>
                <w:sz w:val="24"/>
                <w:szCs w:val="24"/>
                <w:lang w:val="fr-FR" w:eastAsia="en-GB"/>
              </w:rPr>
              <w:t>des valeurs i</w:t>
            </w:r>
            <w:r w:rsidR="000658FF" w:rsidRPr="003F211E">
              <w:rPr>
                <w:b/>
                <w:sz w:val="24"/>
                <w:szCs w:val="24"/>
                <w:lang w:val="fr-FR" w:eastAsia="en-GB"/>
              </w:rPr>
              <w:t>ndividu</w:t>
            </w:r>
            <w:r w:rsidRPr="003F211E">
              <w:rPr>
                <w:b/>
                <w:sz w:val="24"/>
                <w:szCs w:val="24"/>
                <w:lang w:val="fr-FR" w:eastAsia="en-GB"/>
              </w:rPr>
              <w:t>e</w:t>
            </w:r>
            <w:r w:rsidR="000658FF" w:rsidRPr="003F211E">
              <w:rPr>
                <w:b/>
                <w:sz w:val="24"/>
                <w:szCs w:val="24"/>
                <w:lang w:val="fr-FR" w:eastAsia="en-GB"/>
              </w:rPr>
              <w:t>l</w:t>
            </w:r>
            <w:r w:rsidRPr="003F211E">
              <w:rPr>
                <w:b/>
                <w:sz w:val="24"/>
                <w:szCs w:val="24"/>
                <w:lang w:val="fr-FR" w:eastAsia="en-GB"/>
              </w:rPr>
              <w:t xml:space="preserve">les d’hémoglobine </w:t>
            </w:r>
            <w:r w:rsidR="000658FF" w:rsidRPr="003F211E">
              <w:rPr>
                <w:b/>
                <w:sz w:val="24"/>
                <w:szCs w:val="24"/>
                <w:lang w:val="fr-FR" w:eastAsia="en-GB"/>
              </w:rPr>
              <w:t>(</w:t>
            </w:r>
            <w:proofErr w:type="spellStart"/>
            <w:r w:rsidR="000658FF" w:rsidRPr="003F211E">
              <w:rPr>
                <w:b/>
                <w:sz w:val="24"/>
                <w:szCs w:val="24"/>
                <w:lang w:val="fr-FR" w:eastAsia="en-GB"/>
              </w:rPr>
              <w:t>g</w:t>
            </w:r>
            <w:r w:rsidR="000658FF" w:rsidRPr="003F211E">
              <w:rPr>
                <w:rFonts w:eastAsia="AdvPSSym"/>
                <w:b/>
                <w:sz w:val="24"/>
                <w:szCs w:val="24"/>
                <w:lang w:val="fr-FR" w:eastAsia="en-GB"/>
              </w:rPr>
              <w:t>⁄</w:t>
            </w:r>
            <w:r w:rsidR="000658FF" w:rsidRPr="003F211E">
              <w:rPr>
                <w:b/>
                <w:sz w:val="24"/>
                <w:szCs w:val="24"/>
                <w:lang w:val="fr-FR" w:eastAsia="en-GB"/>
              </w:rPr>
              <w:t>d</w:t>
            </w:r>
            <w:r w:rsidRPr="003F211E">
              <w:rPr>
                <w:b/>
                <w:sz w:val="24"/>
                <w:szCs w:val="24"/>
                <w:lang w:val="fr-FR" w:eastAsia="en-GB"/>
              </w:rPr>
              <w:t>L</w:t>
            </w:r>
            <w:proofErr w:type="spellEnd"/>
            <w:r w:rsidR="000658FF" w:rsidRPr="003F211E">
              <w:rPr>
                <w:b/>
                <w:sz w:val="24"/>
                <w:szCs w:val="24"/>
                <w:lang w:val="fr-FR" w:eastAsia="en-GB"/>
              </w:rPr>
              <w:t>)</w:t>
            </w:r>
          </w:p>
        </w:tc>
      </w:tr>
      <w:tr w:rsidR="000658FF" w:rsidRPr="003F211E" w14:paraId="5F331BB1" w14:textId="77777777" w:rsidTr="003F211E">
        <w:trPr>
          <w:trHeight w:val="20"/>
        </w:trPr>
        <w:tc>
          <w:tcPr>
            <w:tcW w:w="1495" w:type="pct"/>
            <w:shd w:val="clear" w:color="auto" w:fill="auto"/>
            <w:vAlign w:val="center"/>
          </w:tcPr>
          <w:p w14:paraId="463C82E7" w14:textId="77777777" w:rsidR="000658FF" w:rsidRPr="003F211E" w:rsidRDefault="000658FF" w:rsidP="00B34F95">
            <w:pPr>
              <w:rPr>
                <w:sz w:val="24"/>
                <w:szCs w:val="24"/>
                <w:lang w:val="fr-FR"/>
              </w:rPr>
            </w:pPr>
            <w:r w:rsidRPr="003F211E">
              <w:rPr>
                <w:sz w:val="24"/>
                <w:szCs w:val="24"/>
                <w:lang w:val="fr-FR"/>
              </w:rPr>
              <w:t>&lt;1000</w:t>
            </w:r>
          </w:p>
        </w:tc>
        <w:tc>
          <w:tcPr>
            <w:tcW w:w="1752" w:type="pct"/>
            <w:shd w:val="clear" w:color="auto" w:fill="auto"/>
            <w:vAlign w:val="center"/>
          </w:tcPr>
          <w:p w14:paraId="1A76AF5D" w14:textId="77777777" w:rsidR="000658FF" w:rsidRPr="003F211E" w:rsidRDefault="00B34F95" w:rsidP="00B34F95">
            <w:pPr>
              <w:jc w:val="center"/>
              <w:rPr>
                <w:sz w:val="24"/>
                <w:szCs w:val="24"/>
                <w:lang w:val="fr-FR"/>
              </w:rPr>
            </w:pPr>
            <w:r w:rsidRPr="003F211E">
              <w:rPr>
                <w:sz w:val="24"/>
                <w:szCs w:val="24"/>
                <w:lang w:val="fr-FR"/>
              </w:rPr>
              <w:t>Pas d’ajustement</w:t>
            </w:r>
          </w:p>
        </w:tc>
        <w:tc>
          <w:tcPr>
            <w:tcW w:w="1753" w:type="pct"/>
            <w:shd w:val="clear" w:color="auto" w:fill="auto"/>
            <w:vAlign w:val="center"/>
          </w:tcPr>
          <w:p w14:paraId="56323549" w14:textId="77777777" w:rsidR="000658FF" w:rsidRPr="003F211E" w:rsidRDefault="00B34F95" w:rsidP="00B34F95">
            <w:pPr>
              <w:jc w:val="center"/>
              <w:rPr>
                <w:sz w:val="24"/>
                <w:szCs w:val="24"/>
                <w:lang w:val="fr-FR"/>
              </w:rPr>
            </w:pPr>
            <w:r w:rsidRPr="003F211E">
              <w:rPr>
                <w:sz w:val="24"/>
                <w:szCs w:val="24"/>
                <w:lang w:val="fr-FR"/>
              </w:rPr>
              <w:t>Pas d’ajustement</w:t>
            </w:r>
          </w:p>
        </w:tc>
      </w:tr>
      <w:tr w:rsidR="000658FF" w:rsidRPr="003F211E" w14:paraId="4109FF66" w14:textId="77777777" w:rsidTr="003F211E">
        <w:trPr>
          <w:trHeight w:val="20"/>
        </w:trPr>
        <w:tc>
          <w:tcPr>
            <w:tcW w:w="1495" w:type="pct"/>
            <w:shd w:val="clear" w:color="auto" w:fill="auto"/>
            <w:vAlign w:val="center"/>
          </w:tcPr>
          <w:p w14:paraId="46BA3DE7" w14:textId="77777777" w:rsidR="000658FF" w:rsidRPr="003F211E" w:rsidRDefault="000658FF" w:rsidP="00B34F95">
            <w:pPr>
              <w:rPr>
                <w:sz w:val="24"/>
                <w:szCs w:val="24"/>
                <w:lang w:val="fr-FR"/>
              </w:rPr>
            </w:pPr>
            <w:r w:rsidRPr="003F211E">
              <w:rPr>
                <w:sz w:val="24"/>
                <w:szCs w:val="24"/>
                <w:lang w:val="fr-FR" w:eastAsia="en-GB"/>
              </w:rPr>
              <w:t>≥1000, &lt;1250</w:t>
            </w:r>
          </w:p>
        </w:tc>
        <w:tc>
          <w:tcPr>
            <w:tcW w:w="1752" w:type="pct"/>
            <w:shd w:val="clear" w:color="auto" w:fill="auto"/>
            <w:vAlign w:val="center"/>
          </w:tcPr>
          <w:p w14:paraId="71E59045" w14:textId="77777777" w:rsidR="000658FF" w:rsidRPr="003F211E" w:rsidRDefault="000658FF" w:rsidP="00B34F95">
            <w:pPr>
              <w:jc w:val="center"/>
              <w:rPr>
                <w:sz w:val="24"/>
                <w:szCs w:val="24"/>
                <w:lang w:val="fr-FR"/>
              </w:rPr>
            </w:pPr>
            <w:r w:rsidRPr="003F211E">
              <w:rPr>
                <w:sz w:val="24"/>
                <w:szCs w:val="24"/>
                <w:lang w:val="fr-FR"/>
              </w:rPr>
              <w:t>+0.2</w:t>
            </w:r>
          </w:p>
        </w:tc>
        <w:tc>
          <w:tcPr>
            <w:tcW w:w="1753" w:type="pct"/>
            <w:shd w:val="clear" w:color="auto" w:fill="auto"/>
            <w:vAlign w:val="center"/>
          </w:tcPr>
          <w:p w14:paraId="0EDCA09A" w14:textId="77777777" w:rsidR="000658FF" w:rsidRPr="003F211E" w:rsidRDefault="000658FF" w:rsidP="00B34F95">
            <w:pPr>
              <w:jc w:val="center"/>
              <w:rPr>
                <w:sz w:val="24"/>
                <w:szCs w:val="24"/>
                <w:lang w:val="fr-FR"/>
              </w:rPr>
            </w:pPr>
            <w:r w:rsidRPr="003F211E">
              <w:rPr>
                <w:sz w:val="24"/>
                <w:szCs w:val="24"/>
                <w:lang w:val="fr-FR"/>
              </w:rPr>
              <w:t>-0.2</w:t>
            </w:r>
          </w:p>
        </w:tc>
      </w:tr>
      <w:tr w:rsidR="000658FF" w:rsidRPr="003F211E" w14:paraId="4213E7F3" w14:textId="77777777" w:rsidTr="003F211E">
        <w:trPr>
          <w:trHeight w:val="20"/>
        </w:trPr>
        <w:tc>
          <w:tcPr>
            <w:tcW w:w="1495" w:type="pct"/>
            <w:shd w:val="clear" w:color="auto" w:fill="auto"/>
            <w:vAlign w:val="center"/>
          </w:tcPr>
          <w:p w14:paraId="3797C286" w14:textId="77777777" w:rsidR="000658FF" w:rsidRPr="003F211E" w:rsidRDefault="000658FF" w:rsidP="00B34F95">
            <w:pPr>
              <w:rPr>
                <w:sz w:val="24"/>
                <w:szCs w:val="24"/>
                <w:lang w:val="fr-FR"/>
              </w:rPr>
            </w:pPr>
            <w:r w:rsidRPr="003F211E">
              <w:rPr>
                <w:sz w:val="24"/>
                <w:szCs w:val="24"/>
                <w:u w:val="single"/>
                <w:lang w:val="fr-FR"/>
              </w:rPr>
              <w:t>≥</w:t>
            </w:r>
            <w:r w:rsidRPr="003F211E">
              <w:rPr>
                <w:rFonts w:eastAsia="AdvPSSym"/>
                <w:sz w:val="24"/>
                <w:szCs w:val="24"/>
                <w:lang w:val="fr-FR" w:eastAsia="en-GB"/>
              </w:rPr>
              <w:t>1250,</w:t>
            </w:r>
            <w:r w:rsidR="00B34F95" w:rsidRPr="003F211E">
              <w:rPr>
                <w:rFonts w:eastAsia="AdvPSSym"/>
                <w:sz w:val="24"/>
                <w:szCs w:val="24"/>
                <w:lang w:val="fr-FR" w:eastAsia="en-GB"/>
              </w:rPr>
              <w:t xml:space="preserve"> </w:t>
            </w:r>
            <w:r w:rsidRPr="003F211E">
              <w:rPr>
                <w:rFonts w:eastAsia="AdvPSSym"/>
                <w:sz w:val="24"/>
                <w:szCs w:val="24"/>
                <w:lang w:val="fr-FR" w:eastAsia="en-GB"/>
              </w:rPr>
              <w:t>&lt;1750</w:t>
            </w:r>
          </w:p>
        </w:tc>
        <w:tc>
          <w:tcPr>
            <w:tcW w:w="1752" w:type="pct"/>
            <w:shd w:val="clear" w:color="auto" w:fill="auto"/>
            <w:vAlign w:val="center"/>
          </w:tcPr>
          <w:p w14:paraId="540E59AF" w14:textId="77777777" w:rsidR="000658FF" w:rsidRPr="003F211E" w:rsidRDefault="000658FF" w:rsidP="00B34F95">
            <w:pPr>
              <w:jc w:val="center"/>
              <w:rPr>
                <w:sz w:val="24"/>
                <w:szCs w:val="24"/>
                <w:lang w:val="fr-FR"/>
              </w:rPr>
            </w:pPr>
            <w:r w:rsidRPr="003F211E">
              <w:rPr>
                <w:sz w:val="24"/>
                <w:szCs w:val="24"/>
                <w:lang w:val="fr-FR"/>
              </w:rPr>
              <w:t>+0.5</w:t>
            </w:r>
          </w:p>
        </w:tc>
        <w:tc>
          <w:tcPr>
            <w:tcW w:w="1753" w:type="pct"/>
            <w:shd w:val="clear" w:color="auto" w:fill="auto"/>
            <w:vAlign w:val="center"/>
          </w:tcPr>
          <w:p w14:paraId="45936198" w14:textId="77777777" w:rsidR="000658FF" w:rsidRPr="003F211E" w:rsidRDefault="000658FF" w:rsidP="00B34F95">
            <w:pPr>
              <w:jc w:val="center"/>
              <w:rPr>
                <w:sz w:val="24"/>
                <w:szCs w:val="24"/>
                <w:lang w:val="fr-FR"/>
              </w:rPr>
            </w:pPr>
            <w:r w:rsidRPr="003F211E">
              <w:rPr>
                <w:sz w:val="24"/>
                <w:szCs w:val="24"/>
                <w:lang w:val="fr-FR"/>
              </w:rPr>
              <w:t>-0.5</w:t>
            </w:r>
          </w:p>
        </w:tc>
      </w:tr>
      <w:tr w:rsidR="000658FF" w:rsidRPr="003F211E" w14:paraId="2D33AEA7" w14:textId="77777777" w:rsidTr="003F211E">
        <w:trPr>
          <w:trHeight w:val="20"/>
        </w:trPr>
        <w:tc>
          <w:tcPr>
            <w:tcW w:w="1495" w:type="pct"/>
            <w:shd w:val="clear" w:color="auto" w:fill="auto"/>
            <w:vAlign w:val="center"/>
          </w:tcPr>
          <w:p w14:paraId="10B6260E" w14:textId="77777777" w:rsidR="000658FF" w:rsidRPr="003F211E" w:rsidRDefault="000658FF" w:rsidP="00B34F95">
            <w:pPr>
              <w:rPr>
                <w:sz w:val="24"/>
                <w:szCs w:val="24"/>
                <w:lang w:val="fr-FR"/>
              </w:rPr>
            </w:pPr>
            <w:r w:rsidRPr="003F211E">
              <w:rPr>
                <w:sz w:val="24"/>
                <w:szCs w:val="24"/>
                <w:lang w:val="fr-FR"/>
              </w:rPr>
              <w:t>≥1750, &lt;2250</w:t>
            </w:r>
          </w:p>
        </w:tc>
        <w:tc>
          <w:tcPr>
            <w:tcW w:w="1752" w:type="pct"/>
            <w:shd w:val="clear" w:color="auto" w:fill="auto"/>
            <w:vAlign w:val="center"/>
          </w:tcPr>
          <w:p w14:paraId="36DE9338" w14:textId="77777777" w:rsidR="000658FF" w:rsidRPr="003F211E" w:rsidRDefault="000658FF" w:rsidP="00B34F95">
            <w:pPr>
              <w:jc w:val="center"/>
              <w:rPr>
                <w:sz w:val="24"/>
                <w:szCs w:val="24"/>
                <w:lang w:val="fr-FR"/>
              </w:rPr>
            </w:pPr>
            <w:r w:rsidRPr="003F211E">
              <w:rPr>
                <w:sz w:val="24"/>
                <w:szCs w:val="24"/>
                <w:lang w:val="fr-FR"/>
              </w:rPr>
              <w:t>+0.8</w:t>
            </w:r>
          </w:p>
        </w:tc>
        <w:tc>
          <w:tcPr>
            <w:tcW w:w="1753" w:type="pct"/>
            <w:shd w:val="clear" w:color="auto" w:fill="auto"/>
            <w:vAlign w:val="center"/>
          </w:tcPr>
          <w:p w14:paraId="13C2A4A9" w14:textId="77777777" w:rsidR="000658FF" w:rsidRPr="003F211E" w:rsidRDefault="000658FF" w:rsidP="00B34F95">
            <w:pPr>
              <w:jc w:val="center"/>
              <w:rPr>
                <w:sz w:val="24"/>
                <w:szCs w:val="24"/>
                <w:lang w:val="fr-FR"/>
              </w:rPr>
            </w:pPr>
            <w:r w:rsidRPr="003F211E">
              <w:rPr>
                <w:sz w:val="24"/>
                <w:szCs w:val="24"/>
                <w:lang w:val="fr-FR"/>
              </w:rPr>
              <w:t>-0.8</w:t>
            </w:r>
          </w:p>
        </w:tc>
      </w:tr>
      <w:tr w:rsidR="000658FF" w:rsidRPr="003F211E" w14:paraId="5403912C" w14:textId="77777777" w:rsidTr="003F211E">
        <w:trPr>
          <w:trHeight w:val="20"/>
        </w:trPr>
        <w:tc>
          <w:tcPr>
            <w:tcW w:w="1495" w:type="pct"/>
            <w:shd w:val="clear" w:color="auto" w:fill="auto"/>
            <w:vAlign w:val="center"/>
          </w:tcPr>
          <w:p w14:paraId="32C00C8B" w14:textId="77777777" w:rsidR="000658FF" w:rsidRPr="003F211E" w:rsidRDefault="000658FF" w:rsidP="00B34F95">
            <w:pPr>
              <w:rPr>
                <w:sz w:val="24"/>
                <w:szCs w:val="24"/>
                <w:lang w:val="fr-FR"/>
              </w:rPr>
            </w:pPr>
            <w:r w:rsidRPr="003F211E">
              <w:rPr>
                <w:sz w:val="24"/>
                <w:szCs w:val="24"/>
                <w:u w:val="single"/>
                <w:lang w:val="fr-FR"/>
              </w:rPr>
              <w:t>≥</w:t>
            </w:r>
            <w:r w:rsidRPr="003F211E">
              <w:rPr>
                <w:sz w:val="24"/>
                <w:szCs w:val="24"/>
                <w:lang w:val="fr-FR"/>
              </w:rPr>
              <w:t>2250, &lt;2750</w:t>
            </w:r>
          </w:p>
        </w:tc>
        <w:tc>
          <w:tcPr>
            <w:tcW w:w="1752" w:type="pct"/>
            <w:shd w:val="clear" w:color="auto" w:fill="auto"/>
            <w:vAlign w:val="center"/>
          </w:tcPr>
          <w:p w14:paraId="0CADFC1A" w14:textId="77777777" w:rsidR="000658FF" w:rsidRPr="003F211E" w:rsidRDefault="000658FF" w:rsidP="00B34F95">
            <w:pPr>
              <w:jc w:val="center"/>
              <w:rPr>
                <w:sz w:val="24"/>
                <w:szCs w:val="24"/>
                <w:lang w:val="fr-FR"/>
              </w:rPr>
            </w:pPr>
            <w:r w:rsidRPr="003F211E">
              <w:rPr>
                <w:sz w:val="24"/>
                <w:szCs w:val="24"/>
                <w:lang w:val="fr-FR"/>
              </w:rPr>
              <w:t>+1.3</w:t>
            </w:r>
          </w:p>
        </w:tc>
        <w:tc>
          <w:tcPr>
            <w:tcW w:w="1753" w:type="pct"/>
            <w:shd w:val="clear" w:color="auto" w:fill="auto"/>
            <w:vAlign w:val="center"/>
          </w:tcPr>
          <w:p w14:paraId="09AD2F7D" w14:textId="77777777" w:rsidR="000658FF" w:rsidRPr="003F211E" w:rsidRDefault="000658FF" w:rsidP="00B34F95">
            <w:pPr>
              <w:jc w:val="center"/>
              <w:rPr>
                <w:sz w:val="24"/>
                <w:szCs w:val="24"/>
                <w:lang w:val="fr-FR"/>
              </w:rPr>
            </w:pPr>
            <w:r w:rsidRPr="003F211E">
              <w:rPr>
                <w:sz w:val="24"/>
                <w:szCs w:val="24"/>
                <w:lang w:val="fr-FR"/>
              </w:rPr>
              <w:t>-1.3</w:t>
            </w:r>
          </w:p>
        </w:tc>
      </w:tr>
      <w:tr w:rsidR="000658FF" w:rsidRPr="003F211E" w14:paraId="5E7F4D4C" w14:textId="77777777" w:rsidTr="003F211E">
        <w:trPr>
          <w:trHeight w:val="20"/>
        </w:trPr>
        <w:tc>
          <w:tcPr>
            <w:tcW w:w="1495" w:type="pct"/>
            <w:shd w:val="clear" w:color="auto" w:fill="auto"/>
            <w:vAlign w:val="center"/>
          </w:tcPr>
          <w:p w14:paraId="27E518C2" w14:textId="77777777" w:rsidR="000658FF" w:rsidRPr="003F211E" w:rsidRDefault="000658FF" w:rsidP="00B34F95">
            <w:pPr>
              <w:rPr>
                <w:sz w:val="24"/>
                <w:szCs w:val="24"/>
                <w:lang w:val="fr-FR"/>
              </w:rPr>
            </w:pPr>
            <w:r w:rsidRPr="003F211E">
              <w:rPr>
                <w:sz w:val="24"/>
                <w:szCs w:val="24"/>
                <w:lang w:val="fr-FR"/>
              </w:rPr>
              <w:t>≥2750, &lt;3250</w:t>
            </w:r>
          </w:p>
        </w:tc>
        <w:tc>
          <w:tcPr>
            <w:tcW w:w="1752" w:type="pct"/>
            <w:shd w:val="clear" w:color="auto" w:fill="auto"/>
            <w:vAlign w:val="center"/>
          </w:tcPr>
          <w:p w14:paraId="1AF380CD" w14:textId="77777777" w:rsidR="000658FF" w:rsidRPr="003F211E" w:rsidRDefault="000658FF" w:rsidP="00B34F95">
            <w:pPr>
              <w:jc w:val="center"/>
              <w:rPr>
                <w:sz w:val="24"/>
                <w:szCs w:val="24"/>
                <w:lang w:val="fr-FR"/>
              </w:rPr>
            </w:pPr>
            <w:r w:rsidRPr="003F211E">
              <w:rPr>
                <w:sz w:val="24"/>
                <w:szCs w:val="24"/>
                <w:lang w:val="fr-FR"/>
              </w:rPr>
              <w:t>+1.9</w:t>
            </w:r>
          </w:p>
        </w:tc>
        <w:tc>
          <w:tcPr>
            <w:tcW w:w="1753" w:type="pct"/>
            <w:shd w:val="clear" w:color="auto" w:fill="auto"/>
            <w:vAlign w:val="center"/>
          </w:tcPr>
          <w:p w14:paraId="0AA10667" w14:textId="77777777" w:rsidR="000658FF" w:rsidRPr="003F211E" w:rsidRDefault="000658FF" w:rsidP="00B34F95">
            <w:pPr>
              <w:jc w:val="center"/>
              <w:rPr>
                <w:sz w:val="24"/>
                <w:szCs w:val="24"/>
                <w:lang w:val="fr-FR"/>
              </w:rPr>
            </w:pPr>
            <w:r w:rsidRPr="003F211E">
              <w:rPr>
                <w:sz w:val="24"/>
                <w:szCs w:val="24"/>
                <w:lang w:val="fr-FR"/>
              </w:rPr>
              <w:t>-1.9</w:t>
            </w:r>
          </w:p>
        </w:tc>
      </w:tr>
      <w:tr w:rsidR="000658FF" w:rsidRPr="003F211E" w14:paraId="48C91AF1" w14:textId="77777777" w:rsidTr="003F211E">
        <w:trPr>
          <w:trHeight w:val="20"/>
        </w:trPr>
        <w:tc>
          <w:tcPr>
            <w:tcW w:w="1495" w:type="pct"/>
            <w:shd w:val="clear" w:color="auto" w:fill="auto"/>
            <w:vAlign w:val="center"/>
          </w:tcPr>
          <w:p w14:paraId="54C53912" w14:textId="77777777" w:rsidR="000658FF" w:rsidRPr="003F211E" w:rsidRDefault="000658FF" w:rsidP="00B34F95">
            <w:pPr>
              <w:rPr>
                <w:sz w:val="24"/>
                <w:szCs w:val="24"/>
                <w:lang w:val="fr-FR"/>
              </w:rPr>
            </w:pPr>
            <w:r w:rsidRPr="003F211E">
              <w:rPr>
                <w:sz w:val="24"/>
                <w:szCs w:val="24"/>
                <w:lang w:val="fr-FR"/>
              </w:rPr>
              <w:t>≥3250, &lt;3750</w:t>
            </w:r>
          </w:p>
        </w:tc>
        <w:tc>
          <w:tcPr>
            <w:tcW w:w="1752" w:type="pct"/>
            <w:shd w:val="clear" w:color="auto" w:fill="auto"/>
            <w:vAlign w:val="center"/>
          </w:tcPr>
          <w:p w14:paraId="2D2B46ED" w14:textId="77777777" w:rsidR="000658FF" w:rsidRPr="003F211E" w:rsidRDefault="000658FF" w:rsidP="00B34F95">
            <w:pPr>
              <w:jc w:val="center"/>
              <w:rPr>
                <w:sz w:val="24"/>
                <w:szCs w:val="24"/>
                <w:lang w:val="fr-FR"/>
              </w:rPr>
            </w:pPr>
            <w:r w:rsidRPr="003F211E">
              <w:rPr>
                <w:sz w:val="24"/>
                <w:szCs w:val="24"/>
                <w:lang w:val="fr-FR"/>
              </w:rPr>
              <w:t>+2.7</w:t>
            </w:r>
          </w:p>
        </w:tc>
        <w:tc>
          <w:tcPr>
            <w:tcW w:w="1753" w:type="pct"/>
            <w:shd w:val="clear" w:color="auto" w:fill="auto"/>
            <w:vAlign w:val="center"/>
          </w:tcPr>
          <w:p w14:paraId="704CAE56" w14:textId="77777777" w:rsidR="000658FF" w:rsidRPr="003F211E" w:rsidRDefault="000658FF" w:rsidP="00B34F95">
            <w:pPr>
              <w:jc w:val="center"/>
              <w:rPr>
                <w:sz w:val="24"/>
                <w:szCs w:val="24"/>
                <w:lang w:val="fr-FR"/>
              </w:rPr>
            </w:pPr>
            <w:r w:rsidRPr="003F211E">
              <w:rPr>
                <w:sz w:val="24"/>
                <w:szCs w:val="24"/>
                <w:lang w:val="fr-FR"/>
              </w:rPr>
              <w:t>-2.7</w:t>
            </w:r>
          </w:p>
        </w:tc>
      </w:tr>
      <w:tr w:rsidR="000658FF" w:rsidRPr="003F211E" w14:paraId="14DC165B" w14:textId="77777777" w:rsidTr="003F211E">
        <w:trPr>
          <w:trHeight w:val="20"/>
        </w:trPr>
        <w:tc>
          <w:tcPr>
            <w:tcW w:w="1495" w:type="pct"/>
            <w:shd w:val="clear" w:color="auto" w:fill="auto"/>
            <w:vAlign w:val="center"/>
          </w:tcPr>
          <w:p w14:paraId="661B7993" w14:textId="77777777" w:rsidR="000658FF" w:rsidRPr="003F211E" w:rsidRDefault="000658FF" w:rsidP="00B34F95">
            <w:pPr>
              <w:rPr>
                <w:sz w:val="24"/>
                <w:szCs w:val="24"/>
                <w:lang w:val="fr-FR"/>
              </w:rPr>
            </w:pPr>
            <w:r w:rsidRPr="003F211E">
              <w:rPr>
                <w:sz w:val="24"/>
                <w:szCs w:val="24"/>
                <w:lang w:val="fr-FR"/>
              </w:rPr>
              <w:t>≥3750, &lt;4250</w:t>
            </w:r>
          </w:p>
        </w:tc>
        <w:tc>
          <w:tcPr>
            <w:tcW w:w="1752" w:type="pct"/>
            <w:shd w:val="clear" w:color="auto" w:fill="auto"/>
            <w:vAlign w:val="center"/>
          </w:tcPr>
          <w:p w14:paraId="4713D711" w14:textId="77777777" w:rsidR="000658FF" w:rsidRPr="003F211E" w:rsidRDefault="000658FF" w:rsidP="00B34F95">
            <w:pPr>
              <w:jc w:val="center"/>
              <w:rPr>
                <w:sz w:val="24"/>
                <w:szCs w:val="24"/>
                <w:lang w:val="fr-FR"/>
              </w:rPr>
            </w:pPr>
            <w:r w:rsidRPr="003F211E">
              <w:rPr>
                <w:sz w:val="24"/>
                <w:szCs w:val="24"/>
                <w:lang w:val="fr-FR"/>
              </w:rPr>
              <w:t>+3.5</w:t>
            </w:r>
          </w:p>
        </w:tc>
        <w:tc>
          <w:tcPr>
            <w:tcW w:w="1753" w:type="pct"/>
            <w:shd w:val="clear" w:color="auto" w:fill="auto"/>
            <w:vAlign w:val="center"/>
          </w:tcPr>
          <w:p w14:paraId="5F2E78C5" w14:textId="77777777" w:rsidR="000658FF" w:rsidRPr="003F211E" w:rsidRDefault="000658FF" w:rsidP="00B34F95">
            <w:pPr>
              <w:jc w:val="center"/>
              <w:rPr>
                <w:sz w:val="24"/>
                <w:szCs w:val="24"/>
                <w:lang w:val="fr-FR"/>
              </w:rPr>
            </w:pPr>
            <w:r w:rsidRPr="003F211E">
              <w:rPr>
                <w:sz w:val="24"/>
                <w:szCs w:val="24"/>
                <w:lang w:val="fr-FR"/>
              </w:rPr>
              <w:t>-3.5</w:t>
            </w:r>
          </w:p>
        </w:tc>
      </w:tr>
      <w:tr w:rsidR="000658FF" w:rsidRPr="003F211E" w14:paraId="3AEF9600" w14:textId="77777777" w:rsidTr="003F211E">
        <w:trPr>
          <w:trHeight w:val="20"/>
        </w:trPr>
        <w:tc>
          <w:tcPr>
            <w:tcW w:w="1495" w:type="pct"/>
            <w:shd w:val="clear" w:color="auto" w:fill="auto"/>
            <w:vAlign w:val="center"/>
          </w:tcPr>
          <w:p w14:paraId="5A524D0A" w14:textId="77777777" w:rsidR="000658FF" w:rsidRPr="003F211E" w:rsidRDefault="000658FF" w:rsidP="00B34F95">
            <w:pPr>
              <w:rPr>
                <w:sz w:val="24"/>
                <w:szCs w:val="24"/>
                <w:lang w:val="fr-FR"/>
              </w:rPr>
            </w:pPr>
            <w:r w:rsidRPr="003F211E">
              <w:rPr>
                <w:sz w:val="24"/>
                <w:szCs w:val="24"/>
                <w:lang w:val="fr-FR"/>
              </w:rPr>
              <w:t>≥4250, &lt;4750</w:t>
            </w:r>
          </w:p>
        </w:tc>
        <w:tc>
          <w:tcPr>
            <w:tcW w:w="1752" w:type="pct"/>
            <w:shd w:val="clear" w:color="auto" w:fill="auto"/>
            <w:vAlign w:val="center"/>
          </w:tcPr>
          <w:p w14:paraId="22626A60" w14:textId="77777777" w:rsidR="000658FF" w:rsidRPr="003F211E" w:rsidRDefault="000658FF" w:rsidP="00B34F95">
            <w:pPr>
              <w:jc w:val="center"/>
              <w:rPr>
                <w:sz w:val="24"/>
                <w:szCs w:val="24"/>
                <w:lang w:val="fr-FR"/>
              </w:rPr>
            </w:pPr>
            <w:r w:rsidRPr="003F211E">
              <w:rPr>
                <w:sz w:val="24"/>
                <w:szCs w:val="24"/>
                <w:lang w:val="fr-FR"/>
              </w:rPr>
              <w:t>+4.5</w:t>
            </w:r>
          </w:p>
        </w:tc>
        <w:tc>
          <w:tcPr>
            <w:tcW w:w="1753" w:type="pct"/>
            <w:shd w:val="clear" w:color="auto" w:fill="auto"/>
            <w:vAlign w:val="center"/>
          </w:tcPr>
          <w:p w14:paraId="3497B460" w14:textId="77777777" w:rsidR="000658FF" w:rsidRPr="003F211E" w:rsidRDefault="000658FF" w:rsidP="00B34F95">
            <w:pPr>
              <w:jc w:val="center"/>
              <w:rPr>
                <w:sz w:val="24"/>
                <w:szCs w:val="24"/>
                <w:lang w:val="fr-FR"/>
              </w:rPr>
            </w:pPr>
            <w:r w:rsidRPr="003F211E">
              <w:rPr>
                <w:sz w:val="24"/>
                <w:szCs w:val="24"/>
                <w:lang w:val="fr-FR"/>
              </w:rPr>
              <w:t>-4.5</w:t>
            </w:r>
          </w:p>
        </w:tc>
      </w:tr>
      <w:tr w:rsidR="000658FF" w:rsidRPr="003F211E" w14:paraId="0E27D756" w14:textId="77777777" w:rsidTr="003F211E">
        <w:trPr>
          <w:trHeight w:val="20"/>
        </w:trPr>
        <w:tc>
          <w:tcPr>
            <w:tcW w:w="1495" w:type="pct"/>
            <w:shd w:val="clear" w:color="auto" w:fill="auto"/>
            <w:vAlign w:val="center"/>
          </w:tcPr>
          <w:p w14:paraId="145A50A6" w14:textId="77777777" w:rsidR="000658FF" w:rsidRPr="003F211E" w:rsidRDefault="000658FF" w:rsidP="00B34F95">
            <w:pPr>
              <w:rPr>
                <w:sz w:val="24"/>
                <w:szCs w:val="24"/>
                <w:lang w:val="fr-FR"/>
              </w:rPr>
            </w:pPr>
            <w:r w:rsidRPr="003F211E">
              <w:rPr>
                <w:sz w:val="24"/>
                <w:szCs w:val="24"/>
                <w:lang w:val="fr-FR"/>
              </w:rPr>
              <w:t>≥4750, &lt;5250</w:t>
            </w:r>
          </w:p>
        </w:tc>
        <w:tc>
          <w:tcPr>
            <w:tcW w:w="1752" w:type="pct"/>
            <w:shd w:val="clear" w:color="auto" w:fill="auto"/>
            <w:vAlign w:val="center"/>
          </w:tcPr>
          <w:p w14:paraId="67D4B131" w14:textId="77777777" w:rsidR="000658FF" w:rsidRPr="003F211E" w:rsidRDefault="000658FF" w:rsidP="00B34F95">
            <w:pPr>
              <w:jc w:val="center"/>
              <w:rPr>
                <w:sz w:val="24"/>
                <w:szCs w:val="24"/>
                <w:lang w:val="fr-FR"/>
              </w:rPr>
            </w:pPr>
            <w:r w:rsidRPr="003F211E">
              <w:rPr>
                <w:sz w:val="24"/>
                <w:szCs w:val="24"/>
                <w:lang w:val="fr-FR"/>
              </w:rPr>
              <w:t>+5.5</w:t>
            </w:r>
          </w:p>
        </w:tc>
        <w:tc>
          <w:tcPr>
            <w:tcW w:w="1753" w:type="pct"/>
            <w:shd w:val="clear" w:color="auto" w:fill="auto"/>
            <w:vAlign w:val="center"/>
          </w:tcPr>
          <w:p w14:paraId="659E8A2D" w14:textId="77777777" w:rsidR="000658FF" w:rsidRPr="003F211E" w:rsidRDefault="000658FF" w:rsidP="00B34F95">
            <w:pPr>
              <w:jc w:val="center"/>
              <w:rPr>
                <w:sz w:val="24"/>
                <w:szCs w:val="24"/>
                <w:lang w:val="fr-FR"/>
              </w:rPr>
            </w:pPr>
            <w:r w:rsidRPr="003F211E">
              <w:rPr>
                <w:sz w:val="24"/>
                <w:szCs w:val="24"/>
                <w:lang w:val="fr-FR"/>
              </w:rPr>
              <w:t>-5.5</w:t>
            </w:r>
          </w:p>
        </w:tc>
      </w:tr>
      <w:tr w:rsidR="000658FF" w:rsidRPr="003F211E" w14:paraId="1B13E26D" w14:textId="77777777" w:rsidTr="003F211E">
        <w:trPr>
          <w:trHeight w:val="20"/>
        </w:trPr>
        <w:tc>
          <w:tcPr>
            <w:tcW w:w="1495" w:type="pct"/>
            <w:shd w:val="clear" w:color="auto" w:fill="auto"/>
            <w:vAlign w:val="center"/>
          </w:tcPr>
          <w:p w14:paraId="297CC2CE" w14:textId="77777777" w:rsidR="000658FF" w:rsidRPr="003F211E" w:rsidRDefault="000658FF" w:rsidP="00B34F95">
            <w:pPr>
              <w:rPr>
                <w:sz w:val="24"/>
                <w:szCs w:val="24"/>
                <w:lang w:val="fr-FR"/>
              </w:rPr>
            </w:pPr>
            <w:r w:rsidRPr="003F211E">
              <w:rPr>
                <w:sz w:val="24"/>
                <w:szCs w:val="24"/>
                <w:lang w:val="fr-FR"/>
              </w:rPr>
              <w:t>≥5250</w:t>
            </w:r>
          </w:p>
        </w:tc>
        <w:tc>
          <w:tcPr>
            <w:tcW w:w="1752" w:type="pct"/>
            <w:shd w:val="clear" w:color="auto" w:fill="auto"/>
            <w:vAlign w:val="center"/>
          </w:tcPr>
          <w:p w14:paraId="324A1408" w14:textId="77777777" w:rsidR="000658FF" w:rsidRPr="003F211E" w:rsidRDefault="000658FF" w:rsidP="00B34F95">
            <w:pPr>
              <w:jc w:val="center"/>
              <w:rPr>
                <w:sz w:val="24"/>
                <w:szCs w:val="24"/>
                <w:lang w:val="fr-FR"/>
              </w:rPr>
            </w:pPr>
            <w:r w:rsidRPr="003F211E">
              <w:rPr>
                <w:sz w:val="24"/>
                <w:szCs w:val="24"/>
                <w:lang w:val="fr-FR"/>
              </w:rPr>
              <w:t>+6.7</w:t>
            </w:r>
          </w:p>
        </w:tc>
        <w:tc>
          <w:tcPr>
            <w:tcW w:w="1753" w:type="pct"/>
            <w:shd w:val="clear" w:color="auto" w:fill="auto"/>
            <w:vAlign w:val="center"/>
          </w:tcPr>
          <w:p w14:paraId="5EEF3D6A" w14:textId="77777777" w:rsidR="000658FF" w:rsidRPr="003F211E" w:rsidRDefault="000658FF" w:rsidP="00B34F95">
            <w:pPr>
              <w:jc w:val="center"/>
              <w:rPr>
                <w:sz w:val="24"/>
                <w:szCs w:val="24"/>
                <w:lang w:val="fr-FR"/>
              </w:rPr>
            </w:pPr>
            <w:r w:rsidRPr="003F211E">
              <w:rPr>
                <w:sz w:val="24"/>
                <w:szCs w:val="24"/>
                <w:lang w:val="fr-FR"/>
              </w:rPr>
              <w:t>-6.7</w:t>
            </w:r>
          </w:p>
        </w:tc>
      </w:tr>
    </w:tbl>
    <w:p w14:paraId="64E23E0C" w14:textId="77777777" w:rsidR="000658FF" w:rsidRPr="003F211E" w:rsidRDefault="000658FF" w:rsidP="001D61A8">
      <w:pPr>
        <w:autoSpaceDE w:val="0"/>
        <w:autoSpaceDN w:val="0"/>
        <w:adjustRightInd w:val="0"/>
        <w:spacing w:after="0" w:line="240" w:lineRule="auto"/>
        <w:jc w:val="both"/>
        <w:rPr>
          <w:color w:val="000000"/>
          <w:sz w:val="24"/>
          <w:szCs w:val="24"/>
          <w:lang w:val="fr-FR" w:eastAsia="en-GB"/>
        </w:rPr>
      </w:pPr>
    </w:p>
    <w:p w14:paraId="56733304" w14:textId="5293147F" w:rsidR="00CB6339" w:rsidRPr="006E3885" w:rsidRDefault="00504768" w:rsidP="00AB2A3A">
      <w:pPr>
        <w:autoSpaceDE w:val="0"/>
        <w:autoSpaceDN w:val="0"/>
        <w:adjustRightInd w:val="0"/>
        <w:spacing w:after="0" w:line="240" w:lineRule="auto"/>
        <w:jc w:val="both"/>
        <w:rPr>
          <w:sz w:val="24"/>
          <w:szCs w:val="24"/>
          <w:lang w:val="fr-FR" w:eastAsia="en-GB"/>
        </w:rPr>
      </w:pPr>
      <w:r>
        <w:rPr>
          <w:sz w:val="24"/>
          <w:szCs w:val="24"/>
          <w:lang w:val="fr-FR" w:eastAsia="en-GB"/>
        </w:rPr>
        <w:t>Le HCR recommande que la méthode 2 soit utilisée dans les contextes o</w:t>
      </w:r>
      <w:r>
        <w:rPr>
          <w:rFonts w:cs="Calibri"/>
          <w:sz w:val="24"/>
          <w:szCs w:val="24"/>
          <w:lang w:val="fr-FR" w:eastAsia="en-GB"/>
        </w:rPr>
        <w:t>ù</w:t>
      </w:r>
      <w:r>
        <w:rPr>
          <w:sz w:val="24"/>
          <w:szCs w:val="24"/>
          <w:lang w:val="fr-FR" w:eastAsia="en-GB"/>
        </w:rPr>
        <w:t xml:space="preserve"> la concentration en hémoglobine a besoin d’être ajustée pour l’altitude lors de la mise en œuvre d’enquête nutritionnelle SENS. Le tableau 2 ci-dessous fournit les facteurs d’ajustement spécifiques à appliquer aux </w:t>
      </w:r>
      <w:r w:rsidRPr="006E3885">
        <w:rPr>
          <w:sz w:val="24"/>
          <w:szCs w:val="24"/>
          <w:lang w:val="fr-FR" w:eastAsia="en-GB"/>
        </w:rPr>
        <w:t>valeurs individuelles d’hémoglobine pour les camps de réfugiés/zones d’enquête o</w:t>
      </w:r>
      <w:r w:rsidRPr="006E3885">
        <w:rPr>
          <w:rFonts w:cs="Calibri"/>
          <w:sz w:val="24"/>
          <w:szCs w:val="24"/>
          <w:lang w:val="fr-FR" w:eastAsia="en-GB"/>
        </w:rPr>
        <w:t>ù</w:t>
      </w:r>
      <w:r w:rsidRPr="006E3885">
        <w:rPr>
          <w:sz w:val="24"/>
          <w:szCs w:val="24"/>
          <w:lang w:val="fr-FR" w:eastAsia="en-GB"/>
        </w:rPr>
        <w:t xml:space="preserve"> la concentration en hémoglobine nécessite d’être ajustée en fonction de l’altitude pour la mise en œuvre d’enquête nutritionnelle SENS. Les </w:t>
      </w:r>
      <w:r w:rsidR="00BA4DFA" w:rsidRPr="006E3885">
        <w:rPr>
          <w:sz w:val="24"/>
          <w:szCs w:val="24"/>
          <w:lang w:val="fr-FR" w:eastAsia="en-GB"/>
        </w:rPr>
        <w:t>données</w:t>
      </w:r>
      <w:r w:rsidRPr="006E3885">
        <w:rPr>
          <w:sz w:val="24"/>
          <w:szCs w:val="24"/>
          <w:lang w:val="fr-FR" w:eastAsia="en-GB"/>
        </w:rPr>
        <w:t xml:space="preserve"> sur l’altitude des camps/zones d’</w:t>
      </w:r>
      <w:r w:rsidR="00BA4DFA" w:rsidRPr="006E3885">
        <w:rPr>
          <w:sz w:val="24"/>
          <w:szCs w:val="24"/>
          <w:lang w:val="fr-FR" w:eastAsia="en-GB"/>
        </w:rPr>
        <w:t>enquête</w:t>
      </w:r>
      <w:r w:rsidRPr="006E3885">
        <w:rPr>
          <w:sz w:val="24"/>
          <w:szCs w:val="24"/>
          <w:lang w:val="fr-FR" w:eastAsia="en-GB"/>
        </w:rPr>
        <w:t xml:space="preserve"> ont été obtenues </w:t>
      </w:r>
      <w:r w:rsidR="00BA4DFA" w:rsidRPr="006E3885">
        <w:rPr>
          <w:sz w:val="24"/>
          <w:szCs w:val="24"/>
          <w:lang w:val="fr-FR" w:eastAsia="en-GB"/>
        </w:rPr>
        <w:t>auprès</w:t>
      </w:r>
      <w:r w:rsidRPr="006E3885">
        <w:rPr>
          <w:sz w:val="24"/>
          <w:szCs w:val="24"/>
          <w:lang w:val="fr-FR" w:eastAsia="en-GB"/>
        </w:rPr>
        <w:t xml:space="preserve"> du </w:t>
      </w:r>
      <w:r w:rsidR="00BA4DFA" w:rsidRPr="006E3885">
        <w:rPr>
          <w:sz w:val="24"/>
          <w:szCs w:val="24"/>
          <w:lang w:val="fr-FR" w:eastAsia="en-GB"/>
        </w:rPr>
        <w:t>département</w:t>
      </w:r>
      <w:r w:rsidRPr="006E3885">
        <w:rPr>
          <w:sz w:val="24"/>
          <w:szCs w:val="24"/>
          <w:lang w:val="fr-FR" w:eastAsia="en-GB"/>
        </w:rPr>
        <w:t xml:space="preserve"> GIS du HCR (201</w:t>
      </w:r>
      <w:r w:rsidR="006E3885" w:rsidRPr="006E3885">
        <w:rPr>
          <w:sz w:val="24"/>
          <w:szCs w:val="24"/>
          <w:lang w:val="fr-FR" w:eastAsia="en-GB"/>
        </w:rPr>
        <w:t>8</w:t>
      </w:r>
      <w:r w:rsidRPr="006E3885">
        <w:rPr>
          <w:sz w:val="24"/>
          <w:szCs w:val="24"/>
          <w:lang w:val="fr-FR" w:eastAsia="en-GB"/>
        </w:rPr>
        <w:t>)</w:t>
      </w:r>
      <w:r w:rsidR="00BA4DFA" w:rsidRPr="006E3885">
        <w:rPr>
          <w:sz w:val="24"/>
          <w:szCs w:val="24"/>
          <w:lang w:val="fr-FR" w:eastAsia="en-GB"/>
        </w:rPr>
        <w:t xml:space="preserve">. Les camps/zones d’enquête situés </w:t>
      </w:r>
      <w:r w:rsidR="00BA4DFA" w:rsidRPr="006E3885">
        <w:rPr>
          <w:rFonts w:cs="Calibri"/>
          <w:sz w:val="24"/>
          <w:szCs w:val="24"/>
          <w:lang w:val="fr-FR" w:eastAsia="en-GB"/>
        </w:rPr>
        <w:t>à</w:t>
      </w:r>
      <w:r w:rsidR="00BA4DFA" w:rsidRPr="006E3885">
        <w:rPr>
          <w:sz w:val="24"/>
          <w:szCs w:val="24"/>
          <w:lang w:val="fr-FR" w:eastAsia="en-GB"/>
        </w:rPr>
        <w:t xml:space="preserve"> plus de 1000 mètres d’altitude sont listés ci-dessous.</w:t>
      </w:r>
    </w:p>
    <w:p w14:paraId="1C79066F" w14:textId="77777777" w:rsidR="00BA4DFA" w:rsidRPr="006E3885" w:rsidRDefault="00BA4DFA" w:rsidP="00AB2A3A">
      <w:pPr>
        <w:spacing w:after="0" w:line="240" w:lineRule="auto"/>
        <w:rPr>
          <w:rFonts w:asciiTheme="minorHAnsi" w:hAnsiTheme="minorHAnsi" w:cstheme="minorHAnsi"/>
          <w:sz w:val="24"/>
          <w:szCs w:val="24"/>
          <w:lang w:val="fr-FR" w:eastAsia="en-GB"/>
        </w:rPr>
      </w:pPr>
    </w:p>
    <w:p w14:paraId="69F88BF7" w14:textId="77777777" w:rsidR="00AB2A3A" w:rsidRPr="00BA4DFA" w:rsidRDefault="00AB2A3A" w:rsidP="00AB2A3A">
      <w:pPr>
        <w:spacing w:after="0" w:line="240" w:lineRule="auto"/>
        <w:rPr>
          <w:rFonts w:asciiTheme="minorHAnsi" w:hAnsiTheme="minorHAnsi" w:cstheme="minorHAnsi"/>
          <w:sz w:val="24"/>
          <w:szCs w:val="24"/>
          <w:lang w:val="fr-FR" w:eastAsia="en-GB"/>
        </w:rPr>
      </w:pPr>
      <w:r w:rsidRPr="006E3885">
        <w:rPr>
          <w:rFonts w:asciiTheme="minorHAnsi" w:hAnsiTheme="minorHAnsi" w:cstheme="minorHAnsi"/>
          <w:sz w:val="24"/>
          <w:szCs w:val="24"/>
          <w:lang w:val="fr-FR" w:eastAsia="en-GB"/>
        </w:rPr>
        <w:t>Notez que les facteurs d’ajustement pour l’altitude sont appliqués automatiquement</w:t>
      </w:r>
      <w:r w:rsidRPr="00AB2A3A">
        <w:rPr>
          <w:rFonts w:asciiTheme="minorHAnsi" w:hAnsiTheme="minorHAnsi" w:cstheme="minorHAnsi"/>
          <w:sz w:val="24"/>
          <w:szCs w:val="24"/>
          <w:lang w:val="fr-FR" w:eastAsia="en-GB"/>
        </w:rPr>
        <w:t xml:space="preserve"> dans les enquêtes SENS </w:t>
      </w:r>
      <w:r>
        <w:rPr>
          <w:rFonts w:asciiTheme="minorHAnsi" w:hAnsiTheme="minorHAnsi" w:cstheme="minorHAnsi"/>
          <w:sz w:val="24"/>
          <w:szCs w:val="24"/>
          <w:lang w:val="fr-FR" w:eastAsia="en-GB"/>
        </w:rPr>
        <w:t>utilisant la</w:t>
      </w:r>
      <w:r w:rsidRPr="00AB2A3A">
        <w:rPr>
          <w:rFonts w:asciiTheme="minorHAnsi" w:hAnsiTheme="minorHAnsi" w:cstheme="minorHAnsi"/>
          <w:sz w:val="24"/>
          <w:szCs w:val="24"/>
          <w:lang w:val="fr-FR" w:eastAsia="en-GB"/>
        </w:rPr>
        <w:t xml:space="preserve"> collecte de données mobiles (</w:t>
      </w:r>
      <w:r>
        <w:rPr>
          <w:rFonts w:asciiTheme="minorHAnsi" w:hAnsiTheme="minorHAnsi" w:cstheme="minorHAnsi"/>
          <w:sz w:val="24"/>
          <w:szCs w:val="24"/>
          <w:lang w:val="fr-FR" w:eastAsia="en-GB"/>
        </w:rPr>
        <w:t xml:space="preserve">méthodes </w:t>
      </w:r>
      <w:r w:rsidRPr="00AB2A3A">
        <w:rPr>
          <w:rFonts w:asciiTheme="minorHAnsi" w:hAnsiTheme="minorHAnsi" w:cstheme="minorHAnsi"/>
          <w:sz w:val="24"/>
          <w:szCs w:val="24"/>
          <w:lang w:val="fr-FR" w:eastAsia="en-GB"/>
        </w:rPr>
        <w:t xml:space="preserve">MDC) </w:t>
      </w:r>
      <w:r>
        <w:rPr>
          <w:rFonts w:asciiTheme="minorHAnsi" w:hAnsiTheme="minorHAnsi" w:cstheme="minorHAnsi"/>
          <w:sz w:val="24"/>
          <w:szCs w:val="24"/>
          <w:lang w:val="fr-FR" w:eastAsia="en-GB"/>
        </w:rPr>
        <w:t>permettant ainsi au responsable d</w:t>
      </w:r>
      <w:r w:rsidRPr="00AB2A3A">
        <w:rPr>
          <w:rFonts w:asciiTheme="minorHAnsi" w:hAnsiTheme="minorHAnsi" w:cstheme="minorHAnsi"/>
          <w:sz w:val="24"/>
          <w:szCs w:val="24"/>
          <w:lang w:val="fr-FR" w:eastAsia="en-GB"/>
        </w:rPr>
        <w:t xml:space="preserve">'enquête </w:t>
      </w:r>
      <w:r>
        <w:rPr>
          <w:rFonts w:asciiTheme="minorHAnsi" w:hAnsiTheme="minorHAnsi" w:cstheme="minorHAnsi"/>
          <w:sz w:val="24"/>
          <w:szCs w:val="24"/>
          <w:lang w:val="fr-FR" w:eastAsia="en-GB"/>
        </w:rPr>
        <w:t>de ne pas avoir</w:t>
      </w:r>
      <w:r w:rsidRPr="00AB2A3A">
        <w:rPr>
          <w:rFonts w:asciiTheme="minorHAnsi" w:hAnsiTheme="minorHAnsi" w:cstheme="minorHAnsi"/>
          <w:sz w:val="24"/>
          <w:szCs w:val="24"/>
          <w:lang w:val="fr-FR" w:eastAsia="en-GB"/>
        </w:rPr>
        <w:t xml:space="preserve"> besoin d</w:t>
      </w:r>
      <w:r>
        <w:rPr>
          <w:rFonts w:asciiTheme="minorHAnsi" w:hAnsiTheme="minorHAnsi" w:cstheme="minorHAnsi"/>
          <w:sz w:val="24"/>
          <w:szCs w:val="24"/>
          <w:lang w:val="fr-FR" w:eastAsia="en-GB"/>
        </w:rPr>
        <w:t>’effectuer</w:t>
      </w:r>
      <w:r w:rsidRPr="00AB2A3A">
        <w:rPr>
          <w:rFonts w:asciiTheme="minorHAnsi" w:hAnsiTheme="minorHAnsi" w:cstheme="minorHAnsi"/>
          <w:sz w:val="24"/>
          <w:szCs w:val="24"/>
          <w:lang w:val="fr-FR" w:eastAsia="en-GB"/>
        </w:rPr>
        <w:t xml:space="preserve"> de conversion au </w:t>
      </w:r>
      <w:r>
        <w:rPr>
          <w:rFonts w:asciiTheme="minorHAnsi" w:hAnsiTheme="minorHAnsi" w:cstheme="minorHAnsi"/>
          <w:sz w:val="24"/>
          <w:szCs w:val="24"/>
          <w:lang w:val="fr-FR" w:eastAsia="en-GB"/>
        </w:rPr>
        <w:t>moment</w:t>
      </w:r>
      <w:r w:rsidRPr="00AB2A3A">
        <w:rPr>
          <w:rFonts w:asciiTheme="minorHAnsi" w:hAnsiTheme="minorHAnsi" w:cstheme="minorHAnsi"/>
          <w:sz w:val="24"/>
          <w:szCs w:val="24"/>
          <w:lang w:val="fr-FR" w:eastAsia="en-GB"/>
        </w:rPr>
        <w:t xml:space="preserve"> de l'analyse.</w:t>
      </w:r>
    </w:p>
    <w:p w14:paraId="2D0B56C0" w14:textId="77777777" w:rsidR="001F74E0" w:rsidRDefault="001F74E0" w:rsidP="00AB2A3A">
      <w:pPr>
        <w:spacing w:after="0" w:line="240" w:lineRule="auto"/>
        <w:rPr>
          <w:rFonts w:asciiTheme="minorHAnsi" w:hAnsiTheme="minorHAnsi" w:cstheme="minorHAnsi"/>
          <w:b/>
          <w:sz w:val="24"/>
          <w:szCs w:val="24"/>
          <w:highlight w:val="cyan"/>
          <w:lang w:val="fr-FR" w:eastAsia="en-GB"/>
        </w:rPr>
      </w:pPr>
      <w:r>
        <w:rPr>
          <w:rFonts w:asciiTheme="minorHAnsi" w:hAnsiTheme="minorHAnsi" w:cstheme="minorHAnsi"/>
          <w:b/>
          <w:sz w:val="24"/>
          <w:szCs w:val="24"/>
          <w:highlight w:val="cyan"/>
          <w:lang w:val="fr-FR" w:eastAsia="en-GB"/>
        </w:rPr>
        <w:br w:type="page"/>
      </w:r>
    </w:p>
    <w:p w14:paraId="341DE882" w14:textId="3E819853" w:rsidR="00C77717" w:rsidRDefault="00BA4DFA" w:rsidP="00AB2A3A">
      <w:pPr>
        <w:spacing w:after="0" w:line="240" w:lineRule="auto"/>
        <w:rPr>
          <w:rFonts w:asciiTheme="minorHAnsi" w:hAnsiTheme="minorHAnsi" w:cstheme="minorHAnsi"/>
          <w:b/>
          <w:sz w:val="24"/>
          <w:szCs w:val="24"/>
          <w:lang w:val="fr-FR" w:eastAsia="en-GB"/>
        </w:rPr>
      </w:pPr>
      <w:r w:rsidRPr="006E3885">
        <w:rPr>
          <w:rFonts w:asciiTheme="minorHAnsi" w:hAnsiTheme="minorHAnsi" w:cstheme="minorHAnsi"/>
          <w:b/>
          <w:sz w:val="24"/>
          <w:szCs w:val="24"/>
          <w:lang w:val="fr-FR" w:eastAsia="en-GB"/>
        </w:rPr>
        <w:lastRenderedPageBreak/>
        <w:t>T</w:t>
      </w:r>
      <w:r w:rsidR="003F211E" w:rsidRPr="006E3885">
        <w:rPr>
          <w:rFonts w:asciiTheme="minorHAnsi" w:hAnsiTheme="minorHAnsi" w:cstheme="minorHAnsi"/>
          <w:b/>
          <w:sz w:val="24"/>
          <w:szCs w:val="24"/>
          <w:lang w:val="fr-FR" w:eastAsia="en-GB"/>
        </w:rPr>
        <w:t xml:space="preserve">ableau 2 Ajustement des valeurs individuelles d’hémoglobine pour les enquêtes nutritionnelles </w:t>
      </w:r>
      <w:r w:rsidR="00C413B0" w:rsidRPr="006E3885">
        <w:rPr>
          <w:rFonts w:asciiTheme="minorHAnsi" w:hAnsiTheme="minorHAnsi" w:cstheme="minorHAnsi"/>
          <w:b/>
          <w:sz w:val="24"/>
          <w:szCs w:val="24"/>
          <w:lang w:val="fr-FR" w:eastAsia="en-GB"/>
        </w:rPr>
        <w:t>SENS</w:t>
      </w:r>
    </w:p>
    <w:p w14:paraId="0CBD909B" w14:textId="5F6145BA" w:rsidR="006E3885" w:rsidRDefault="006E3885" w:rsidP="00AB2A3A">
      <w:pPr>
        <w:spacing w:after="0" w:line="240" w:lineRule="auto"/>
        <w:rPr>
          <w:rFonts w:asciiTheme="minorHAnsi" w:hAnsiTheme="minorHAnsi" w:cstheme="minorHAnsi"/>
          <w:b/>
          <w:sz w:val="24"/>
          <w:szCs w:val="24"/>
          <w:lang w:val="fr-FR" w:eastAsia="en-GB"/>
        </w:rPr>
      </w:pPr>
    </w:p>
    <w:tbl>
      <w:tblPr>
        <w:tblW w:w="5000" w:type="pct"/>
        <w:tblLook w:val="04A0" w:firstRow="1" w:lastRow="0" w:firstColumn="1" w:lastColumn="0" w:noHBand="0" w:noVBand="1"/>
      </w:tblPr>
      <w:tblGrid>
        <w:gridCol w:w="3464"/>
        <w:gridCol w:w="2258"/>
        <w:gridCol w:w="1271"/>
        <w:gridCol w:w="1430"/>
        <w:gridCol w:w="2033"/>
      </w:tblGrid>
      <w:tr w:rsidR="006E3885" w:rsidRPr="00456861" w14:paraId="629A4F56" w14:textId="77777777" w:rsidTr="006E3885">
        <w:trPr>
          <w:trHeight w:val="819"/>
          <w:tblHeader/>
        </w:trPr>
        <w:tc>
          <w:tcPr>
            <w:tcW w:w="165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CA8EAA3" w14:textId="0DB0AB21" w:rsidR="006E3885" w:rsidRPr="006E3885" w:rsidRDefault="006E3885" w:rsidP="006E3885">
            <w:pPr>
              <w:spacing w:after="0" w:line="240" w:lineRule="auto"/>
              <w:jc w:val="center"/>
              <w:rPr>
                <w:rFonts w:eastAsia="Times New Roman"/>
                <w:b/>
                <w:bCs/>
                <w:lang w:val="fr-FR" w:eastAsia="en-GB"/>
              </w:rPr>
            </w:pPr>
            <w:r w:rsidRPr="006E3885">
              <w:rPr>
                <w:rFonts w:eastAsia="Times New Roman"/>
                <w:b/>
                <w:bCs/>
                <w:lang w:val="fr-FR" w:eastAsia="en-GB"/>
              </w:rPr>
              <w:t>Pays</w:t>
            </w:r>
          </w:p>
        </w:tc>
        <w:tc>
          <w:tcPr>
            <w:tcW w:w="108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73E3B7F" w14:textId="5536B5A8" w:rsidR="006E3885" w:rsidRPr="006E3885" w:rsidRDefault="006E3885" w:rsidP="006E3885">
            <w:pPr>
              <w:spacing w:after="0" w:line="240" w:lineRule="auto"/>
              <w:jc w:val="center"/>
              <w:rPr>
                <w:rFonts w:eastAsia="Times New Roman"/>
                <w:b/>
                <w:bCs/>
                <w:lang w:val="fr-FR" w:eastAsia="en-GB"/>
              </w:rPr>
            </w:pPr>
            <w:r w:rsidRPr="006E3885">
              <w:rPr>
                <w:rFonts w:eastAsia="Times New Roman"/>
                <w:b/>
                <w:bCs/>
                <w:lang w:val="fr-FR" w:eastAsia="en-GB"/>
              </w:rPr>
              <w:t>Camp / Situation</w:t>
            </w:r>
          </w:p>
        </w:tc>
        <w:tc>
          <w:tcPr>
            <w:tcW w:w="60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97D272A" w14:textId="73C24451" w:rsidR="006E3885" w:rsidRPr="006E3885" w:rsidRDefault="006E3885" w:rsidP="006E3885">
            <w:pPr>
              <w:spacing w:after="0" w:line="240" w:lineRule="auto"/>
              <w:jc w:val="center"/>
              <w:rPr>
                <w:rFonts w:eastAsia="Times New Roman"/>
                <w:b/>
                <w:bCs/>
                <w:lang w:val="fr-FR" w:eastAsia="en-GB"/>
              </w:rPr>
            </w:pPr>
            <w:r w:rsidRPr="006E3885">
              <w:rPr>
                <w:rFonts w:eastAsia="Times New Roman"/>
                <w:b/>
                <w:bCs/>
                <w:lang w:val="fr-FR" w:eastAsia="en-GB"/>
              </w:rPr>
              <w:t>Altitude (en pied)</w:t>
            </w:r>
          </w:p>
        </w:tc>
        <w:tc>
          <w:tcPr>
            <w:tcW w:w="6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53804E" w14:textId="77777777" w:rsidR="006E3885" w:rsidRPr="006E3885" w:rsidRDefault="006E3885" w:rsidP="006E3885">
            <w:pPr>
              <w:spacing w:after="0" w:line="240" w:lineRule="auto"/>
              <w:jc w:val="center"/>
              <w:rPr>
                <w:rFonts w:eastAsia="Times New Roman"/>
                <w:b/>
                <w:bCs/>
                <w:lang w:val="fr-FR" w:eastAsia="en-GB"/>
              </w:rPr>
            </w:pPr>
            <w:r w:rsidRPr="006E3885">
              <w:rPr>
                <w:rFonts w:eastAsia="Times New Roman"/>
                <w:b/>
                <w:bCs/>
                <w:lang w:val="fr-FR" w:eastAsia="en-GB"/>
              </w:rPr>
              <w:t>Altitude</w:t>
            </w:r>
          </w:p>
          <w:p w14:paraId="515460A8" w14:textId="0D6DF44D" w:rsidR="006E3885" w:rsidRPr="006E3885" w:rsidRDefault="006E3885" w:rsidP="006E3885">
            <w:pPr>
              <w:spacing w:after="0" w:line="240" w:lineRule="auto"/>
              <w:jc w:val="center"/>
              <w:rPr>
                <w:rFonts w:eastAsia="Times New Roman"/>
                <w:b/>
                <w:bCs/>
                <w:lang w:val="fr-FR" w:eastAsia="en-GB"/>
              </w:rPr>
            </w:pPr>
            <w:r w:rsidRPr="006E3885">
              <w:rPr>
                <w:rFonts w:eastAsia="Times New Roman"/>
                <w:b/>
                <w:bCs/>
                <w:lang w:val="fr-FR" w:eastAsia="en-GB"/>
              </w:rPr>
              <w:t>(en mètres)</w:t>
            </w:r>
          </w:p>
        </w:tc>
        <w:tc>
          <w:tcPr>
            <w:tcW w:w="97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D0CE42D" w14:textId="16B9A88E" w:rsidR="006E3885" w:rsidRPr="006E3885" w:rsidRDefault="006E3885" w:rsidP="006E3885">
            <w:pPr>
              <w:spacing w:after="0" w:line="240" w:lineRule="auto"/>
              <w:jc w:val="center"/>
              <w:rPr>
                <w:rFonts w:eastAsia="Times New Roman"/>
                <w:b/>
                <w:bCs/>
                <w:lang w:val="fr-FR" w:eastAsia="en-GB"/>
              </w:rPr>
            </w:pPr>
            <w:r w:rsidRPr="006E3885">
              <w:rPr>
                <w:rFonts w:eastAsia="Times New Roman"/>
                <w:b/>
                <w:bCs/>
                <w:lang w:val="fr-FR" w:eastAsia="en-GB"/>
              </w:rPr>
              <w:t>Réduction de la concentration individuelle en Hb (g/dl)</w:t>
            </w:r>
          </w:p>
        </w:tc>
      </w:tr>
      <w:tr w:rsidR="006E3885" w:rsidRPr="006E3885" w14:paraId="1F899D78"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54E290E6"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Afghanistan</w:t>
            </w:r>
          </w:p>
        </w:tc>
        <w:tc>
          <w:tcPr>
            <w:tcW w:w="1080" w:type="pct"/>
            <w:tcBorders>
              <w:top w:val="nil"/>
              <w:left w:val="nil"/>
              <w:bottom w:val="single" w:sz="4" w:space="0" w:color="auto"/>
              <w:right w:val="single" w:sz="4" w:space="0" w:color="auto"/>
            </w:tcBorders>
            <w:shd w:val="clear" w:color="auto" w:fill="auto"/>
            <w:noWrap/>
            <w:vAlign w:val="center"/>
          </w:tcPr>
          <w:p w14:paraId="12DDAEA9" w14:textId="77777777" w:rsidR="006E3885" w:rsidRPr="006E3885" w:rsidRDefault="006E3885" w:rsidP="00422D3A">
            <w:pPr>
              <w:spacing w:after="0" w:line="240" w:lineRule="auto"/>
              <w:rPr>
                <w:rFonts w:eastAsia="Times New Roman" w:cs="Calibri"/>
                <w:lang w:val="fr-FR" w:eastAsia="en-GB"/>
              </w:rPr>
            </w:pPr>
            <w:proofErr w:type="spellStart"/>
            <w:r w:rsidRPr="006E3885">
              <w:rPr>
                <w:rFonts w:cs="Calibri"/>
                <w:color w:val="000000"/>
                <w:lang w:val="fr-FR"/>
              </w:rPr>
              <w:t>Gulan</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5D823A79"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4247</w:t>
            </w:r>
          </w:p>
        </w:tc>
        <w:tc>
          <w:tcPr>
            <w:tcW w:w="684" w:type="pct"/>
            <w:tcBorders>
              <w:top w:val="nil"/>
              <w:left w:val="nil"/>
              <w:bottom w:val="single" w:sz="4" w:space="0" w:color="auto"/>
              <w:right w:val="single" w:sz="4" w:space="0" w:color="auto"/>
            </w:tcBorders>
            <w:shd w:val="clear" w:color="auto" w:fill="auto"/>
            <w:noWrap/>
            <w:vAlign w:val="center"/>
          </w:tcPr>
          <w:p w14:paraId="680A0CD2"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1294.51</w:t>
            </w:r>
          </w:p>
        </w:tc>
        <w:tc>
          <w:tcPr>
            <w:tcW w:w="972" w:type="pct"/>
            <w:tcBorders>
              <w:top w:val="nil"/>
              <w:left w:val="nil"/>
              <w:bottom w:val="single" w:sz="4" w:space="0" w:color="auto"/>
              <w:right w:val="single" w:sz="4" w:space="0" w:color="auto"/>
            </w:tcBorders>
            <w:vAlign w:val="center"/>
          </w:tcPr>
          <w:p w14:paraId="649ABE76"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-0.2</w:t>
            </w:r>
          </w:p>
        </w:tc>
      </w:tr>
      <w:tr w:rsidR="006E3885" w:rsidRPr="006E3885" w14:paraId="4E01B71D"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4276729B"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Burundi</w:t>
            </w:r>
          </w:p>
        </w:tc>
        <w:tc>
          <w:tcPr>
            <w:tcW w:w="1080" w:type="pct"/>
            <w:tcBorders>
              <w:top w:val="nil"/>
              <w:left w:val="nil"/>
              <w:bottom w:val="single" w:sz="4" w:space="0" w:color="auto"/>
              <w:right w:val="single" w:sz="4" w:space="0" w:color="auto"/>
            </w:tcBorders>
            <w:shd w:val="clear" w:color="auto" w:fill="auto"/>
            <w:noWrap/>
            <w:vAlign w:val="center"/>
          </w:tcPr>
          <w:p w14:paraId="55178F15"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Gasorwe / Kinama</w:t>
            </w:r>
          </w:p>
        </w:tc>
        <w:tc>
          <w:tcPr>
            <w:tcW w:w="608" w:type="pct"/>
            <w:tcBorders>
              <w:top w:val="nil"/>
              <w:left w:val="nil"/>
              <w:bottom w:val="single" w:sz="4" w:space="0" w:color="auto"/>
              <w:right w:val="single" w:sz="4" w:space="0" w:color="auto"/>
            </w:tcBorders>
            <w:shd w:val="clear" w:color="auto" w:fill="auto"/>
            <w:noWrap/>
            <w:vAlign w:val="center"/>
          </w:tcPr>
          <w:p w14:paraId="03D8EC41"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5626</w:t>
            </w:r>
          </w:p>
        </w:tc>
        <w:tc>
          <w:tcPr>
            <w:tcW w:w="684" w:type="pct"/>
            <w:tcBorders>
              <w:top w:val="nil"/>
              <w:left w:val="nil"/>
              <w:bottom w:val="single" w:sz="4" w:space="0" w:color="auto"/>
              <w:right w:val="single" w:sz="4" w:space="0" w:color="auto"/>
            </w:tcBorders>
            <w:shd w:val="clear" w:color="auto" w:fill="auto"/>
            <w:noWrap/>
            <w:vAlign w:val="center"/>
          </w:tcPr>
          <w:p w14:paraId="33EC2200"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1714.74</w:t>
            </w:r>
          </w:p>
        </w:tc>
        <w:tc>
          <w:tcPr>
            <w:tcW w:w="972" w:type="pct"/>
            <w:tcBorders>
              <w:top w:val="nil"/>
              <w:left w:val="nil"/>
              <w:bottom w:val="single" w:sz="4" w:space="0" w:color="auto"/>
              <w:right w:val="single" w:sz="4" w:space="0" w:color="auto"/>
            </w:tcBorders>
            <w:vAlign w:val="center"/>
          </w:tcPr>
          <w:p w14:paraId="04E1302C"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-0.5</w:t>
            </w:r>
          </w:p>
        </w:tc>
      </w:tr>
      <w:tr w:rsidR="006E3885" w:rsidRPr="006E3885" w14:paraId="3BE8B946"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32DAB70B"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Burundi</w:t>
            </w:r>
          </w:p>
        </w:tc>
        <w:tc>
          <w:tcPr>
            <w:tcW w:w="1080" w:type="pct"/>
            <w:tcBorders>
              <w:top w:val="nil"/>
              <w:left w:val="nil"/>
              <w:bottom w:val="single" w:sz="4" w:space="0" w:color="auto"/>
              <w:right w:val="single" w:sz="4" w:space="0" w:color="auto"/>
            </w:tcBorders>
            <w:shd w:val="clear" w:color="auto" w:fill="auto"/>
            <w:noWrap/>
            <w:vAlign w:val="center"/>
          </w:tcPr>
          <w:p w14:paraId="0BACDCDE"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Kavumu</w:t>
            </w:r>
          </w:p>
        </w:tc>
        <w:tc>
          <w:tcPr>
            <w:tcW w:w="608" w:type="pct"/>
            <w:tcBorders>
              <w:top w:val="nil"/>
              <w:left w:val="nil"/>
              <w:bottom w:val="single" w:sz="4" w:space="0" w:color="auto"/>
              <w:right w:val="single" w:sz="4" w:space="0" w:color="auto"/>
            </w:tcBorders>
            <w:shd w:val="clear" w:color="auto" w:fill="auto"/>
            <w:noWrap/>
            <w:vAlign w:val="center"/>
          </w:tcPr>
          <w:p w14:paraId="01A1E926"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5452</w:t>
            </w:r>
          </w:p>
        </w:tc>
        <w:tc>
          <w:tcPr>
            <w:tcW w:w="684" w:type="pct"/>
            <w:tcBorders>
              <w:top w:val="nil"/>
              <w:left w:val="nil"/>
              <w:bottom w:val="single" w:sz="4" w:space="0" w:color="auto"/>
              <w:right w:val="single" w:sz="4" w:space="0" w:color="auto"/>
            </w:tcBorders>
            <w:shd w:val="clear" w:color="auto" w:fill="auto"/>
            <w:noWrap/>
            <w:vAlign w:val="center"/>
          </w:tcPr>
          <w:p w14:paraId="3B7A08A2"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1661.88</w:t>
            </w:r>
          </w:p>
        </w:tc>
        <w:tc>
          <w:tcPr>
            <w:tcW w:w="972" w:type="pct"/>
            <w:tcBorders>
              <w:top w:val="nil"/>
              <w:left w:val="nil"/>
              <w:bottom w:val="single" w:sz="4" w:space="0" w:color="auto"/>
              <w:right w:val="single" w:sz="4" w:space="0" w:color="auto"/>
            </w:tcBorders>
            <w:vAlign w:val="center"/>
          </w:tcPr>
          <w:p w14:paraId="53AA00AC"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-0.5</w:t>
            </w:r>
          </w:p>
        </w:tc>
      </w:tr>
      <w:tr w:rsidR="006E3885" w:rsidRPr="006E3885" w14:paraId="10EB13CA"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6A1896C2"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Burundi</w:t>
            </w:r>
          </w:p>
        </w:tc>
        <w:tc>
          <w:tcPr>
            <w:tcW w:w="1080" w:type="pct"/>
            <w:tcBorders>
              <w:top w:val="nil"/>
              <w:left w:val="nil"/>
              <w:bottom w:val="single" w:sz="4" w:space="0" w:color="auto"/>
              <w:right w:val="single" w:sz="4" w:space="0" w:color="auto"/>
            </w:tcBorders>
            <w:shd w:val="clear" w:color="auto" w:fill="auto"/>
            <w:noWrap/>
            <w:vAlign w:val="center"/>
          </w:tcPr>
          <w:p w14:paraId="4C5C72A2"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Musasa</w:t>
            </w:r>
          </w:p>
        </w:tc>
        <w:tc>
          <w:tcPr>
            <w:tcW w:w="608" w:type="pct"/>
            <w:tcBorders>
              <w:top w:val="nil"/>
              <w:left w:val="nil"/>
              <w:bottom w:val="single" w:sz="4" w:space="0" w:color="auto"/>
              <w:right w:val="single" w:sz="4" w:space="0" w:color="auto"/>
            </w:tcBorders>
            <w:shd w:val="clear" w:color="auto" w:fill="auto"/>
            <w:noWrap/>
            <w:vAlign w:val="center"/>
          </w:tcPr>
          <w:p w14:paraId="11A688BF"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5769</w:t>
            </w:r>
          </w:p>
        </w:tc>
        <w:tc>
          <w:tcPr>
            <w:tcW w:w="684" w:type="pct"/>
            <w:tcBorders>
              <w:top w:val="nil"/>
              <w:left w:val="nil"/>
              <w:bottom w:val="single" w:sz="4" w:space="0" w:color="auto"/>
              <w:right w:val="single" w:sz="4" w:space="0" w:color="auto"/>
            </w:tcBorders>
            <w:shd w:val="clear" w:color="auto" w:fill="auto"/>
            <w:noWrap/>
            <w:vAlign w:val="center"/>
          </w:tcPr>
          <w:p w14:paraId="3CD8BD56"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1758.36</w:t>
            </w:r>
          </w:p>
        </w:tc>
        <w:tc>
          <w:tcPr>
            <w:tcW w:w="972" w:type="pct"/>
            <w:tcBorders>
              <w:top w:val="nil"/>
              <w:left w:val="nil"/>
              <w:bottom w:val="single" w:sz="4" w:space="0" w:color="auto"/>
              <w:right w:val="single" w:sz="4" w:space="0" w:color="auto"/>
            </w:tcBorders>
            <w:vAlign w:val="center"/>
          </w:tcPr>
          <w:p w14:paraId="61E45DB0"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-0.6</w:t>
            </w:r>
          </w:p>
        </w:tc>
      </w:tr>
      <w:tr w:rsidR="006E3885" w:rsidRPr="006E3885" w14:paraId="6DD160BD"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2562E09C"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Burundi</w:t>
            </w:r>
          </w:p>
        </w:tc>
        <w:tc>
          <w:tcPr>
            <w:tcW w:w="1080" w:type="pct"/>
            <w:tcBorders>
              <w:top w:val="nil"/>
              <w:left w:val="nil"/>
              <w:bottom w:val="single" w:sz="4" w:space="0" w:color="auto"/>
              <w:right w:val="single" w:sz="4" w:space="0" w:color="auto"/>
            </w:tcBorders>
            <w:shd w:val="clear" w:color="auto" w:fill="auto"/>
            <w:noWrap/>
            <w:vAlign w:val="center"/>
          </w:tcPr>
          <w:p w14:paraId="5D4F8B4D"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Bwagiriza</w:t>
            </w:r>
          </w:p>
        </w:tc>
        <w:tc>
          <w:tcPr>
            <w:tcW w:w="608" w:type="pct"/>
            <w:tcBorders>
              <w:top w:val="nil"/>
              <w:left w:val="nil"/>
              <w:bottom w:val="single" w:sz="4" w:space="0" w:color="auto"/>
              <w:right w:val="single" w:sz="4" w:space="0" w:color="auto"/>
            </w:tcBorders>
            <w:shd w:val="clear" w:color="auto" w:fill="auto"/>
            <w:noWrap/>
            <w:vAlign w:val="center"/>
          </w:tcPr>
          <w:p w14:paraId="4F9FDF84"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5094</w:t>
            </w:r>
          </w:p>
        </w:tc>
        <w:tc>
          <w:tcPr>
            <w:tcW w:w="684" w:type="pct"/>
            <w:tcBorders>
              <w:top w:val="nil"/>
              <w:left w:val="nil"/>
              <w:bottom w:val="single" w:sz="4" w:space="0" w:color="auto"/>
              <w:right w:val="single" w:sz="4" w:space="0" w:color="auto"/>
            </w:tcBorders>
            <w:shd w:val="clear" w:color="auto" w:fill="auto"/>
            <w:noWrap/>
            <w:vAlign w:val="center"/>
          </w:tcPr>
          <w:p w14:paraId="434E9CED"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1552.78</w:t>
            </w:r>
          </w:p>
        </w:tc>
        <w:tc>
          <w:tcPr>
            <w:tcW w:w="972" w:type="pct"/>
            <w:tcBorders>
              <w:top w:val="nil"/>
              <w:left w:val="nil"/>
              <w:bottom w:val="single" w:sz="4" w:space="0" w:color="auto"/>
              <w:right w:val="single" w:sz="4" w:space="0" w:color="auto"/>
            </w:tcBorders>
            <w:vAlign w:val="center"/>
          </w:tcPr>
          <w:p w14:paraId="39E6FEFF"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-0.4</w:t>
            </w:r>
          </w:p>
        </w:tc>
      </w:tr>
      <w:tr w:rsidR="006E3885" w:rsidRPr="006E3885" w14:paraId="675DB7CA"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4A940330" w14:textId="6D9D83DD"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2B4B286C"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Sherkole</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7D5A84DB"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4099</w:t>
            </w:r>
          </w:p>
        </w:tc>
        <w:tc>
          <w:tcPr>
            <w:tcW w:w="684" w:type="pct"/>
            <w:tcBorders>
              <w:top w:val="nil"/>
              <w:left w:val="nil"/>
              <w:bottom w:val="single" w:sz="4" w:space="0" w:color="auto"/>
              <w:right w:val="single" w:sz="4" w:space="0" w:color="auto"/>
            </w:tcBorders>
            <w:shd w:val="clear" w:color="auto" w:fill="auto"/>
            <w:noWrap/>
            <w:vAlign w:val="center"/>
          </w:tcPr>
          <w:p w14:paraId="14A7CCA8"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1249.40</w:t>
            </w:r>
          </w:p>
        </w:tc>
        <w:tc>
          <w:tcPr>
            <w:tcW w:w="972" w:type="pct"/>
            <w:tcBorders>
              <w:top w:val="nil"/>
              <w:left w:val="nil"/>
              <w:bottom w:val="single" w:sz="4" w:space="0" w:color="auto"/>
              <w:right w:val="single" w:sz="4" w:space="0" w:color="auto"/>
            </w:tcBorders>
            <w:vAlign w:val="center"/>
          </w:tcPr>
          <w:p w14:paraId="04630FB1"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-0.2</w:t>
            </w:r>
          </w:p>
        </w:tc>
      </w:tr>
      <w:tr w:rsidR="006E3885" w:rsidRPr="006E3885" w14:paraId="64A7EE62"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1160ACF5" w14:textId="66A6BCF9"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44D7EE0C"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Sheder</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2AD4214C"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5648</w:t>
            </w:r>
          </w:p>
        </w:tc>
        <w:tc>
          <w:tcPr>
            <w:tcW w:w="684" w:type="pct"/>
            <w:tcBorders>
              <w:top w:val="nil"/>
              <w:left w:val="nil"/>
              <w:bottom w:val="single" w:sz="4" w:space="0" w:color="auto"/>
              <w:right w:val="single" w:sz="4" w:space="0" w:color="auto"/>
            </w:tcBorders>
            <w:shd w:val="clear" w:color="auto" w:fill="auto"/>
            <w:noWrap/>
            <w:vAlign w:val="center"/>
          </w:tcPr>
          <w:p w14:paraId="270E1968"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1721.58</w:t>
            </w:r>
          </w:p>
        </w:tc>
        <w:tc>
          <w:tcPr>
            <w:tcW w:w="972" w:type="pct"/>
            <w:tcBorders>
              <w:top w:val="nil"/>
              <w:left w:val="nil"/>
              <w:bottom w:val="single" w:sz="4" w:space="0" w:color="auto"/>
              <w:right w:val="single" w:sz="4" w:space="0" w:color="auto"/>
            </w:tcBorders>
            <w:vAlign w:val="center"/>
          </w:tcPr>
          <w:p w14:paraId="62F1787B"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-0.5</w:t>
            </w:r>
          </w:p>
        </w:tc>
      </w:tr>
      <w:tr w:rsidR="006E3885" w:rsidRPr="006E3885" w14:paraId="4641B1E8"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19710E6E" w14:textId="64966F87"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214349DC"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Tongo</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2D7543BB"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5913</w:t>
            </w:r>
          </w:p>
        </w:tc>
        <w:tc>
          <w:tcPr>
            <w:tcW w:w="684" w:type="pct"/>
            <w:tcBorders>
              <w:top w:val="nil"/>
              <w:left w:val="nil"/>
              <w:bottom w:val="single" w:sz="4" w:space="0" w:color="auto"/>
              <w:right w:val="single" w:sz="4" w:space="0" w:color="auto"/>
            </w:tcBorders>
            <w:shd w:val="clear" w:color="auto" w:fill="auto"/>
            <w:noWrap/>
            <w:vAlign w:val="center"/>
          </w:tcPr>
          <w:p w14:paraId="06B4295D"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1802.25</w:t>
            </w:r>
          </w:p>
        </w:tc>
        <w:tc>
          <w:tcPr>
            <w:tcW w:w="972" w:type="pct"/>
            <w:tcBorders>
              <w:top w:val="nil"/>
              <w:left w:val="nil"/>
              <w:bottom w:val="single" w:sz="4" w:space="0" w:color="auto"/>
              <w:right w:val="single" w:sz="4" w:space="0" w:color="auto"/>
            </w:tcBorders>
            <w:vAlign w:val="center"/>
          </w:tcPr>
          <w:p w14:paraId="48A392C0"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-0.6</w:t>
            </w:r>
          </w:p>
        </w:tc>
      </w:tr>
      <w:tr w:rsidR="006E3885" w:rsidRPr="006E3885" w14:paraId="2F799936"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6152E92C" w14:textId="3F4000F7"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44C8194C"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Bambasi</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4B7F4A0E"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4677</w:t>
            </w:r>
          </w:p>
        </w:tc>
        <w:tc>
          <w:tcPr>
            <w:tcW w:w="684" w:type="pct"/>
            <w:tcBorders>
              <w:top w:val="nil"/>
              <w:left w:val="nil"/>
              <w:bottom w:val="single" w:sz="4" w:space="0" w:color="auto"/>
              <w:right w:val="single" w:sz="4" w:space="0" w:color="auto"/>
            </w:tcBorders>
            <w:shd w:val="clear" w:color="auto" w:fill="auto"/>
            <w:noWrap/>
            <w:vAlign w:val="center"/>
          </w:tcPr>
          <w:p w14:paraId="6D48E5EE"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1425.61</w:t>
            </w:r>
          </w:p>
        </w:tc>
        <w:tc>
          <w:tcPr>
            <w:tcW w:w="972" w:type="pct"/>
            <w:tcBorders>
              <w:top w:val="nil"/>
              <w:left w:val="nil"/>
              <w:bottom w:val="single" w:sz="4" w:space="0" w:color="auto"/>
              <w:right w:val="single" w:sz="4" w:space="0" w:color="auto"/>
            </w:tcBorders>
            <w:vAlign w:val="center"/>
          </w:tcPr>
          <w:p w14:paraId="20A9DC6A"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-0.3</w:t>
            </w:r>
          </w:p>
        </w:tc>
      </w:tr>
      <w:tr w:rsidR="006E3885" w:rsidRPr="006E3885" w14:paraId="6B5A29BC"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66F78A20" w14:textId="4C25BD85"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417AE1D7"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Tsore</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2236C462"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5094</w:t>
            </w:r>
          </w:p>
        </w:tc>
        <w:tc>
          <w:tcPr>
            <w:tcW w:w="684" w:type="pct"/>
            <w:tcBorders>
              <w:top w:val="nil"/>
              <w:left w:val="nil"/>
              <w:bottom w:val="single" w:sz="4" w:space="0" w:color="auto"/>
              <w:right w:val="single" w:sz="4" w:space="0" w:color="auto"/>
            </w:tcBorders>
            <w:shd w:val="clear" w:color="auto" w:fill="auto"/>
            <w:noWrap/>
            <w:vAlign w:val="center"/>
          </w:tcPr>
          <w:p w14:paraId="2A189DD3"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1552.63</w:t>
            </w:r>
          </w:p>
        </w:tc>
        <w:tc>
          <w:tcPr>
            <w:tcW w:w="972" w:type="pct"/>
            <w:tcBorders>
              <w:top w:val="nil"/>
              <w:left w:val="nil"/>
              <w:bottom w:val="single" w:sz="4" w:space="0" w:color="auto"/>
              <w:right w:val="single" w:sz="4" w:space="0" w:color="auto"/>
            </w:tcBorders>
            <w:vAlign w:val="center"/>
          </w:tcPr>
          <w:p w14:paraId="0D6B604D"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-0.4</w:t>
            </w:r>
          </w:p>
        </w:tc>
      </w:tr>
      <w:tr w:rsidR="006E3885" w:rsidRPr="006E3885" w14:paraId="3A2570C0"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7D00013D" w14:textId="7FAA3C9C"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043C6964" w14:textId="77777777" w:rsidR="006E3885" w:rsidRPr="006E3885" w:rsidRDefault="006E3885" w:rsidP="006E3885">
            <w:pPr>
              <w:spacing w:after="0" w:line="240" w:lineRule="auto"/>
              <w:rPr>
                <w:rFonts w:eastAsia="Times New Roman" w:cs="Calibri"/>
                <w:lang w:val="fr-FR" w:eastAsia="en-GB"/>
              </w:rPr>
            </w:pPr>
            <w:r w:rsidRPr="006E3885">
              <w:rPr>
                <w:rFonts w:cs="Calibri"/>
                <w:color w:val="000000"/>
                <w:lang w:val="fr-FR"/>
              </w:rPr>
              <w:t xml:space="preserve">Mai </w:t>
            </w:r>
            <w:proofErr w:type="spellStart"/>
            <w:r w:rsidRPr="006E3885">
              <w:rPr>
                <w:rFonts w:cs="Calibri"/>
                <w:color w:val="000000"/>
                <w:lang w:val="fr-FR"/>
              </w:rPr>
              <w:t>Aini</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1CA3C7EB"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5224</w:t>
            </w:r>
          </w:p>
        </w:tc>
        <w:tc>
          <w:tcPr>
            <w:tcW w:w="684" w:type="pct"/>
            <w:tcBorders>
              <w:top w:val="nil"/>
              <w:left w:val="nil"/>
              <w:bottom w:val="single" w:sz="4" w:space="0" w:color="auto"/>
              <w:right w:val="single" w:sz="4" w:space="0" w:color="auto"/>
            </w:tcBorders>
            <w:shd w:val="clear" w:color="auto" w:fill="auto"/>
            <w:noWrap/>
            <w:vAlign w:val="center"/>
          </w:tcPr>
          <w:p w14:paraId="52394AC0"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1592.14</w:t>
            </w:r>
          </w:p>
        </w:tc>
        <w:tc>
          <w:tcPr>
            <w:tcW w:w="972" w:type="pct"/>
            <w:tcBorders>
              <w:top w:val="nil"/>
              <w:left w:val="nil"/>
              <w:bottom w:val="single" w:sz="4" w:space="0" w:color="auto"/>
              <w:right w:val="single" w:sz="4" w:space="0" w:color="auto"/>
            </w:tcBorders>
            <w:vAlign w:val="center"/>
          </w:tcPr>
          <w:p w14:paraId="7AF5936B"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-0.4</w:t>
            </w:r>
          </w:p>
        </w:tc>
      </w:tr>
      <w:tr w:rsidR="006E3885" w:rsidRPr="006E3885" w14:paraId="646A9561"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49633969" w14:textId="0C21A48F"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7E9E4BCE"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Kebribeyah</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19CF15CC"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5688</w:t>
            </w:r>
          </w:p>
        </w:tc>
        <w:tc>
          <w:tcPr>
            <w:tcW w:w="684" w:type="pct"/>
            <w:tcBorders>
              <w:top w:val="nil"/>
              <w:left w:val="nil"/>
              <w:bottom w:val="single" w:sz="4" w:space="0" w:color="auto"/>
              <w:right w:val="single" w:sz="4" w:space="0" w:color="auto"/>
            </w:tcBorders>
            <w:shd w:val="clear" w:color="auto" w:fill="auto"/>
            <w:noWrap/>
            <w:vAlign w:val="center"/>
          </w:tcPr>
          <w:p w14:paraId="3884059B"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1733.81</w:t>
            </w:r>
          </w:p>
        </w:tc>
        <w:tc>
          <w:tcPr>
            <w:tcW w:w="972" w:type="pct"/>
            <w:tcBorders>
              <w:top w:val="nil"/>
              <w:left w:val="nil"/>
              <w:bottom w:val="single" w:sz="4" w:space="0" w:color="auto"/>
              <w:right w:val="single" w:sz="4" w:space="0" w:color="auto"/>
            </w:tcBorders>
            <w:vAlign w:val="center"/>
          </w:tcPr>
          <w:p w14:paraId="3BD7E4A0"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-0.5</w:t>
            </w:r>
          </w:p>
        </w:tc>
      </w:tr>
      <w:tr w:rsidR="006E3885" w:rsidRPr="006E3885" w14:paraId="7DF1D8EE"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67F1A079" w14:textId="3E125D5A"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3BA633EC"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Aw</w:t>
            </w:r>
            <w:proofErr w:type="spellEnd"/>
            <w:r w:rsidRPr="006E3885">
              <w:rPr>
                <w:rFonts w:cs="Calibri"/>
                <w:color w:val="000000"/>
                <w:lang w:val="fr-FR"/>
              </w:rPr>
              <w:t>-barre</w:t>
            </w:r>
          </w:p>
        </w:tc>
        <w:tc>
          <w:tcPr>
            <w:tcW w:w="608" w:type="pct"/>
            <w:tcBorders>
              <w:top w:val="nil"/>
              <w:left w:val="nil"/>
              <w:bottom w:val="single" w:sz="4" w:space="0" w:color="auto"/>
              <w:right w:val="single" w:sz="4" w:space="0" w:color="auto"/>
            </w:tcBorders>
            <w:shd w:val="clear" w:color="auto" w:fill="auto"/>
            <w:noWrap/>
            <w:vAlign w:val="center"/>
          </w:tcPr>
          <w:p w14:paraId="7222C923"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5287</w:t>
            </w:r>
          </w:p>
        </w:tc>
        <w:tc>
          <w:tcPr>
            <w:tcW w:w="684" w:type="pct"/>
            <w:tcBorders>
              <w:top w:val="nil"/>
              <w:left w:val="nil"/>
              <w:bottom w:val="single" w:sz="4" w:space="0" w:color="auto"/>
              <w:right w:val="single" w:sz="4" w:space="0" w:color="auto"/>
            </w:tcBorders>
            <w:shd w:val="clear" w:color="auto" w:fill="auto"/>
            <w:noWrap/>
            <w:vAlign w:val="center"/>
          </w:tcPr>
          <w:p w14:paraId="3B8B2CD7"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1611.45</w:t>
            </w:r>
          </w:p>
        </w:tc>
        <w:tc>
          <w:tcPr>
            <w:tcW w:w="972" w:type="pct"/>
            <w:tcBorders>
              <w:top w:val="nil"/>
              <w:left w:val="nil"/>
              <w:bottom w:val="single" w:sz="4" w:space="0" w:color="auto"/>
              <w:right w:val="single" w:sz="4" w:space="0" w:color="auto"/>
            </w:tcBorders>
            <w:vAlign w:val="center"/>
          </w:tcPr>
          <w:p w14:paraId="654407F3"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-0.5</w:t>
            </w:r>
          </w:p>
        </w:tc>
      </w:tr>
      <w:tr w:rsidR="006E3885" w:rsidRPr="006E3885" w14:paraId="758DCDC6"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421C12A1" w14:textId="07A7F4AF"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4A03812E" w14:textId="77777777" w:rsidR="006E3885" w:rsidRPr="006E3885" w:rsidRDefault="006E3885" w:rsidP="006E3885">
            <w:pPr>
              <w:spacing w:after="0" w:line="240" w:lineRule="auto"/>
              <w:rPr>
                <w:rFonts w:eastAsia="Times New Roman" w:cs="Calibri"/>
                <w:lang w:val="fr-FR" w:eastAsia="en-GB"/>
              </w:rPr>
            </w:pPr>
            <w:r w:rsidRPr="006E3885">
              <w:rPr>
                <w:rFonts w:cs="Calibri"/>
                <w:color w:val="000000"/>
                <w:lang w:val="fr-FR"/>
              </w:rPr>
              <w:t xml:space="preserve">Adi </w:t>
            </w:r>
            <w:proofErr w:type="spellStart"/>
            <w:r w:rsidRPr="006E3885">
              <w:rPr>
                <w:rFonts w:cs="Calibri"/>
                <w:color w:val="000000"/>
                <w:lang w:val="fr-FR"/>
              </w:rPr>
              <w:t>Harush</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037FA1A0"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4409</w:t>
            </w:r>
          </w:p>
        </w:tc>
        <w:tc>
          <w:tcPr>
            <w:tcW w:w="684" w:type="pct"/>
            <w:tcBorders>
              <w:top w:val="nil"/>
              <w:left w:val="nil"/>
              <w:bottom w:val="single" w:sz="4" w:space="0" w:color="auto"/>
              <w:right w:val="single" w:sz="4" w:space="0" w:color="auto"/>
            </w:tcBorders>
            <w:shd w:val="clear" w:color="auto" w:fill="auto"/>
            <w:noWrap/>
            <w:vAlign w:val="center"/>
          </w:tcPr>
          <w:p w14:paraId="5268176B"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1343.78</w:t>
            </w:r>
          </w:p>
        </w:tc>
        <w:tc>
          <w:tcPr>
            <w:tcW w:w="972" w:type="pct"/>
            <w:tcBorders>
              <w:top w:val="nil"/>
              <w:left w:val="nil"/>
              <w:bottom w:val="single" w:sz="4" w:space="0" w:color="auto"/>
              <w:right w:val="single" w:sz="4" w:space="0" w:color="auto"/>
            </w:tcBorders>
            <w:vAlign w:val="center"/>
          </w:tcPr>
          <w:p w14:paraId="7E5748B9"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-0.3</w:t>
            </w:r>
          </w:p>
        </w:tc>
      </w:tr>
      <w:tr w:rsidR="006E3885" w:rsidRPr="006E3885" w14:paraId="0D2ACD50"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5C1C2CC6" w14:textId="4F745999"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3FEE8DE8"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Shimelba</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3DC6DF4A"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3374</w:t>
            </w:r>
          </w:p>
        </w:tc>
        <w:tc>
          <w:tcPr>
            <w:tcW w:w="684" w:type="pct"/>
            <w:tcBorders>
              <w:top w:val="nil"/>
              <w:left w:val="nil"/>
              <w:bottom w:val="single" w:sz="4" w:space="0" w:color="auto"/>
              <w:right w:val="single" w:sz="4" w:space="0" w:color="auto"/>
            </w:tcBorders>
            <w:shd w:val="clear" w:color="auto" w:fill="auto"/>
            <w:noWrap/>
            <w:vAlign w:val="center"/>
          </w:tcPr>
          <w:p w14:paraId="1170E3D7"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1028.29</w:t>
            </w:r>
          </w:p>
        </w:tc>
        <w:tc>
          <w:tcPr>
            <w:tcW w:w="972" w:type="pct"/>
            <w:tcBorders>
              <w:top w:val="nil"/>
              <w:left w:val="nil"/>
              <w:bottom w:val="single" w:sz="4" w:space="0" w:color="auto"/>
              <w:right w:val="single" w:sz="4" w:space="0" w:color="auto"/>
            </w:tcBorders>
            <w:vAlign w:val="center"/>
          </w:tcPr>
          <w:p w14:paraId="32E16D4C"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-0.1</w:t>
            </w:r>
          </w:p>
        </w:tc>
      </w:tr>
      <w:tr w:rsidR="006E3885" w:rsidRPr="006E3885" w14:paraId="05A7AA6B"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3E131B3A" w14:textId="76FCDE29"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7E085D81"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Hitsats</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21F80B1C"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3477</w:t>
            </w:r>
          </w:p>
        </w:tc>
        <w:tc>
          <w:tcPr>
            <w:tcW w:w="684" w:type="pct"/>
            <w:tcBorders>
              <w:top w:val="nil"/>
              <w:left w:val="nil"/>
              <w:bottom w:val="single" w:sz="4" w:space="0" w:color="auto"/>
              <w:right w:val="single" w:sz="4" w:space="0" w:color="auto"/>
            </w:tcBorders>
            <w:shd w:val="clear" w:color="auto" w:fill="auto"/>
            <w:noWrap/>
            <w:vAlign w:val="center"/>
          </w:tcPr>
          <w:p w14:paraId="43CF04B8"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1059.81</w:t>
            </w:r>
          </w:p>
        </w:tc>
        <w:tc>
          <w:tcPr>
            <w:tcW w:w="972" w:type="pct"/>
            <w:tcBorders>
              <w:top w:val="nil"/>
              <w:left w:val="nil"/>
              <w:bottom w:val="single" w:sz="4" w:space="0" w:color="auto"/>
              <w:right w:val="single" w:sz="4" w:space="0" w:color="auto"/>
            </w:tcBorders>
            <w:vAlign w:val="center"/>
          </w:tcPr>
          <w:p w14:paraId="77F4CE9F"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-0.1</w:t>
            </w:r>
          </w:p>
        </w:tc>
      </w:tr>
      <w:tr w:rsidR="006E3885" w:rsidRPr="006E3885" w14:paraId="3F811533"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tcPr>
          <w:p w14:paraId="0C4179B4" w14:textId="0577E0E7" w:rsidR="006E3885" w:rsidRPr="006E3885" w:rsidRDefault="006E3885" w:rsidP="006E3885">
            <w:pPr>
              <w:spacing w:after="0" w:line="240" w:lineRule="auto"/>
              <w:rPr>
                <w:rFonts w:eastAsia="Times New Roman" w:cs="Calibri"/>
                <w:lang w:val="fr-FR" w:eastAsia="en-GB"/>
              </w:rPr>
            </w:pPr>
            <w:r w:rsidRPr="00F86AF8">
              <w:rPr>
                <w:rFonts w:cs="Calibri"/>
                <w:color w:val="000000"/>
                <w:lang w:val="fr-FR"/>
              </w:rPr>
              <w:t>Ethiopie</w:t>
            </w:r>
          </w:p>
        </w:tc>
        <w:tc>
          <w:tcPr>
            <w:tcW w:w="1080" w:type="pct"/>
            <w:tcBorders>
              <w:top w:val="nil"/>
              <w:left w:val="nil"/>
              <w:bottom w:val="single" w:sz="4" w:space="0" w:color="auto"/>
              <w:right w:val="single" w:sz="4" w:space="0" w:color="auto"/>
            </w:tcBorders>
            <w:shd w:val="clear" w:color="auto" w:fill="auto"/>
            <w:noWrap/>
            <w:vAlign w:val="center"/>
          </w:tcPr>
          <w:p w14:paraId="46E6B606" w14:textId="77777777" w:rsidR="006E3885" w:rsidRPr="006E3885" w:rsidRDefault="006E3885" w:rsidP="006E3885">
            <w:pPr>
              <w:spacing w:after="0" w:line="240" w:lineRule="auto"/>
              <w:rPr>
                <w:rFonts w:eastAsia="Times New Roman" w:cs="Calibri"/>
                <w:lang w:val="fr-FR" w:eastAsia="en-GB"/>
              </w:rPr>
            </w:pPr>
            <w:proofErr w:type="spellStart"/>
            <w:r w:rsidRPr="006E3885">
              <w:rPr>
                <w:rFonts w:cs="Calibri"/>
                <w:color w:val="000000"/>
                <w:lang w:val="fr-FR"/>
              </w:rPr>
              <w:t>Gure-Shombola</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1BE1D089"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4649</w:t>
            </w:r>
          </w:p>
        </w:tc>
        <w:tc>
          <w:tcPr>
            <w:tcW w:w="684" w:type="pct"/>
            <w:tcBorders>
              <w:top w:val="nil"/>
              <w:left w:val="nil"/>
              <w:bottom w:val="single" w:sz="4" w:space="0" w:color="auto"/>
              <w:right w:val="single" w:sz="4" w:space="0" w:color="auto"/>
            </w:tcBorders>
            <w:shd w:val="clear" w:color="auto" w:fill="auto"/>
            <w:noWrap/>
            <w:vAlign w:val="center"/>
          </w:tcPr>
          <w:p w14:paraId="4109CEC4"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1417.11</w:t>
            </w:r>
          </w:p>
        </w:tc>
        <w:tc>
          <w:tcPr>
            <w:tcW w:w="972" w:type="pct"/>
            <w:tcBorders>
              <w:top w:val="nil"/>
              <w:left w:val="nil"/>
              <w:bottom w:val="single" w:sz="4" w:space="0" w:color="auto"/>
              <w:right w:val="single" w:sz="4" w:space="0" w:color="auto"/>
            </w:tcBorders>
            <w:vAlign w:val="center"/>
          </w:tcPr>
          <w:p w14:paraId="304E1B7B" w14:textId="77777777" w:rsidR="006E3885" w:rsidRPr="006E3885" w:rsidRDefault="006E3885" w:rsidP="006E3885">
            <w:pPr>
              <w:spacing w:after="0" w:line="240" w:lineRule="auto"/>
              <w:jc w:val="center"/>
              <w:rPr>
                <w:rFonts w:eastAsia="Times New Roman" w:cs="Calibri"/>
                <w:lang w:val="fr-FR" w:eastAsia="en-GB"/>
              </w:rPr>
            </w:pPr>
            <w:r w:rsidRPr="006E3885">
              <w:rPr>
                <w:rFonts w:cs="Calibri"/>
                <w:color w:val="000000"/>
                <w:lang w:val="fr-FR"/>
              </w:rPr>
              <w:t>-0.3</w:t>
            </w:r>
          </w:p>
        </w:tc>
      </w:tr>
      <w:tr w:rsidR="006E3885" w:rsidRPr="006E3885" w14:paraId="524A76C7"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4B128CC3"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Malawi</w:t>
            </w:r>
          </w:p>
        </w:tc>
        <w:tc>
          <w:tcPr>
            <w:tcW w:w="1080" w:type="pct"/>
            <w:tcBorders>
              <w:top w:val="nil"/>
              <w:left w:val="nil"/>
              <w:bottom w:val="single" w:sz="4" w:space="0" w:color="auto"/>
              <w:right w:val="single" w:sz="4" w:space="0" w:color="auto"/>
            </w:tcBorders>
            <w:shd w:val="clear" w:color="auto" w:fill="auto"/>
            <w:noWrap/>
            <w:vAlign w:val="center"/>
          </w:tcPr>
          <w:p w14:paraId="21AEFF8A" w14:textId="77777777" w:rsidR="006E3885" w:rsidRPr="006E3885" w:rsidRDefault="006E3885" w:rsidP="00422D3A">
            <w:pPr>
              <w:spacing w:after="0" w:line="240" w:lineRule="auto"/>
              <w:rPr>
                <w:rFonts w:eastAsia="Times New Roman" w:cs="Calibri"/>
                <w:lang w:val="fr-FR" w:eastAsia="en-GB"/>
              </w:rPr>
            </w:pPr>
            <w:proofErr w:type="spellStart"/>
            <w:r w:rsidRPr="006E3885">
              <w:rPr>
                <w:rFonts w:cs="Calibri"/>
                <w:color w:val="000000"/>
                <w:lang w:val="fr-FR"/>
              </w:rPr>
              <w:t>Dzaleka</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518E1DC9"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4810</w:t>
            </w:r>
          </w:p>
        </w:tc>
        <w:tc>
          <w:tcPr>
            <w:tcW w:w="684" w:type="pct"/>
            <w:tcBorders>
              <w:top w:val="nil"/>
              <w:left w:val="nil"/>
              <w:bottom w:val="single" w:sz="4" w:space="0" w:color="auto"/>
              <w:right w:val="single" w:sz="4" w:space="0" w:color="auto"/>
            </w:tcBorders>
            <w:shd w:val="clear" w:color="auto" w:fill="auto"/>
            <w:noWrap/>
            <w:vAlign w:val="center"/>
          </w:tcPr>
          <w:p w14:paraId="54197AE4"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1465.98</w:t>
            </w:r>
          </w:p>
        </w:tc>
        <w:tc>
          <w:tcPr>
            <w:tcW w:w="972" w:type="pct"/>
            <w:tcBorders>
              <w:top w:val="nil"/>
              <w:left w:val="nil"/>
              <w:bottom w:val="single" w:sz="4" w:space="0" w:color="auto"/>
              <w:right w:val="single" w:sz="4" w:space="0" w:color="auto"/>
            </w:tcBorders>
            <w:vAlign w:val="center"/>
          </w:tcPr>
          <w:p w14:paraId="708C529E"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-0.4</w:t>
            </w:r>
          </w:p>
        </w:tc>
      </w:tr>
      <w:tr w:rsidR="006E3885" w:rsidRPr="006E3885" w14:paraId="5738CB60"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62F9A752"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Rwanda</w:t>
            </w:r>
          </w:p>
        </w:tc>
        <w:tc>
          <w:tcPr>
            <w:tcW w:w="1080" w:type="pct"/>
            <w:tcBorders>
              <w:top w:val="nil"/>
              <w:left w:val="nil"/>
              <w:bottom w:val="single" w:sz="4" w:space="0" w:color="auto"/>
              <w:right w:val="single" w:sz="4" w:space="0" w:color="auto"/>
            </w:tcBorders>
            <w:shd w:val="clear" w:color="auto" w:fill="auto"/>
            <w:noWrap/>
            <w:vAlign w:val="center"/>
          </w:tcPr>
          <w:p w14:paraId="1E94D1ED" w14:textId="77777777" w:rsidR="006E3885" w:rsidRPr="006E3885" w:rsidRDefault="006E3885" w:rsidP="00422D3A">
            <w:pPr>
              <w:spacing w:after="0" w:line="240" w:lineRule="auto"/>
              <w:rPr>
                <w:rFonts w:eastAsia="Times New Roman" w:cs="Calibri"/>
                <w:lang w:val="fr-FR" w:eastAsia="en-GB"/>
              </w:rPr>
            </w:pPr>
            <w:proofErr w:type="spellStart"/>
            <w:r w:rsidRPr="006E3885">
              <w:rPr>
                <w:rFonts w:cs="Calibri"/>
                <w:color w:val="000000"/>
                <w:lang w:val="fr-FR"/>
              </w:rPr>
              <w:t>Kigeme</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4E464278"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7050</w:t>
            </w:r>
          </w:p>
        </w:tc>
        <w:tc>
          <w:tcPr>
            <w:tcW w:w="684" w:type="pct"/>
            <w:tcBorders>
              <w:top w:val="nil"/>
              <w:left w:val="nil"/>
              <w:bottom w:val="single" w:sz="4" w:space="0" w:color="auto"/>
              <w:right w:val="single" w:sz="4" w:space="0" w:color="auto"/>
            </w:tcBorders>
            <w:shd w:val="clear" w:color="auto" w:fill="auto"/>
            <w:noWrap/>
            <w:vAlign w:val="center"/>
          </w:tcPr>
          <w:p w14:paraId="7870D978"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2148.71</w:t>
            </w:r>
          </w:p>
        </w:tc>
        <w:tc>
          <w:tcPr>
            <w:tcW w:w="972" w:type="pct"/>
            <w:tcBorders>
              <w:top w:val="nil"/>
              <w:left w:val="nil"/>
              <w:bottom w:val="single" w:sz="4" w:space="0" w:color="auto"/>
              <w:right w:val="single" w:sz="4" w:space="0" w:color="auto"/>
            </w:tcBorders>
            <w:vAlign w:val="center"/>
          </w:tcPr>
          <w:p w14:paraId="1C53D5AB"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-0.8</w:t>
            </w:r>
          </w:p>
        </w:tc>
      </w:tr>
      <w:tr w:rsidR="006E3885" w:rsidRPr="006E3885" w14:paraId="2B3A2A25" w14:textId="77777777" w:rsidTr="006E3885">
        <w:trPr>
          <w:trHeight w:val="347"/>
        </w:trPr>
        <w:tc>
          <w:tcPr>
            <w:tcW w:w="16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EFBF1" w14:textId="77777777" w:rsidR="006E3885" w:rsidRPr="006E3885" w:rsidRDefault="006E3885" w:rsidP="00422D3A">
            <w:pPr>
              <w:spacing w:after="0" w:line="240" w:lineRule="auto"/>
              <w:rPr>
                <w:rFonts w:eastAsia="Times New Roman" w:cs="Calibri"/>
                <w:lang w:val="fr-FR" w:eastAsia="en-GB"/>
              </w:rPr>
            </w:pPr>
            <w:r w:rsidRPr="006E3885">
              <w:rPr>
                <w:rFonts w:cs="Calibri"/>
                <w:color w:val="000000"/>
                <w:lang w:val="fr-FR"/>
              </w:rPr>
              <w:t>Rwanda</w:t>
            </w:r>
          </w:p>
        </w:tc>
        <w:tc>
          <w:tcPr>
            <w:tcW w:w="1080" w:type="pct"/>
            <w:tcBorders>
              <w:top w:val="single" w:sz="4" w:space="0" w:color="auto"/>
              <w:left w:val="nil"/>
              <w:bottom w:val="single" w:sz="4" w:space="0" w:color="auto"/>
              <w:right w:val="single" w:sz="4" w:space="0" w:color="auto"/>
            </w:tcBorders>
            <w:shd w:val="clear" w:color="auto" w:fill="auto"/>
            <w:noWrap/>
            <w:vAlign w:val="center"/>
          </w:tcPr>
          <w:p w14:paraId="5D740CC3" w14:textId="77777777" w:rsidR="006E3885" w:rsidRPr="006E3885" w:rsidRDefault="006E3885" w:rsidP="00422D3A">
            <w:pPr>
              <w:spacing w:after="0" w:line="240" w:lineRule="auto"/>
              <w:rPr>
                <w:rFonts w:eastAsia="Times New Roman" w:cs="Calibri"/>
                <w:lang w:val="fr-FR" w:eastAsia="en-GB"/>
              </w:rPr>
            </w:pPr>
            <w:proofErr w:type="spellStart"/>
            <w:r w:rsidRPr="006E3885">
              <w:rPr>
                <w:rFonts w:cs="Calibri"/>
                <w:color w:val="000000"/>
                <w:lang w:val="fr-FR"/>
              </w:rPr>
              <w:t>Gihembe</w:t>
            </w:r>
            <w:proofErr w:type="spellEnd"/>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481A883B"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7443</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3CE90EC8"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2268.63</w:t>
            </w:r>
          </w:p>
        </w:tc>
        <w:tc>
          <w:tcPr>
            <w:tcW w:w="972" w:type="pct"/>
            <w:tcBorders>
              <w:top w:val="single" w:sz="4" w:space="0" w:color="auto"/>
              <w:left w:val="nil"/>
              <w:bottom w:val="single" w:sz="4" w:space="0" w:color="auto"/>
              <w:right w:val="single" w:sz="4" w:space="0" w:color="auto"/>
            </w:tcBorders>
            <w:vAlign w:val="center"/>
          </w:tcPr>
          <w:p w14:paraId="53E8F635" w14:textId="77777777" w:rsidR="006E3885" w:rsidRPr="006E3885" w:rsidRDefault="006E3885" w:rsidP="00422D3A">
            <w:pPr>
              <w:spacing w:after="0" w:line="240" w:lineRule="auto"/>
              <w:jc w:val="center"/>
              <w:rPr>
                <w:rFonts w:eastAsia="Times New Roman" w:cs="Calibri"/>
                <w:lang w:val="fr-FR" w:eastAsia="en-GB"/>
              </w:rPr>
            </w:pPr>
            <w:r w:rsidRPr="006E3885">
              <w:rPr>
                <w:rFonts w:cs="Calibri"/>
                <w:color w:val="000000"/>
                <w:lang w:val="fr-FR"/>
              </w:rPr>
              <w:t>-1.0</w:t>
            </w:r>
          </w:p>
        </w:tc>
      </w:tr>
      <w:tr w:rsidR="006E3885" w:rsidRPr="006E3885" w14:paraId="5D8437B1" w14:textId="77777777" w:rsidTr="006E3885">
        <w:trPr>
          <w:trHeight w:val="347"/>
        </w:trPr>
        <w:tc>
          <w:tcPr>
            <w:tcW w:w="16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040AB" w14:textId="77777777" w:rsidR="006E3885" w:rsidRPr="006E3885" w:rsidRDefault="006E3885" w:rsidP="00422D3A">
            <w:pPr>
              <w:spacing w:after="0" w:line="240" w:lineRule="auto"/>
              <w:rPr>
                <w:rFonts w:cs="Calibri"/>
                <w:color w:val="000000"/>
                <w:lang w:val="fr-FR"/>
              </w:rPr>
            </w:pPr>
            <w:r w:rsidRPr="006E3885">
              <w:rPr>
                <w:rFonts w:cs="Calibri"/>
                <w:color w:val="000000"/>
                <w:lang w:val="fr-FR"/>
              </w:rPr>
              <w:t>Rwanda</w:t>
            </w:r>
          </w:p>
        </w:tc>
        <w:tc>
          <w:tcPr>
            <w:tcW w:w="1080" w:type="pct"/>
            <w:tcBorders>
              <w:top w:val="single" w:sz="4" w:space="0" w:color="auto"/>
              <w:left w:val="nil"/>
              <w:bottom w:val="single" w:sz="4" w:space="0" w:color="auto"/>
              <w:right w:val="single" w:sz="4" w:space="0" w:color="auto"/>
            </w:tcBorders>
            <w:shd w:val="clear" w:color="auto" w:fill="auto"/>
            <w:noWrap/>
            <w:vAlign w:val="center"/>
          </w:tcPr>
          <w:p w14:paraId="7F1DC798" w14:textId="77777777" w:rsidR="006E3885" w:rsidRPr="006E3885" w:rsidRDefault="006E3885" w:rsidP="00422D3A">
            <w:pPr>
              <w:spacing w:after="0" w:line="240" w:lineRule="auto"/>
              <w:rPr>
                <w:rFonts w:cs="Calibri"/>
                <w:color w:val="000000"/>
                <w:lang w:val="fr-FR"/>
              </w:rPr>
            </w:pPr>
            <w:proofErr w:type="spellStart"/>
            <w:r w:rsidRPr="006E3885">
              <w:rPr>
                <w:rFonts w:cs="Calibri"/>
                <w:color w:val="000000"/>
                <w:lang w:val="fr-FR"/>
              </w:rPr>
              <w:t>Kiziba</w:t>
            </w:r>
            <w:proofErr w:type="spellEnd"/>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347F0C81"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6496</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090F7520"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1979.90</w:t>
            </w:r>
          </w:p>
        </w:tc>
        <w:tc>
          <w:tcPr>
            <w:tcW w:w="972" w:type="pct"/>
            <w:tcBorders>
              <w:top w:val="single" w:sz="4" w:space="0" w:color="auto"/>
              <w:left w:val="nil"/>
              <w:bottom w:val="single" w:sz="4" w:space="0" w:color="auto"/>
              <w:right w:val="single" w:sz="4" w:space="0" w:color="auto"/>
            </w:tcBorders>
            <w:vAlign w:val="center"/>
          </w:tcPr>
          <w:p w14:paraId="310D124F"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-0.7</w:t>
            </w:r>
          </w:p>
        </w:tc>
      </w:tr>
      <w:tr w:rsidR="006E3885" w:rsidRPr="006E3885" w14:paraId="59EA59DA" w14:textId="77777777" w:rsidTr="006E3885">
        <w:trPr>
          <w:trHeight w:val="347"/>
        </w:trPr>
        <w:tc>
          <w:tcPr>
            <w:tcW w:w="16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956B8" w14:textId="77777777" w:rsidR="006E3885" w:rsidRPr="006E3885" w:rsidRDefault="006E3885" w:rsidP="00422D3A">
            <w:pPr>
              <w:spacing w:after="0" w:line="240" w:lineRule="auto"/>
              <w:rPr>
                <w:rFonts w:cs="Calibri"/>
                <w:color w:val="000000"/>
                <w:lang w:val="fr-FR"/>
              </w:rPr>
            </w:pPr>
            <w:r w:rsidRPr="006E3885">
              <w:rPr>
                <w:rFonts w:cs="Calibri"/>
                <w:color w:val="000000"/>
                <w:lang w:val="fr-FR"/>
              </w:rPr>
              <w:t>Rwanda</w:t>
            </w:r>
          </w:p>
        </w:tc>
        <w:tc>
          <w:tcPr>
            <w:tcW w:w="1080" w:type="pct"/>
            <w:tcBorders>
              <w:top w:val="single" w:sz="4" w:space="0" w:color="auto"/>
              <w:left w:val="nil"/>
              <w:bottom w:val="single" w:sz="4" w:space="0" w:color="auto"/>
              <w:right w:val="single" w:sz="4" w:space="0" w:color="auto"/>
            </w:tcBorders>
            <w:shd w:val="clear" w:color="auto" w:fill="auto"/>
            <w:noWrap/>
            <w:vAlign w:val="center"/>
          </w:tcPr>
          <w:p w14:paraId="6260AD61" w14:textId="77777777" w:rsidR="006E3885" w:rsidRPr="006E3885" w:rsidRDefault="006E3885" w:rsidP="00422D3A">
            <w:pPr>
              <w:spacing w:after="0" w:line="240" w:lineRule="auto"/>
              <w:rPr>
                <w:rFonts w:cs="Calibri"/>
                <w:color w:val="000000"/>
                <w:lang w:val="fr-FR"/>
              </w:rPr>
            </w:pPr>
            <w:proofErr w:type="spellStart"/>
            <w:r w:rsidRPr="006E3885">
              <w:rPr>
                <w:rFonts w:cs="Calibri"/>
                <w:color w:val="000000"/>
                <w:lang w:val="fr-FR"/>
              </w:rPr>
              <w:t>Nyabiheke</w:t>
            </w:r>
            <w:proofErr w:type="spellEnd"/>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31E84897"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5291</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3735A757"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1612.84</w:t>
            </w:r>
          </w:p>
        </w:tc>
        <w:tc>
          <w:tcPr>
            <w:tcW w:w="972" w:type="pct"/>
            <w:tcBorders>
              <w:top w:val="single" w:sz="4" w:space="0" w:color="auto"/>
              <w:left w:val="nil"/>
              <w:bottom w:val="single" w:sz="4" w:space="0" w:color="auto"/>
              <w:right w:val="single" w:sz="4" w:space="0" w:color="auto"/>
            </w:tcBorders>
            <w:vAlign w:val="center"/>
          </w:tcPr>
          <w:p w14:paraId="20619052"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-0.4</w:t>
            </w:r>
          </w:p>
        </w:tc>
      </w:tr>
      <w:tr w:rsidR="006E3885" w:rsidRPr="006E3885" w14:paraId="6C6DEDD5"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0E85E5A7" w14:textId="77777777" w:rsidR="006E3885" w:rsidRPr="006E3885" w:rsidRDefault="006E3885" w:rsidP="00422D3A">
            <w:pPr>
              <w:spacing w:after="0" w:line="240" w:lineRule="auto"/>
              <w:rPr>
                <w:rFonts w:cs="Calibri"/>
                <w:color w:val="000000"/>
                <w:lang w:val="fr-FR"/>
              </w:rPr>
            </w:pPr>
            <w:r w:rsidRPr="006E3885">
              <w:rPr>
                <w:rFonts w:cs="Calibri"/>
                <w:color w:val="000000"/>
                <w:lang w:val="fr-FR"/>
              </w:rPr>
              <w:t>Rwanda</w:t>
            </w:r>
          </w:p>
        </w:tc>
        <w:tc>
          <w:tcPr>
            <w:tcW w:w="1080" w:type="pct"/>
            <w:tcBorders>
              <w:top w:val="nil"/>
              <w:left w:val="nil"/>
              <w:bottom w:val="single" w:sz="4" w:space="0" w:color="auto"/>
              <w:right w:val="single" w:sz="4" w:space="0" w:color="auto"/>
            </w:tcBorders>
            <w:shd w:val="clear" w:color="auto" w:fill="auto"/>
            <w:noWrap/>
            <w:vAlign w:val="center"/>
          </w:tcPr>
          <w:p w14:paraId="41C7E8E5" w14:textId="77777777" w:rsidR="006E3885" w:rsidRPr="006E3885" w:rsidRDefault="006E3885" w:rsidP="00422D3A">
            <w:pPr>
              <w:spacing w:after="0" w:line="240" w:lineRule="auto"/>
              <w:rPr>
                <w:rFonts w:cs="Calibri"/>
                <w:color w:val="000000"/>
                <w:lang w:val="fr-FR"/>
              </w:rPr>
            </w:pPr>
            <w:proofErr w:type="spellStart"/>
            <w:r w:rsidRPr="006E3885">
              <w:rPr>
                <w:rFonts w:cs="Calibri"/>
                <w:color w:val="000000"/>
                <w:lang w:val="fr-FR"/>
              </w:rPr>
              <w:t>Mugombwa</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2D3E7FFF"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5330</w:t>
            </w:r>
          </w:p>
        </w:tc>
        <w:tc>
          <w:tcPr>
            <w:tcW w:w="684" w:type="pct"/>
            <w:tcBorders>
              <w:top w:val="nil"/>
              <w:left w:val="nil"/>
              <w:bottom w:val="single" w:sz="4" w:space="0" w:color="auto"/>
              <w:right w:val="single" w:sz="4" w:space="0" w:color="auto"/>
            </w:tcBorders>
            <w:shd w:val="clear" w:color="auto" w:fill="auto"/>
            <w:noWrap/>
            <w:vAlign w:val="center"/>
          </w:tcPr>
          <w:p w14:paraId="51C11534"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1624.71</w:t>
            </w:r>
          </w:p>
        </w:tc>
        <w:tc>
          <w:tcPr>
            <w:tcW w:w="972" w:type="pct"/>
            <w:tcBorders>
              <w:top w:val="nil"/>
              <w:left w:val="nil"/>
              <w:bottom w:val="single" w:sz="4" w:space="0" w:color="auto"/>
              <w:right w:val="single" w:sz="4" w:space="0" w:color="auto"/>
            </w:tcBorders>
            <w:vAlign w:val="center"/>
          </w:tcPr>
          <w:p w14:paraId="7757553D"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-0.5</w:t>
            </w:r>
          </w:p>
        </w:tc>
      </w:tr>
      <w:tr w:rsidR="006E3885" w:rsidRPr="006E3885" w14:paraId="63D1881A"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5049FB24" w14:textId="77777777" w:rsidR="006E3885" w:rsidRPr="006E3885" w:rsidRDefault="006E3885" w:rsidP="00422D3A">
            <w:pPr>
              <w:spacing w:after="0" w:line="240" w:lineRule="auto"/>
              <w:rPr>
                <w:rFonts w:cs="Calibri"/>
                <w:color w:val="000000"/>
                <w:lang w:val="fr-FR"/>
              </w:rPr>
            </w:pPr>
            <w:r w:rsidRPr="006E3885">
              <w:rPr>
                <w:rFonts w:cs="Calibri"/>
                <w:color w:val="000000"/>
                <w:lang w:val="fr-FR"/>
              </w:rPr>
              <w:t>Rwanda</w:t>
            </w:r>
          </w:p>
        </w:tc>
        <w:tc>
          <w:tcPr>
            <w:tcW w:w="1080" w:type="pct"/>
            <w:tcBorders>
              <w:top w:val="nil"/>
              <w:left w:val="nil"/>
              <w:bottom w:val="single" w:sz="4" w:space="0" w:color="auto"/>
              <w:right w:val="single" w:sz="4" w:space="0" w:color="auto"/>
            </w:tcBorders>
            <w:shd w:val="clear" w:color="auto" w:fill="auto"/>
            <w:noWrap/>
            <w:vAlign w:val="center"/>
          </w:tcPr>
          <w:p w14:paraId="41346A2C" w14:textId="77777777" w:rsidR="006E3885" w:rsidRPr="006E3885" w:rsidRDefault="006E3885" w:rsidP="00422D3A">
            <w:pPr>
              <w:spacing w:after="0" w:line="240" w:lineRule="auto"/>
              <w:rPr>
                <w:rFonts w:cs="Calibri"/>
                <w:color w:val="000000"/>
                <w:lang w:val="fr-FR"/>
              </w:rPr>
            </w:pPr>
            <w:proofErr w:type="spellStart"/>
            <w:r w:rsidRPr="006E3885">
              <w:rPr>
                <w:rFonts w:cs="Calibri"/>
                <w:color w:val="000000"/>
                <w:lang w:val="fr-FR"/>
              </w:rPr>
              <w:t>Mahama</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12D9E883"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4430</w:t>
            </w:r>
          </w:p>
        </w:tc>
        <w:tc>
          <w:tcPr>
            <w:tcW w:w="684" w:type="pct"/>
            <w:tcBorders>
              <w:top w:val="nil"/>
              <w:left w:val="nil"/>
              <w:bottom w:val="single" w:sz="4" w:space="0" w:color="auto"/>
              <w:right w:val="single" w:sz="4" w:space="0" w:color="auto"/>
            </w:tcBorders>
            <w:shd w:val="clear" w:color="auto" w:fill="auto"/>
            <w:noWrap/>
            <w:vAlign w:val="center"/>
          </w:tcPr>
          <w:p w14:paraId="4CB9AADA"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1350.24</w:t>
            </w:r>
          </w:p>
        </w:tc>
        <w:tc>
          <w:tcPr>
            <w:tcW w:w="972" w:type="pct"/>
            <w:tcBorders>
              <w:top w:val="nil"/>
              <w:left w:val="nil"/>
              <w:bottom w:val="single" w:sz="4" w:space="0" w:color="auto"/>
              <w:right w:val="single" w:sz="4" w:space="0" w:color="auto"/>
            </w:tcBorders>
            <w:vAlign w:val="center"/>
          </w:tcPr>
          <w:p w14:paraId="09DC4F0E"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-0.3</w:t>
            </w:r>
          </w:p>
        </w:tc>
      </w:tr>
      <w:tr w:rsidR="006E3885" w:rsidRPr="006E3885" w14:paraId="6FF0FBA5" w14:textId="77777777" w:rsidTr="006E3885">
        <w:trPr>
          <w:trHeight w:val="347"/>
        </w:trPr>
        <w:tc>
          <w:tcPr>
            <w:tcW w:w="1656" w:type="pct"/>
            <w:tcBorders>
              <w:top w:val="nil"/>
              <w:left w:val="single" w:sz="4" w:space="0" w:color="auto"/>
              <w:bottom w:val="single" w:sz="4" w:space="0" w:color="auto"/>
              <w:right w:val="single" w:sz="4" w:space="0" w:color="auto"/>
            </w:tcBorders>
            <w:shd w:val="clear" w:color="auto" w:fill="auto"/>
            <w:noWrap/>
            <w:vAlign w:val="center"/>
          </w:tcPr>
          <w:p w14:paraId="7F653D05" w14:textId="1208A5D7" w:rsidR="006E3885" w:rsidRPr="006E3885" w:rsidRDefault="006E3885" w:rsidP="00422D3A">
            <w:pPr>
              <w:spacing w:after="0" w:line="240" w:lineRule="auto"/>
              <w:rPr>
                <w:rFonts w:cs="Calibri"/>
                <w:color w:val="000000"/>
                <w:lang w:val="fr-FR"/>
              </w:rPr>
            </w:pPr>
            <w:r w:rsidRPr="006E3885">
              <w:rPr>
                <w:rFonts w:cs="Calibri"/>
                <w:color w:val="000000"/>
                <w:lang w:val="fr-FR"/>
              </w:rPr>
              <w:t>Thaïlande</w:t>
            </w:r>
          </w:p>
        </w:tc>
        <w:tc>
          <w:tcPr>
            <w:tcW w:w="1080" w:type="pct"/>
            <w:tcBorders>
              <w:top w:val="nil"/>
              <w:left w:val="nil"/>
              <w:bottom w:val="single" w:sz="4" w:space="0" w:color="auto"/>
              <w:right w:val="single" w:sz="4" w:space="0" w:color="auto"/>
            </w:tcBorders>
            <w:shd w:val="clear" w:color="auto" w:fill="auto"/>
            <w:noWrap/>
            <w:vAlign w:val="center"/>
          </w:tcPr>
          <w:p w14:paraId="69E2ED36" w14:textId="77777777" w:rsidR="006E3885" w:rsidRPr="006E3885" w:rsidRDefault="006E3885" w:rsidP="00422D3A">
            <w:pPr>
              <w:spacing w:after="0" w:line="240" w:lineRule="auto"/>
              <w:rPr>
                <w:rFonts w:cs="Calibri"/>
                <w:color w:val="000000"/>
                <w:lang w:val="fr-FR"/>
              </w:rPr>
            </w:pPr>
            <w:proofErr w:type="spellStart"/>
            <w:r w:rsidRPr="006E3885">
              <w:rPr>
                <w:rFonts w:cs="Calibri"/>
                <w:color w:val="000000"/>
                <w:lang w:val="fr-FR"/>
              </w:rPr>
              <w:t>Umpiem</w:t>
            </w:r>
            <w:proofErr w:type="spellEnd"/>
          </w:p>
        </w:tc>
        <w:tc>
          <w:tcPr>
            <w:tcW w:w="608" w:type="pct"/>
            <w:tcBorders>
              <w:top w:val="nil"/>
              <w:left w:val="nil"/>
              <w:bottom w:val="single" w:sz="4" w:space="0" w:color="auto"/>
              <w:right w:val="single" w:sz="4" w:space="0" w:color="auto"/>
            </w:tcBorders>
            <w:shd w:val="clear" w:color="auto" w:fill="auto"/>
            <w:noWrap/>
            <w:vAlign w:val="center"/>
          </w:tcPr>
          <w:p w14:paraId="41B32F52"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3929</w:t>
            </w:r>
          </w:p>
        </w:tc>
        <w:tc>
          <w:tcPr>
            <w:tcW w:w="684" w:type="pct"/>
            <w:tcBorders>
              <w:top w:val="nil"/>
              <w:left w:val="nil"/>
              <w:bottom w:val="single" w:sz="4" w:space="0" w:color="auto"/>
              <w:right w:val="single" w:sz="4" w:space="0" w:color="auto"/>
            </w:tcBorders>
            <w:shd w:val="clear" w:color="auto" w:fill="auto"/>
            <w:noWrap/>
            <w:vAlign w:val="center"/>
          </w:tcPr>
          <w:p w14:paraId="122B3C8D"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1197.55</w:t>
            </w:r>
          </w:p>
        </w:tc>
        <w:tc>
          <w:tcPr>
            <w:tcW w:w="972" w:type="pct"/>
            <w:tcBorders>
              <w:top w:val="nil"/>
              <w:left w:val="nil"/>
              <w:bottom w:val="single" w:sz="4" w:space="0" w:color="auto"/>
              <w:right w:val="single" w:sz="4" w:space="0" w:color="auto"/>
            </w:tcBorders>
            <w:vAlign w:val="center"/>
          </w:tcPr>
          <w:p w14:paraId="1FBEA5F2" w14:textId="77777777" w:rsidR="006E3885" w:rsidRPr="006E3885" w:rsidRDefault="006E3885" w:rsidP="00422D3A">
            <w:pPr>
              <w:spacing w:after="0" w:line="240" w:lineRule="auto"/>
              <w:jc w:val="center"/>
              <w:rPr>
                <w:rFonts w:cs="Calibri"/>
                <w:color w:val="000000"/>
                <w:lang w:val="fr-FR"/>
              </w:rPr>
            </w:pPr>
            <w:r w:rsidRPr="006E3885">
              <w:rPr>
                <w:rFonts w:cs="Calibri"/>
                <w:color w:val="000000"/>
                <w:lang w:val="fr-FR"/>
              </w:rPr>
              <w:t>-0.2</w:t>
            </w:r>
          </w:p>
        </w:tc>
      </w:tr>
      <w:tr w:rsidR="006E3885" w:rsidRPr="006E3885" w14:paraId="6F967964" w14:textId="77777777" w:rsidTr="00540A4A">
        <w:trPr>
          <w:trHeight w:val="347"/>
        </w:trPr>
        <w:tc>
          <w:tcPr>
            <w:tcW w:w="1656" w:type="pct"/>
            <w:tcBorders>
              <w:top w:val="single" w:sz="4" w:space="0" w:color="auto"/>
              <w:left w:val="single" w:sz="4" w:space="0" w:color="auto"/>
              <w:bottom w:val="single" w:sz="4" w:space="0" w:color="auto"/>
              <w:right w:val="single" w:sz="4" w:space="0" w:color="auto"/>
            </w:tcBorders>
            <w:shd w:val="clear" w:color="auto" w:fill="auto"/>
            <w:noWrap/>
          </w:tcPr>
          <w:p w14:paraId="3F298C21" w14:textId="31AD7020" w:rsidR="006E3885" w:rsidRPr="006E3885" w:rsidRDefault="006E3885" w:rsidP="006E3885">
            <w:pPr>
              <w:spacing w:after="0" w:line="240" w:lineRule="auto"/>
              <w:rPr>
                <w:rFonts w:cs="Calibri"/>
                <w:color w:val="000000"/>
                <w:lang w:val="fr-FR"/>
              </w:rPr>
            </w:pPr>
            <w:r w:rsidRPr="00BE7E1B">
              <w:rPr>
                <w:rFonts w:cs="Calibri"/>
                <w:color w:val="000000"/>
                <w:lang w:val="fr-FR"/>
              </w:rPr>
              <w:t>République Unie de Tanzanie</w:t>
            </w:r>
          </w:p>
        </w:tc>
        <w:tc>
          <w:tcPr>
            <w:tcW w:w="1080" w:type="pct"/>
            <w:tcBorders>
              <w:top w:val="single" w:sz="4" w:space="0" w:color="auto"/>
              <w:left w:val="nil"/>
              <w:bottom w:val="single" w:sz="4" w:space="0" w:color="auto"/>
              <w:right w:val="single" w:sz="4" w:space="0" w:color="auto"/>
            </w:tcBorders>
            <w:shd w:val="clear" w:color="auto" w:fill="auto"/>
            <w:noWrap/>
            <w:vAlign w:val="center"/>
          </w:tcPr>
          <w:p w14:paraId="37F19851" w14:textId="77777777" w:rsidR="006E3885" w:rsidRPr="006E3885" w:rsidRDefault="006E3885" w:rsidP="006E3885">
            <w:pPr>
              <w:spacing w:after="0" w:line="240" w:lineRule="auto"/>
              <w:rPr>
                <w:rFonts w:cs="Calibri"/>
                <w:color w:val="000000"/>
                <w:lang w:val="fr-FR"/>
              </w:rPr>
            </w:pPr>
            <w:proofErr w:type="spellStart"/>
            <w:r w:rsidRPr="006E3885">
              <w:rPr>
                <w:rFonts w:cs="Calibri"/>
                <w:color w:val="000000"/>
                <w:lang w:val="fr-FR"/>
              </w:rPr>
              <w:t>Nduta</w:t>
            </w:r>
            <w:proofErr w:type="spellEnd"/>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4A6D3C75" w14:textId="77777777" w:rsidR="006E3885" w:rsidRPr="006E3885" w:rsidRDefault="006E3885" w:rsidP="006E3885">
            <w:pPr>
              <w:spacing w:after="0" w:line="240" w:lineRule="auto"/>
              <w:jc w:val="center"/>
              <w:rPr>
                <w:rFonts w:cs="Calibri"/>
                <w:color w:val="000000"/>
                <w:lang w:val="fr-FR"/>
              </w:rPr>
            </w:pPr>
            <w:r w:rsidRPr="006E3885">
              <w:rPr>
                <w:rFonts w:cs="Calibri"/>
                <w:color w:val="000000"/>
                <w:lang w:val="fr-FR"/>
              </w:rPr>
              <w:t>4302</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5BB536F5" w14:textId="77777777" w:rsidR="006E3885" w:rsidRPr="006E3885" w:rsidRDefault="006E3885" w:rsidP="006E3885">
            <w:pPr>
              <w:spacing w:after="0" w:line="240" w:lineRule="auto"/>
              <w:jc w:val="center"/>
              <w:rPr>
                <w:rFonts w:cs="Calibri"/>
                <w:color w:val="000000"/>
                <w:lang w:val="fr-FR"/>
              </w:rPr>
            </w:pPr>
            <w:r w:rsidRPr="006E3885">
              <w:rPr>
                <w:rFonts w:cs="Calibri"/>
                <w:color w:val="000000"/>
                <w:lang w:val="fr-FR"/>
              </w:rPr>
              <w:t>1311.38</w:t>
            </w:r>
          </w:p>
        </w:tc>
        <w:tc>
          <w:tcPr>
            <w:tcW w:w="972" w:type="pct"/>
            <w:tcBorders>
              <w:top w:val="single" w:sz="4" w:space="0" w:color="auto"/>
              <w:left w:val="nil"/>
              <w:bottom w:val="single" w:sz="4" w:space="0" w:color="auto"/>
              <w:right w:val="single" w:sz="4" w:space="0" w:color="auto"/>
            </w:tcBorders>
            <w:vAlign w:val="center"/>
          </w:tcPr>
          <w:p w14:paraId="520A48C4" w14:textId="77777777" w:rsidR="006E3885" w:rsidRPr="006E3885" w:rsidRDefault="006E3885" w:rsidP="006E3885">
            <w:pPr>
              <w:spacing w:after="0" w:line="240" w:lineRule="auto"/>
              <w:jc w:val="center"/>
              <w:rPr>
                <w:rFonts w:cs="Calibri"/>
                <w:color w:val="000000"/>
                <w:lang w:val="fr-FR"/>
              </w:rPr>
            </w:pPr>
            <w:r w:rsidRPr="006E3885">
              <w:rPr>
                <w:rFonts w:cs="Calibri"/>
                <w:color w:val="000000"/>
                <w:lang w:val="fr-FR"/>
              </w:rPr>
              <w:t>-0.3</w:t>
            </w:r>
          </w:p>
        </w:tc>
      </w:tr>
      <w:tr w:rsidR="006E3885" w:rsidRPr="006E3885" w14:paraId="0FAF96DB" w14:textId="77777777" w:rsidTr="009D3C04">
        <w:trPr>
          <w:trHeight w:val="347"/>
        </w:trPr>
        <w:tc>
          <w:tcPr>
            <w:tcW w:w="1656" w:type="pct"/>
            <w:tcBorders>
              <w:top w:val="single" w:sz="4" w:space="0" w:color="auto"/>
              <w:left w:val="single" w:sz="4" w:space="0" w:color="auto"/>
              <w:bottom w:val="single" w:sz="4" w:space="0" w:color="auto"/>
              <w:right w:val="single" w:sz="4" w:space="0" w:color="auto"/>
            </w:tcBorders>
            <w:shd w:val="clear" w:color="auto" w:fill="auto"/>
            <w:noWrap/>
          </w:tcPr>
          <w:p w14:paraId="63E8D9A8" w14:textId="7A84D511" w:rsidR="006E3885" w:rsidRPr="006E3885" w:rsidRDefault="006E3885" w:rsidP="006E3885">
            <w:pPr>
              <w:spacing w:after="0" w:line="240" w:lineRule="auto"/>
              <w:rPr>
                <w:rFonts w:cs="Calibri"/>
                <w:color w:val="000000"/>
                <w:lang w:val="fr-FR"/>
              </w:rPr>
            </w:pPr>
            <w:r w:rsidRPr="00BE7E1B">
              <w:rPr>
                <w:rFonts w:cs="Calibri"/>
                <w:color w:val="000000"/>
                <w:lang w:val="fr-FR"/>
              </w:rPr>
              <w:t>République Unie de Tanzanie</w:t>
            </w:r>
          </w:p>
        </w:tc>
        <w:tc>
          <w:tcPr>
            <w:tcW w:w="1080" w:type="pct"/>
            <w:tcBorders>
              <w:top w:val="single" w:sz="4" w:space="0" w:color="auto"/>
              <w:left w:val="nil"/>
              <w:bottom w:val="single" w:sz="4" w:space="0" w:color="auto"/>
              <w:right w:val="single" w:sz="4" w:space="0" w:color="auto"/>
            </w:tcBorders>
            <w:shd w:val="clear" w:color="auto" w:fill="auto"/>
            <w:noWrap/>
            <w:vAlign w:val="center"/>
          </w:tcPr>
          <w:p w14:paraId="76F2F724" w14:textId="77777777" w:rsidR="006E3885" w:rsidRPr="006E3885" w:rsidRDefault="006E3885" w:rsidP="006E3885">
            <w:pPr>
              <w:spacing w:after="0" w:line="240" w:lineRule="auto"/>
              <w:rPr>
                <w:rFonts w:cs="Calibri"/>
                <w:color w:val="000000"/>
                <w:lang w:val="fr-FR"/>
              </w:rPr>
            </w:pPr>
            <w:proofErr w:type="spellStart"/>
            <w:r w:rsidRPr="006E3885">
              <w:rPr>
                <w:rFonts w:cs="Calibri"/>
                <w:color w:val="000000"/>
                <w:lang w:val="fr-FR"/>
              </w:rPr>
              <w:t>Mtendeli</w:t>
            </w:r>
            <w:proofErr w:type="spellEnd"/>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62001C9B" w14:textId="77777777" w:rsidR="006E3885" w:rsidRPr="006E3885" w:rsidRDefault="006E3885" w:rsidP="006E3885">
            <w:pPr>
              <w:spacing w:after="0" w:line="240" w:lineRule="auto"/>
              <w:jc w:val="center"/>
              <w:rPr>
                <w:rFonts w:cs="Calibri"/>
                <w:color w:val="000000"/>
                <w:lang w:val="fr-FR"/>
              </w:rPr>
            </w:pPr>
            <w:r w:rsidRPr="006E3885">
              <w:rPr>
                <w:rFonts w:cs="Calibri"/>
                <w:color w:val="000000"/>
                <w:lang w:val="fr-FR"/>
              </w:rPr>
              <w:t>4284</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39566251" w14:textId="77777777" w:rsidR="006E3885" w:rsidRPr="006E3885" w:rsidRDefault="006E3885" w:rsidP="006E3885">
            <w:pPr>
              <w:spacing w:after="0" w:line="240" w:lineRule="auto"/>
              <w:jc w:val="center"/>
              <w:rPr>
                <w:rFonts w:cs="Calibri"/>
                <w:color w:val="000000"/>
                <w:lang w:val="fr-FR"/>
              </w:rPr>
            </w:pPr>
            <w:r w:rsidRPr="006E3885">
              <w:rPr>
                <w:rFonts w:cs="Calibri"/>
                <w:color w:val="000000"/>
                <w:lang w:val="fr-FR"/>
              </w:rPr>
              <w:t>1305.70</w:t>
            </w:r>
          </w:p>
        </w:tc>
        <w:tc>
          <w:tcPr>
            <w:tcW w:w="972" w:type="pct"/>
            <w:tcBorders>
              <w:top w:val="single" w:sz="4" w:space="0" w:color="auto"/>
              <w:left w:val="nil"/>
              <w:bottom w:val="single" w:sz="4" w:space="0" w:color="auto"/>
              <w:right w:val="single" w:sz="4" w:space="0" w:color="auto"/>
            </w:tcBorders>
            <w:vAlign w:val="center"/>
          </w:tcPr>
          <w:p w14:paraId="42068881" w14:textId="77777777" w:rsidR="006E3885" w:rsidRPr="006E3885" w:rsidRDefault="006E3885" w:rsidP="006E3885">
            <w:pPr>
              <w:spacing w:after="0" w:line="240" w:lineRule="auto"/>
              <w:jc w:val="center"/>
              <w:rPr>
                <w:rFonts w:cs="Calibri"/>
                <w:color w:val="000000"/>
                <w:lang w:val="fr-FR"/>
              </w:rPr>
            </w:pPr>
            <w:r w:rsidRPr="006E3885">
              <w:rPr>
                <w:rFonts w:cs="Calibri"/>
                <w:color w:val="000000"/>
                <w:lang w:val="fr-FR"/>
              </w:rPr>
              <w:t>-0.3</w:t>
            </w:r>
          </w:p>
        </w:tc>
      </w:tr>
      <w:tr w:rsidR="006E3885" w:rsidRPr="006E3885" w14:paraId="3AD03FFA" w14:textId="77777777" w:rsidTr="00540A4A">
        <w:trPr>
          <w:trHeight w:val="347"/>
        </w:trPr>
        <w:tc>
          <w:tcPr>
            <w:tcW w:w="1656" w:type="pct"/>
            <w:tcBorders>
              <w:top w:val="single" w:sz="4" w:space="0" w:color="auto"/>
              <w:left w:val="single" w:sz="4" w:space="0" w:color="auto"/>
              <w:bottom w:val="single" w:sz="4" w:space="0" w:color="auto"/>
              <w:right w:val="single" w:sz="4" w:space="0" w:color="auto"/>
            </w:tcBorders>
            <w:shd w:val="clear" w:color="auto" w:fill="auto"/>
            <w:noWrap/>
          </w:tcPr>
          <w:p w14:paraId="01ADF905" w14:textId="120C3FBD" w:rsidR="006E3885" w:rsidRPr="006E3885" w:rsidRDefault="006E3885" w:rsidP="006E3885">
            <w:pPr>
              <w:spacing w:after="0" w:line="240" w:lineRule="auto"/>
              <w:rPr>
                <w:rFonts w:cs="Calibri"/>
                <w:color w:val="000000"/>
                <w:lang w:val="fr-FR"/>
              </w:rPr>
            </w:pPr>
            <w:r w:rsidRPr="00BE7E1B">
              <w:rPr>
                <w:rFonts w:cs="Calibri"/>
                <w:color w:val="000000"/>
                <w:lang w:val="fr-FR"/>
              </w:rPr>
              <w:t>République Unie de Tanzanie</w:t>
            </w:r>
          </w:p>
        </w:tc>
        <w:tc>
          <w:tcPr>
            <w:tcW w:w="1080" w:type="pct"/>
            <w:tcBorders>
              <w:top w:val="single" w:sz="4" w:space="0" w:color="auto"/>
              <w:left w:val="nil"/>
              <w:bottom w:val="single" w:sz="4" w:space="0" w:color="auto"/>
              <w:right w:val="single" w:sz="4" w:space="0" w:color="auto"/>
            </w:tcBorders>
            <w:shd w:val="clear" w:color="auto" w:fill="auto"/>
            <w:noWrap/>
            <w:vAlign w:val="center"/>
          </w:tcPr>
          <w:p w14:paraId="0A36D4D0" w14:textId="77777777" w:rsidR="006E3885" w:rsidRPr="006E3885" w:rsidRDefault="006E3885" w:rsidP="006E3885">
            <w:pPr>
              <w:spacing w:after="0" w:line="240" w:lineRule="auto"/>
              <w:rPr>
                <w:rFonts w:cs="Calibri"/>
                <w:color w:val="000000"/>
                <w:lang w:val="fr-FR"/>
              </w:rPr>
            </w:pPr>
            <w:proofErr w:type="spellStart"/>
            <w:r w:rsidRPr="006E3885">
              <w:rPr>
                <w:rFonts w:cs="Calibri"/>
                <w:color w:val="000000"/>
                <w:lang w:val="fr-FR"/>
              </w:rPr>
              <w:t>Nyarugusu</w:t>
            </w:r>
            <w:proofErr w:type="spellEnd"/>
          </w:p>
        </w:tc>
        <w:tc>
          <w:tcPr>
            <w:tcW w:w="608" w:type="pct"/>
            <w:tcBorders>
              <w:top w:val="single" w:sz="4" w:space="0" w:color="auto"/>
              <w:left w:val="nil"/>
              <w:bottom w:val="single" w:sz="4" w:space="0" w:color="auto"/>
              <w:right w:val="single" w:sz="4" w:space="0" w:color="auto"/>
            </w:tcBorders>
            <w:shd w:val="clear" w:color="auto" w:fill="auto"/>
            <w:noWrap/>
            <w:vAlign w:val="center"/>
          </w:tcPr>
          <w:p w14:paraId="748EF88B" w14:textId="77777777" w:rsidR="006E3885" w:rsidRPr="006E3885" w:rsidRDefault="006E3885" w:rsidP="006E3885">
            <w:pPr>
              <w:spacing w:after="0" w:line="240" w:lineRule="auto"/>
              <w:jc w:val="center"/>
              <w:rPr>
                <w:rFonts w:cs="Calibri"/>
                <w:color w:val="000000"/>
                <w:lang w:val="fr-FR"/>
              </w:rPr>
            </w:pPr>
            <w:r w:rsidRPr="006E3885">
              <w:rPr>
                <w:rFonts w:cs="Calibri"/>
                <w:color w:val="000000"/>
                <w:lang w:val="fr-FR"/>
              </w:rPr>
              <w:t>4014</w:t>
            </w:r>
          </w:p>
        </w:tc>
        <w:tc>
          <w:tcPr>
            <w:tcW w:w="684" w:type="pct"/>
            <w:tcBorders>
              <w:top w:val="single" w:sz="4" w:space="0" w:color="auto"/>
              <w:left w:val="nil"/>
              <w:bottom w:val="single" w:sz="4" w:space="0" w:color="auto"/>
              <w:right w:val="single" w:sz="4" w:space="0" w:color="auto"/>
            </w:tcBorders>
            <w:shd w:val="clear" w:color="auto" w:fill="auto"/>
            <w:noWrap/>
            <w:vAlign w:val="center"/>
          </w:tcPr>
          <w:p w14:paraId="2BE1DA2F" w14:textId="77777777" w:rsidR="006E3885" w:rsidRPr="006E3885" w:rsidRDefault="006E3885" w:rsidP="006E3885">
            <w:pPr>
              <w:spacing w:after="0" w:line="240" w:lineRule="auto"/>
              <w:jc w:val="center"/>
              <w:rPr>
                <w:rFonts w:cs="Calibri"/>
                <w:color w:val="000000"/>
                <w:lang w:val="fr-FR"/>
              </w:rPr>
            </w:pPr>
            <w:r w:rsidRPr="006E3885">
              <w:rPr>
                <w:rFonts w:cs="Calibri"/>
                <w:color w:val="000000"/>
                <w:lang w:val="fr-FR"/>
              </w:rPr>
              <w:t>1223.46</w:t>
            </w:r>
          </w:p>
        </w:tc>
        <w:tc>
          <w:tcPr>
            <w:tcW w:w="972" w:type="pct"/>
            <w:tcBorders>
              <w:top w:val="single" w:sz="4" w:space="0" w:color="auto"/>
              <w:left w:val="nil"/>
              <w:bottom w:val="single" w:sz="4" w:space="0" w:color="auto"/>
              <w:right w:val="single" w:sz="4" w:space="0" w:color="auto"/>
            </w:tcBorders>
            <w:vAlign w:val="center"/>
          </w:tcPr>
          <w:p w14:paraId="127C04C9" w14:textId="77777777" w:rsidR="006E3885" w:rsidRPr="006E3885" w:rsidRDefault="006E3885" w:rsidP="006E3885">
            <w:pPr>
              <w:spacing w:after="0" w:line="240" w:lineRule="auto"/>
              <w:jc w:val="center"/>
              <w:rPr>
                <w:rFonts w:cs="Calibri"/>
                <w:color w:val="000000"/>
                <w:lang w:val="fr-FR"/>
              </w:rPr>
            </w:pPr>
            <w:r w:rsidRPr="006E3885">
              <w:rPr>
                <w:rFonts w:cs="Calibri"/>
                <w:color w:val="000000"/>
                <w:lang w:val="fr-FR"/>
              </w:rPr>
              <w:t>-0.2</w:t>
            </w:r>
          </w:p>
        </w:tc>
      </w:tr>
    </w:tbl>
    <w:p w14:paraId="5CEFDB18" w14:textId="77777777" w:rsidR="00C77717" w:rsidRPr="003F211E" w:rsidRDefault="00C77717" w:rsidP="003F211E">
      <w:pPr>
        <w:autoSpaceDE w:val="0"/>
        <w:autoSpaceDN w:val="0"/>
        <w:adjustRightInd w:val="0"/>
        <w:spacing w:after="0" w:line="240" w:lineRule="auto"/>
        <w:jc w:val="both"/>
        <w:rPr>
          <w:color w:val="000000"/>
          <w:sz w:val="24"/>
          <w:szCs w:val="24"/>
          <w:lang w:val="fr-FR" w:eastAsia="en-GB"/>
        </w:rPr>
      </w:pPr>
      <w:bookmarkStart w:id="4" w:name="_GoBack"/>
      <w:bookmarkEnd w:id="4"/>
    </w:p>
    <w:sectPr w:rsidR="00C77717" w:rsidRPr="003F211E" w:rsidSect="003F211E">
      <w:footerReference w:type="default" r:id="rId7"/>
      <w:pgSz w:w="11906" w:h="16838"/>
      <w:pgMar w:top="720" w:right="720" w:bottom="720" w:left="720" w:header="284" w:footer="3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02B96" w14:textId="77777777" w:rsidR="00AB0515" w:rsidRDefault="00AB0515" w:rsidP="00816BE9">
      <w:pPr>
        <w:spacing w:after="0" w:line="240" w:lineRule="auto"/>
      </w:pPr>
      <w:r>
        <w:separator/>
      </w:r>
    </w:p>
  </w:endnote>
  <w:endnote w:type="continuationSeparator" w:id="0">
    <w:p w14:paraId="6A5FA1C3" w14:textId="77777777" w:rsidR="00AB0515" w:rsidRDefault="00AB0515" w:rsidP="0081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ist521BT-Roman">
    <w:panose1 w:val="00000000000000000000"/>
    <w:charset w:val="00"/>
    <w:family w:val="auto"/>
    <w:notTrueType/>
    <w:pitch w:val="default"/>
    <w:sig w:usb0="00000003" w:usb1="00000000" w:usb2="00000000" w:usb3="00000000" w:csb0="00000001" w:csb1="00000000"/>
  </w:font>
  <w:font w:name="AdvPSSym">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A38B" w14:textId="63E592C5" w:rsidR="00504768" w:rsidRPr="00071570" w:rsidRDefault="00504768" w:rsidP="00B666F1">
    <w:pPr>
      <w:pStyle w:val="Pieddepage"/>
      <w:jc w:val="right"/>
      <w:rPr>
        <w:rFonts w:cs="Arial"/>
        <w:sz w:val="18"/>
        <w:szCs w:val="18"/>
      </w:rPr>
    </w:pPr>
    <w:r w:rsidRPr="000D2CB2">
      <w:t xml:space="preserve">Page </w:t>
    </w:r>
    <w:r w:rsidRPr="000D2CB2">
      <w:fldChar w:fldCharType="begin"/>
    </w:r>
    <w:r w:rsidRPr="000D2CB2">
      <w:instrText xml:space="preserve"> PAGE </w:instrText>
    </w:r>
    <w:r w:rsidRPr="000D2CB2">
      <w:fldChar w:fldCharType="separate"/>
    </w:r>
    <w:r w:rsidR="0036459F">
      <w:rPr>
        <w:noProof/>
      </w:rPr>
      <w:t>3</w:t>
    </w:r>
    <w:r w:rsidRPr="000D2CB2">
      <w:fldChar w:fldCharType="end"/>
    </w:r>
    <w:r w:rsidRPr="000D2CB2">
      <w:t xml:space="preserve"> of </w:t>
    </w:r>
    <w:r w:rsidRPr="000D2CB2">
      <w:fldChar w:fldCharType="begin"/>
    </w:r>
    <w:r w:rsidRPr="000D2CB2">
      <w:instrText xml:space="preserve"> NUMPAGES </w:instrText>
    </w:r>
    <w:r w:rsidRPr="000D2CB2">
      <w:fldChar w:fldCharType="separate"/>
    </w:r>
    <w:r w:rsidR="0036459F">
      <w:rPr>
        <w:noProof/>
      </w:rPr>
      <w:t>3</w:t>
    </w:r>
    <w:r w:rsidRPr="000D2CB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D4B0D" w14:textId="77777777" w:rsidR="00AB0515" w:rsidRDefault="00AB0515" w:rsidP="00816BE9">
      <w:pPr>
        <w:spacing w:after="0" w:line="240" w:lineRule="auto"/>
      </w:pPr>
      <w:r>
        <w:separator/>
      </w:r>
    </w:p>
  </w:footnote>
  <w:footnote w:type="continuationSeparator" w:id="0">
    <w:p w14:paraId="258FFE47" w14:textId="77777777" w:rsidR="00AB0515" w:rsidRDefault="00AB0515" w:rsidP="00816BE9">
      <w:pPr>
        <w:spacing w:after="0" w:line="240" w:lineRule="auto"/>
      </w:pPr>
      <w:r>
        <w:continuationSeparator/>
      </w:r>
    </w:p>
  </w:footnote>
  <w:footnote w:id="1">
    <w:p w14:paraId="783888DA" w14:textId="27D87FC2" w:rsidR="00504768" w:rsidRPr="001E7DEE" w:rsidRDefault="00504768" w:rsidP="001F74E0">
      <w:pPr>
        <w:pStyle w:val="Notedebasdepage"/>
        <w:spacing w:after="0" w:line="240" w:lineRule="auto"/>
        <w:jc w:val="both"/>
        <w:rPr>
          <w:lang w:val="fr-FR"/>
        </w:rPr>
      </w:pPr>
      <w:r w:rsidRPr="001E7DEE">
        <w:rPr>
          <w:rStyle w:val="Appelnotedebasdep"/>
        </w:rPr>
        <w:footnoteRef/>
      </w:r>
      <w:r w:rsidRPr="006E3885">
        <w:rPr>
          <w:lang w:val="fr-FR"/>
        </w:rPr>
        <w:t xml:space="preserve"> </w:t>
      </w:r>
      <w:r w:rsidRPr="001E7DEE">
        <w:rPr>
          <w:lang w:val="fr-FR"/>
        </w:rPr>
        <w:t>La version originale de ce document a été développée en 2012 par Ismail Arte Rage (ancien conseiller régional HCR à Nairobi) et M</w:t>
      </w:r>
      <w:r w:rsidRPr="001E7DEE">
        <w:rPr>
          <w:rFonts w:cs="Calibri"/>
          <w:lang w:val="fr-FR"/>
        </w:rPr>
        <w:t>é</w:t>
      </w:r>
      <w:r w:rsidRPr="001E7DEE">
        <w:rPr>
          <w:lang w:val="fr-FR"/>
        </w:rPr>
        <w:t>lody Tondeur (Consultante en nutrition HCR) d’après l’expérience acquise lors de la mise en œuvre d’</w:t>
      </w:r>
      <w:r w:rsidR="001378F5" w:rsidRPr="001E7DEE">
        <w:rPr>
          <w:lang w:val="fr-FR"/>
        </w:rPr>
        <w:t>enquêtes</w:t>
      </w:r>
      <w:r w:rsidRPr="001E7DEE">
        <w:rPr>
          <w:lang w:val="fr-FR"/>
        </w:rPr>
        <w:t xml:space="preserve"> nutritionnelles au Rwanda.</w:t>
      </w:r>
    </w:p>
  </w:footnote>
  <w:footnote w:id="2">
    <w:p w14:paraId="316E2056" w14:textId="5CC4A09C" w:rsidR="00504768" w:rsidRPr="001F74E0" w:rsidRDefault="00504768" w:rsidP="001F74E0">
      <w:pPr>
        <w:autoSpaceDE w:val="0"/>
        <w:autoSpaceDN w:val="0"/>
        <w:adjustRightInd w:val="0"/>
        <w:spacing w:after="0" w:line="240" w:lineRule="auto"/>
        <w:jc w:val="both"/>
        <w:rPr>
          <w:sz w:val="20"/>
          <w:szCs w:val="20"/>
        </w:rPr>
      </w:pPr>
      <w:r w:rsidRPr="001E7DEE">
        <w:rPr>
          <w:rStyle w:val="Appelnotedebasdep"/>
          <w:sz w:val="20"/>
          <w:szCs w:val="20"/>
        </w:rPr>
        <w:footnoteRef/>
      </w:r>
      <w:r w:rsidRPr="001E7DEE">
        <w:rPr>
          <w:sz w:val="20"/>
          <w:szCs w:val="20"/>
        </w:rPr>
        <w:t xml:space="preserve"> </w:t>
      </w:r>
      <w:proofErr w:type="spellStart"/>
      <w:r w:rsidRPr="001E7DEE">
        <w:rPr>
          <w:rFonts w:cs="Humanist521BT-Roman"/>
          <w:sz w:val="20"/>
          <w:szCs w:val="20"/>
          <w:lang w:eastAsia="en-GB"/>
        </w:rPr>
        <w:t>Centers</w:t>
      </w:r>
      <w:proofErr w:type="spellEnd"/>
      <w:r w:rsidRPr="001E7DEE">
        <w:rPr>
          <w:rFonts w:cs="Humanist521BT-Roman"/>
          <w:sz w:val="20"/>
          <w:szCs w:val="20"/>
          <w:lang w:eastAsia="en-GB"/>
        </w:rPr>
        <w:t xml:space="preserve"> for Disease Control and Prevention. Criteria for </w:t>
      </w:r>
      <w:proofErr w:type="spellStart"/>
      <w:r w:rsidRPr="001E7DEE">
        <w:rPr>
          <w:rFonts w:cs="Humanist521BT-Roman"/>
          <w:sz w:val="20"/>
          <w:szCs w:val="20"/>
          <w:lang w:eastAsia="en-GB"/>
        </w:rPr>
        <w:t>anemia</w:t>
      </w:r>
      <w:proofErr w:type="spellEnd"/>
      <w:r w:rsidRPr="001E7DEE">
        <w:rPr>
          <w:rFonts w:cs="Humanist521BT-Roman"/>
          <w:sz w:val="20"/>
          <w:szCs w:val="20"/>
          <w:lang w:eastAsia="en-GB"/>
        </w:rPr>
        <w:t xml:space="preserve"> in children and childbearing-aged</w:t>
      </w:r>
      <w:r w:rsidR="001F74E0">
        <w:rPr>
          <w:rFonts w:cs="Humanist521BT-Roman"/>
          <w:sz w:val="20"/>
          <w:szCs w:val="20"/>
          <w:lang w:eastAsia="en-GB"/>
        </w:rPr>
        <w:t xml:space="preserve"> </w:t>
      </w:r>
      <w:r w:rsidRPr="001E7DEE">
        <w:rPr>
          <w:rFonts w:cs="Humanist521BT-Roman"/>
          <w:sz w:val="20"/>
          <w:szCs w:val="20"/>
          <w:lang w:eastAsia="en-GB"/>
        </w:rPr>
        <w:t xml:space="preserve">women. MMWR </w:t>
      </w:r>
      <w:proofErr w:type="spellStart"/>
      <w:r w:rsidRPr="001E7DEE">
        <w:rPr>
          <w:rFonts w:cs="Humanist521BT-Roman"/>
          <w:sz w:val="20"/>
          <w:szCs w:val="20"/>
          <w:lang w:eastAsia="en-GB"/>
        </w:rPr>
        <w:t>Morb</w:t>
      </w:r>
      <w:proofErr w:type="spellEnd"/>
      <w:r w:rsidRPr="001E7DEE">
        <w:rPr>
          <w:rFonts w:cs="Humanist521BT-Roman"/>
          <w:sz w:val="20"/>
          <w:szCs w:val="20"/>
          <w:lang w:eastAsia="en-GB"/>
        </w:rPr>
        <w:t xml:space="preserve"> Mortal </w:t>
      </w:r>
      <w:proofErr w:type="spellStart"/>
      <w:r w:rsidRPr="001E7DEE">
        <w:rPr>
          <w:rFonts w:cs="Humanist521BT-Roman"/>
          <w:sz w:val="20"/>
          <w:szCs w:val="20"/>
          <w:lang w:eastAsia="en-GB"/>
        </w:rPr>
        <w:t>Wkly</w:t>
      </w:r>
      <w:proofErr w:type="spellEnd"/>
      <w:r w:rsidRPr="001E7DEE">
        <w:rPr>
          <w:rFonts w:cs="Humanist521BT-Roman"/>
          <w:sz w:val="20"/>
          <w:szCs w:val="20"/>
          <w:lang w:eastAsia="en-GB"/>
        </w:rPr>
        <w:t xml:space="preserve"> Rep 1989;38:400–404</w:t>
      </w:r>
    </w:p>
  </w:footnote>
  <w:footnote w:id="3">
    <w:p w14:paraId="68DB518A" w14:textId="77777777" w:rsidR="00504768" w:rsidRPr="00B666F1" w:rsidRDefault="00504768" w:rsidP="001F74E0">
      <w:pPr>
        <w:pStyle w:val="Notedebasdepage"/>
        <w:spacing w:after="0" w:line="240" w:lineRule="auto"/>
      </w:pPr>
      <w:r w:rsidRPr="00B666F1">
        <w:rPr>
          <w:rStyle w:val="Appelnotedebasdep"/>
        </w:rPr>
        <w:footnoteRef/>
      </w:r>
      <w:r w:rsidRPr="00B666F1">
        <w:t xml:space="preserve"> </w:t>
      </w:r>
      <w:r w:rsidRPr="00B666F1">
        <w:rPr>
          <w:lang w:eastAsia="en-GB"/>
        </w:rPr>
        <w:t xml:space="preserve">Kevin M. Sullivan, </w:t>
      </w:r>
      <w:proofErr w:type="spellStart"/>
      <w:r w:rsidRPr="00B666F1">
        <w:rPr>
          <w:lang w:eastAsia="en-GB"/>
        </w:rPr>
        <w:t>Zuguo</w:t>
      </w:r>
      <w:proofErr w:type="spellEnd"/>
      <w:r w:rsidRPr="00B666F1">
        <w:rPr>
          <w:lang w:eastAsia="en-GB"/>
        </w:rPr>
        <w:t xml:space="preserve"> Mei, Laurence </w:t>
      </w:r>
      <w:proofErr w:type="spellStart"/>
      <w:r w:rsidRPr="00B666F1">
        <w:rPr>
          <w:lang w:eastAsia="en-GB"/>
        </w:rPr>
        <w:t>Grummer</w:t>
      </w:r>
      <w:proofErr w:type="spellEnd"/>
      <w:r w:rsidRPr="00B666F1">
        <w:rPr>
          <w:lang w:eastAsia="en-GB"/>
        </w:rPr>
        <w:t xml:space="preserve">-Strawn, and Ibrahim </w:t>
      </w:r>
      <w:proofErr w:type="spellStart"/>
      <w:r w:rsidRPr="00B666F1">
        <w:rPr>
          <w:lang w:eastAsia="en-GB"/>
        </w:rPr>
        <w:t>Parvanta</w:t>
      </w:r>
      <w:proofErr w:type="spellEnd"/>
      <w:r w:rsidRPr="00B666F1">
        <w:rPr>
          <w:lang w:eastAsia="en-GB"/>
        </w:rPr>
        <w:t>, (2008) Haemoglobin adjustments to define anaemia. Tropical Medicine and International volume 13 no 10 pp 1267–1271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544"/>
    <w:rsid w:val="00001F27"/>
    <w:rsid w:val="00007F00"/>
    <w:rsid w:val="00015796"/>
    <w:rsid w:val="000319B5"/>
    <w:rsid w:val="00062A7A"/>
    <w:rsid w:val="00063594"/>
    <w:rsid w:val="000658FF"/>
    <w:rsid w:val="000663DA"/>
    <w:rsid w:val="000A0A57"/>
    <w:rsid w:val="000B7698"/>
    <w:rsid w:val="000D1544"/>
    <w:rsid w:val="00100161"/>
    <w:rsid w:val="00110BDE"/>
    <w:rsid w:val="00114698"/>
    <w:rsid w:val="00131235"/>
    <w:rsid w:val="001378F5"/>
    <w:rsid w:val="00147538"/>
    <w:rsid w:val="00165856"/>
    <w:rsid w:val="00181EF6"/>
    <w:rsid w:val="00182EB6"/>
    <w:rsid w:val="0018668F"/>
    <w:rsid w:val="00196163"/>
    <w:rsid w:val="001D61A8"/>
    <w:rsid w:val="001E4981"/>
    <w:rsid w:val="001E7DEE"/>
    <w:rsid w:val="001F5041"/>
    <w:rsid w:val="001F74E0"/>
    <w:rsid w:val="002A3EB9"/>
    <w:rsid w:val="002A44FF"/>
    <w:rsid w:val="002E2F43"/>
    <w:rsid w:val="002F4ADD"/>
    <w:rsid w:val="00303E03"/>
    <w:rsid w:val="00306084"/>
    <w:rsid w:val="0032149E"/>
    <w:rsid w:val="0033740E"/>
    <w:rsid w:val="00344F43"/>
    <w:rsid w:val="0036459F"/>
    <w:rsid w:val="0037005B"/>
    <w:rsid w:val="003A62A6"/>
    <w:rsid w:val="003C56C0"/>
    <w:rsid w:val="003F211E"/>
    <w:rsid w:val="0042406B"/>
    <w:rsid w:val="004266D9"/>
    <w:rsid w:val="00456861"/>
    <w:rsid w:val="00471F8F"/>
    <w:rsid w:val="004C46F2"/>
    <w:rsid w:val="004F105A"/>
    <w:rsid w:val="004F2DEA"/>
    <w:rsid w:val="004F7A8F"/>
    <w:rsid w:val="0050083A"/>
    <w:rsid w:val="00504768"/>
    <w:rsid w:val="005411BB"/>
    <w:rsid w:val="005A14CA"/>
    <w:rsid w:val="005B3F27"/>
    <w:rsid w:val="00631B4E"/>
    <w:rsid w:val="006476DB"/>
    <w:rsid w:val="00650494"/>
    <w:rsid w:val="006E3885"/>
    <w:rsid w:val="006F14C7"/>
    <w:rsid w:val="00736380"/>
    <w:rsid w:val="00756635"/>
    <w:rsid w:val="007744BD"/>
    <w:rsid w:val="007823D0"/>
    <w:rsid w:val="007940E7"/>
    <w:rsid w:val="007B022C"/>
    <w:rsid w:val="007C337C"/>
    <w:rsid w:val="007F4C10"/>
    <w:rsid w:val="00816BE9"/>
    <w:rsid w:val="00871925"/>
    <w:rsid w:val="008E470D"/>
    <w:rsid w:val="00925684"/>
    <w:rsid w:val="00931002"/>
    <w:rsid w:val="00946007"/>
    <w:rsid w:val="009657F1"/>
    <w:rsid w:val="009A1CBA"/>
    <w:rsid w:val="009A62E8"/>
    <w:rsid w:val="009D3C04"/>
    <w:rsid w:val="009E737B"/>
    <w:rsid w:val="00A57AE8"/>
    <w:rsid w:val="00A6421D"/>
    <w:rsid w:val="00A8352C"/>
    <w:rsid w:val="00A97F09"/>
    <w:rsid w:val="00AA2373"/>
    <w:rsid w:val="00AA40B2"/>
    <w:rsid w:val="00AB0515"/>
    <w:rsid w:val="00AB2A3A"/>
    <w:rsid w:val="00AC6630"/>
    <w:rsid w:val="00AD6C83"/>
    <w:rsid w:val="00AE372B"/>
    <w:rsid w:val="00B3425E"/>
    <w:rsid w:val="00B34F95"/>
    <w:rsid w:val="00B666F1"/>
    <w:rsid w:val="00B73CBE"/>
    <w:rsid w:val="00B8797A"/>
    <w:rsid w:val="00BA4AAE"/>
    <w:rsid w:val="00BA4DFA"/>
    <w:rsid w:val="00BF0A89"/>
    <w:rsid w:val="00BF61AD"/>
    <w:rsid w:val="00C132E2"/>
    <w:rsid w:val="00C413B0"/>
    <w:rsid w:val="00C77717"/>
    <w:rsid w:val="00C82721"/>
    <w:rsid w:val="00C917CE"/>
    <w:rsid w:val="00C95E0D"/>
    <w:rsid w:val="00CA20AF"/>
    <w:rsid w:val="00CB6339"/>
    <w:rsid w:val="00CD5965"/>
    <w:rsid w:val="00CF5D37"/>
    <w:rsid w:val="00D36C8C"/>
    <w:rsid w:val="00DD7274"/>
    <w:rsid w:val="00DF2710"/>
    <w:rsid w:val="00ED09A0"/>
    <w:rsid w:val="00F06839"/>
    <w:rsid w:val="00F221ED"/>
    <w:rsid w:val="00F43D9A"/>
    <w:rsid w:val="00F80176"/>
    <w:rsid w:val="00FD007C"/>
    <w:rsid w:val="00FD4C41"/>
    <w:rsid w:val="00FF1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99534"/>
  <w15:chartTrackingRefBased/>
  <w15:docId w15:val="{54F2313E-98AB-4A7D-A7CA-6F9A0F8F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Titre2">
    <w:name w:val="heading 2"/>
    <w:basedOn w:val="Normal"/>
    <w:next w:val="Normal"/>
    <w:link w:val="Titre2Car"/>
    <w:uiPriority w:val="9"/>
    <w:qFormat/>
    <w:rsid w:val="00BF61AD"/>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16BE9"/>
    <w:rPr>
      <w:sz w:val="20"/>
      <w:szCs w:val="20"/>
    </w:rPr>
  </w:style>
  <w:style w:type="character" w:customStyle="1" w:styleId="NotedebasdepageCar">
    <w:name w:val="Note de bas de page Car"/>
    <w:link w:val="Notedebasdepage"/>
    <w:uiPriority w:val="99"/>
    <w:semiHidden/>
    <w:rsid w:val="00816BE9"/>
    <w:rPr>
      <w:lang w:eastAsia="en-US"/>
    </w:rPr>
  </w:style>
  <w:style w:type="character" w:styleId="Appelnotedebasdep">
    <w:name w:val="footnote reference"/>
    <w:uiPriority w:val="99"/>
    <w:semiHidden/>
    <w:unhideWhenUsed/>
    <w:rsid w:val="00816BE9"/>
    <w:rPr>
      <w:vertAlign w:val="superscript"/>
    </w:rPr>
  </w:style>
  <w:style w:type="character" w:styleId="Lienhypertexte">
    <w:name w:val="Hyperlink"/>
    <w:uiPriority w:val="99"/>
    <w:semiHidden/>
    <w:unhideWhenUsed/>
    <w:rsid w:val="00C77717"/>
    <w:rPr>
      <w:color w:val="0000FF"/>
      <w:u w:val="single"/>
    </w:rPr>
  </w:style>
  <w:style w:type="character" w:styleId="Lienhypertextesuivivisit">
    <w:name w:val="FollowedHyperlink"/>
    <w:uiPriority w:val="99"/>
    <w:semiHidden/>
    <w:unhideWhenUsed/>
    <w:rsid w:val="00C77717"/>
    <w:rPr>
      <w:color w:val="800080"/>
      <w:u w:val="single"/>
    </w:rPr>
  </w:style>
  <w:style w:type="paragraph" w:customStyle="1" w:styleId="xl64">
    <w:name w:val="xl64"/>
    <w:basedOn w:val="Normal"/>
    <w:rsid w:val="00C77717"/>
    <w:pPr>
      <w:shd w:val="clear" w:color="000000" w:fill="FF00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5">
    <w:name w:val="xl65"/>
    <w:basedOn w:val="Normal"/>
    <w:rsid w:val="00C77717"/>
    <w:pPr>
      <w:shd w:val="clear" w:color="000000" w:fill="FF0000"/>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6">
    <w:name w:val="xl66"/>
    <w:basedOn w:val="Normal"/>
    <w:rsid w:val="00C77717"/>
    <w:pPr>
      <w:spacing w:before="100" w:beforeAutospacing="1" w:after="100" w:afterAutospacing="1" w:line="240" w:lineRule="auto"/>
    </w:pPr>
    <w:rPr>
      <w:rFonts w:ascii="Arial" w:eastAsia="Times New Roman" w:hAnsi="Arial" w:cs="Arial"/>
      <w:b/>
      <w:bCs/>
      <w:sz w:val="24"/>
      <w:szCs w:val="24"/>
      <w:lang w:eastAsia="en-GB"/>
    </w:rPr>
  </w:style>
  <w:style w:type="table" w:styleId="Grilledutableau">
    <w:name w:val="Table Grid"/>
    <w:basedOn w:val="TableauNormal"/>
    <w:uiPriority w:val="59"/>
    <w:rsid w:val="00065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BF0A89"/>
    <w:pPr>
      <w:spacing w:before="240" w:after="60"/>
      <w:jc w:val="center"/>
      <w:outlineLvl w:val="0"/>
    </w:pPr>
    <w:rPr>
      <w:rFonts w:ascii="Cambria" w:eastAsia="Times New Roman" w:hAnsi="Cambria"/>
      <w:b/>
      <w:bCs/>
      <w:kern w:val="28"/>
      <w:sz w:val="32"/>
      <w:szCs w:val="32"/>
    </w:rPr>
  </w:style>
  <w:style w:type="character" w:customStyle="1" w:styleId="TitreCar">
    <w:name w:val="Titre Car"/>
    <w:link w:val="Titre"/>
    <w:uiPriority w:val="10"/>
    <w:rsid w:val="00BF0A89"/>
    <w:rPr>
      <w:rFonts w:ascii="Cambria" w:eastAsia="Times New Roman" w:hAnsi="Cambria" w:cs="Times New Roman"/>
      <w:b/>
      <w:bCs/>
      <w:kern w:val="28"/>
      <w:sz w:val="32"/>
      <w:szCs w:val="32"/>
      <w:lang w:eastAsia="en-US"/>
    </w:rPr>
  </w:style>
  <w:style w:type="character" w:customStyle="1" w:styleId="Titre2Car">
    <w:name w:val="Titre 2 Car"/>
    <w:link w:val="Titre2"/>
    <w:uiPriority w:val="9"/>
    <w:rsid w:val="00BF61AD"/>
    <w:rPr>
      <w:rFonts w:ascii="Cambria" w:eastAsia="Times New Roman" w:hAnsi="Cambria" w:cs="Times New Roman"/>
      <w:b/>
      <w:bCs/>
      <w:i/>
      <w:iCs/>
      <w:sz w:val="28"/>
      <w:szCs w:val="28"/>
      <w:lang w:eastAsia="en-US"/>
    </w:rPr>
  </w:style>
  <w:style w:type="paragraph" w:styleId="Textedebulles">
    <w:name w:val="Balloon Text"/>
    <w:basedOn w:val="Normal"/>
    <w:semiHidden/>
    <w:rsid w:val="00925684"/>
    <w:rPr>
      <w:rFonts w:ascii="Tahoma" w:hAnsi="Tahoma" w:cs="Tahoma"/>
      <w:sz w:val="16"/>
      <w:szCs w:val="16"/>
    </w:rPr>
  </w:style>
  <w:style w:type="character" w:styleId="Marquedecommentaire">
    <w:name w:val="annotation reference"/>
    <w:semiHidden/>
    <w:rsid w:val="00B666F1"/>
    <w:rPr>
      <w:sz w:val="16"/>
      <w:szCs w:val="16"/>
    </w:rPr>
  </w:style>
  <w:style w:type="paragraph" w:styleId="Commentaire">
    <w:name w:val="annotation text"/>
    <w:basedOn w:val="Normal"/>
    <w:semiHidden/>
    <w:rsid w:val="00B666F1"/>
    <w:rPr>
      <w:sz w:val="20"/>
      <w:szCs w:val="20"/>
    </w:rPr>
  </w:style>
  <w:style w:type="paragraph" w:styleId="Objetducommentaire">
    <w:name w:val="annotation subject"/>
    <w:basedOn w:val="Commentaire"/>
    <w:next w:val="Commentaire"/>
    <w:semiHidden/>
    <w:rsid w:val="00B666F1"/>
    <w:rPr>
      <w:b/>
      <w:bCs/>
    </w:rPr>
  </w:style>
  <w:style w:type="paragraph" w:styleId="En-tte">
    <w:name w:val="header"/>
    <w:basedOn w:val="Normal"/>
    <w:rsid w:val="00B666F1"/>
    <w:pPr>
      <w:tabs>
        <w:tab w:val="center" w:pos="4320"/>
        <w:tab w:val="right" w:pos="8640"/>
      </w:tabs>
    </w:pPr>
  </w:style>
  <w:style w:type="paragraph" w:styleId="Pieddepage">
    <w:name w:val="footer"/>
    <w:basedOn w:val="Normal"/>
    <w:rsid w:val="00B666F1"/>
    <w:pPr>
      <w:tabs>
        <w:tab w:val="center" w:pos="4320"/>
        <w:tab w:val="right" w:pos="8640"/>
      </w:tabs>
    </w:pPr>
  </w:style>
  <w:style w:type="character" w:styleId="Numrodepage">
    <w:name w:val="page number"/>
    <w:basedOn w:val="Policepardfaut"/>
    <w:rsid w:val="00B666F1"/>
  </w:style>
  <w:style w:type="paragraph" w:customStyle="1" w:styleId="Rvision1">
    <w:name w:val="Révision1"/>
    <w:hidden/>
    <w:uiPriority w:val="99"/>
    <w:semiHidden/>
    <w:rsid w:val="00ED09A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468100">
      <w:bodyDiv w:val="1"/>
      <w:marLeft w:val="0"/>
      <w:marRight w:val="0"/>
      <w:marTop w:val="0"/>
      <w:marBottom w:val="0"/>
      <w:divBdr>
        <w:top w:val="none" w:sz="0" w:space="0" w:color="auto"/>
        <w:left w:val="none" w:sz="0" w:space="0" w:color="auto"/>
        <w:bottom w:val="none" w:sz="0" w:space="0" w:color="auto"/>
        <w:right w:val="none" w:sz="0" w:space="0" w:color="auto"/>
      </w:divBdr>
    </w:div>
    <w:div w:id="1704404499">
      <w:bodyDiv w:val="1"/>
      <w:marLeft w:val="0"/>
      <w:marRight w:val="0"/>
      <w:marTop w:val="0"/>
      <w:marBottom w:val="0"/>
      <w:divBdr>
        <w:top w:val="none" w:sz="0" w:space="0" w:color="auto"/>
        <w:left w:val="none" w:sz="0" w:space="0" w:color="auto"/>
        <w:bottom w:val="none" w:sz="0" w:space="0" w:color="auto"/>
        <w:right w:val="none" w:sz="0" w:space="0" w:color="auto"/>
      </w:divBdr>
    </w:div>
    <w:div w:id="18289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C949-C4B6-459B-A61F-F5E166B8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4849</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Adjustment for Altitude</vt:lpstr>
      <vt:lpstr>Adjustment for Altitude </vt:lpstr>
    </vt:vector>
  </TitlesOfParts>
  <Company>UNHCR</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Adjustment for Altitude</dc:title>
  <dc:subject/>
  <dc:creator>UNHCRUser</dc:creator>
  <cp:keywords/>
  <dc:description/>
  <cp:lastModifiedBy>Fanny Cassard</cp:lastModifiedBy>
  <cp:revision>10</cp:revision>
  <cp:lastPrinted>2013-04-12T12:44:00Z</cp:lastPrinted>
  <dcterms:created xsi:type="dcterms:W3CDTF">2018-03-23T15:27:00Z</dcterms:created>
  <dcterms:modified xsi:type="dcterms:W3CDTF">2019-04-25T14:29:00Z</dcterms:modified>
</cp:coreProperties>
</file>