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1B0" w:rsidRPr="00E26636" w:rsidRDefault="007176FE">
      <w:pPr>
        <w:rPr>
          <w:rFonts w:asciiTheme="minorHAnsi" w:hAnsiTheme="minorHAnsi" w:cstheme="minorHAnsi"/>
          <w:b/>
          <w:bCs/>
          <w:sz w:val="36"/>
          <w:szCs w:val="22"/>
          <w:lang w:val="fr-FR"/>
        </w:rPr>
      </w:pPr>
      <w:r>
        <w:rPr>
          <w:rFonts w:asciiTheme="minorHAnsi" w:hAnsiTheme="minorHAnsi" w:cstheme="minorHAnsi"/>
          <w:b/>
          <w:bCs/>
          <w:sz w:val="36"/>
          <w:szCs w:val="22"/>
          <w:lang w:val="fr-FR"/>
        </w:rPr>
        <w:t xml:space="preserve">SENS </w:t>
      </w:r>
      <w:r w:rsidR="00BC257C" w:rsidRPr="00E26636">
        <w:rPr>
          <w:rFonts w:asciiTheme="minorHAnsi" w:hAnsiTheme="minorHAnsi" w:cstheme="minorHAnsi"/>
          <w:b/>
          <w:bCs/>
          <w:sz w:val="36"/>
          <w:szCs w:val="22"/>
          <w:lang w:val="fr-FR"/>
        </w:rPr>
        <w:t>List</w:t>
      </w:r>
      <w:r>
        <w:rPr>
          <w:rFonts w:asciiTheme="minorHAnsi" w:hAnsiTheme="minorHAnsi" w:cstheme="minorHAnsi"/>
          <w:b/>
          <w:bCs/>
          <w:sz w:val="36"/>
          <w:szCs w:val="22"/>
          <w:lang w:val="fr-FR"/>
        </w:rPr>
        <w:t xml:space="preserve"> of O</w:t>
      </w:r>
      <w:r w:rsidR="00BC257C" w:rsidRPr="00E26636">
        <w:rPr>
          <w:rFonts w:asciiTheme="minorHAnsi" w:hAnsiTheme="minorHAnsi" w:cstheme="minorHAnsi"/>
          <w:b/>
          <w:bCs/>
          <w:sz w:val="36"/>
          <w:szCs w:val="22"/>
          <w:lang w:val="fr-FR"/>
        </w:rPr>
        <w:t>bjecti</w:t>
      </w:r>
      <w:r>
        <w:rPr>
          <w:rFonts w:asciiTheme="minorHAnsi" w:hAnsiTheme="minorHAnsi" w:cstheme="minorHAnsi"/>
          <w:b/>
          <w:bCs/>
          <w:sz w:val="36"/>
          <w:szCs w:val="22"/>
          <w:lang w:val="fr-FR"/>
        </w:rPr>
        <w:t>ves</w:t>
      </w:r>
    </w:p>
    <w:p w:rsidR="00103DF2" w:rsidRPr="00E26636" w:rsidRDefault="00103DF2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253"/>
        <w:gridCol w:w="1844"/>
        <w:gridCol w:w="4245"/>
        <w:gridCol w:w="3511"/>
        <w:gridCol w:w="3517"/>
      </w:tblGrid>
      <w:tr w:rsidR="00E26636" w:rsidRPr="0005366F" w:rsidTr="00EE377E">
        <w:trPr>
          <w:trHeight w:val="147"/>
          <w:tblHeader/>
        </w:trPr>
        <w:tc>
          <w:tcPr>
            <w:tcW w:w="73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6636" w:rsidRPr="0005366F" w:rsidRDefault="00E26636" w:rsidP="00E266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536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Module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E26636" w:rsidRPr="0005366F" w:rsidRDefault="007276B6" w:rsidP="00E266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536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Level of repre</w:t>
            </w:r>
            <w:r w:rsidR="00E26636" w:rsidRPr="000536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sentativit</w:t>
            </w:r>
            <w:r w:rsidRPr="000536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y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E26636" w:rsidRPr="0005366F" w:rsidRDefault="007276B6" w:rsidP="00E266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536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Primary o</w:t>
            </w:r>
            <w:r w:rsidR="00E26636" w:rsidRPr="000536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bjecti</w:t>
            </w:r>
            <w:r w:rsidRPr="000536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ves</w:t>
            </w:r>
          </w:p>
        </w:tc>
        <w:tc>
          <w:tcPr>
            <w:tcW w:w="114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26636" w:rsidRPr="0005366F" w:rsidRDefault="007276B6" w:rsidP="00E266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536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Secondary </w:t>
            </w:r>
            <w:r w:rsidR="00E26636" w:rsidRPr="000536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Objecti</w:t>
            </w:r>
            <w:r w:rsidRPr="000536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ve</w:t>
            </w:r>
            <w:r w:rsidR="00E26636" w:rsidRPr="000536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E26636" w:rsidRPr="0005366F" w:rsidRDefault="007276B6" w:rsidP="00E266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536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Optional </w:t>
            </w:r>
            <w:r w:rsidR="00E26636" w:rsidRPr="000536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Objecti</w:t>
            </w:r>
            <w:r w:rsidRPr="000536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ve</w:t>
            </w:r>
            <w:r w:rsidR="00E26636" w:rsidRPr="000536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</w:t>
            </w:r>
          </w:p>
        </w:tc>
      </w:tr>
      <w:tr w:rsidR="00E26636" w:rsidRPr="0005366F" w:rsidTr="00EE377E">
        <w:trPr>
          <w:trHeight w:val="228"/>
        </w:trPr>
        <w:tc>
          <w:tcPr>
            <w:tcW w:w="733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E26636" w:rsidRPr="0005366F" w:rsidRDefault="007276B6" w:rsidP="00E26636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/>
              </w:rPr>
            </w:pPr>
            <w:r w:rsidRPr="0005366F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/>
              </w:rPr>
              <w:t>1- Demography</w:t>
            </w:r>
          </w:p>
        </w:tc>
        <w:tc>
          <w:tcPr>
            <w:tcW w:w="600" w:type="pct"/>
            <w:shd w:val="clear" w:color="auto" w:fill="D9D9D9" w:themeFill="background1" w:themeFillShade="D9"/>
            <w:vAlign w:val="center"/>
          </w:tcPr>
          <w:p w:rsidR="00E26636" w:rsidRPr="00BB3FC6" w:rsidRDefault="007276B6" w:rsidP="00E26636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BB3FC6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Household-based</w:t>
            </w:r>
          </w:p>
        </w:tc>
        <w:tc>
          <w:tcPr>
            <w:tcW w:w="1381" w:type="pct"/>
            <w:shd w:val="clear" w:color="auto" w:fill="D9D9D9" w:themeFill="background1" w:themeFillShade="D9"/>
            <w:vAlign w:val="center"/>
          </w:tcPr>
          <w:p w:rsidR="00BC3D2A" w:rsidRPr="00BB3FC6" w:rsidRDefault="007276B6" w:rsidP="00BC3D2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BB3FC6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To determine the demographic profile of the </w:t>
            </w:r>
            <w:r w:rsidR="00BC3D2A" w:rsidRPr="00BB3FC6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population</w:t>
            </w:r>
            <w:r w:rsidR="00EE377E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;</w:t>
            </w:r>
          </w:p>
          <w:p w:rsidR="0008651A" w:rsidRPr="00BB3FC6" w:rsidRDefault="00955672" w:rsidP="005659D5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BB3FC6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To determine the age dependency ratio</w:t>
            </w:r>
            <w:r w:rsidR="00EE377E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114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E26636" w:rsidRPr="0005366F" w:rsidRDefault="00E26636" w:rsidP="00E2663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44" w:type="pct"/>
            <w:shd w:val="clear" w:color="auto" w:fill="D9D9D9" w:themeFill="background1" w:themeFillShade="D9"/>
            <w:vAlign w:val="center"/>
          </w:tcPr>
          <w:p w:rsidR="00E26636" w:rsidRPr="0005366F" w:rsidRDefault="00E26636" w:rsidP="00E2663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26636" w:rsidRPr="0005366F" w:rsidTr="00EE377E">
        <w:trPr>
          <w:trHeight w:val="147"/>
        </w:trPr>
        <w:tc>
          <w:tcPr>
            <w:tcW w:w="733" w:type="pct"/>
            <w:tcMar>
              <w:top w:w="28" w:type="dxa"/>
              <w:bottom w:w="28" w:type="dxa"/>
            </w:tcMar>
            <w:vAlign w:val="center"/>
          </w:tcPr>
          <w:p w:rsidR="00E26636" w:rsidRPr="0005366F" w:rsidRDefault="007276B6" w:rsidP="00E26636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/>
              </w:rPr>
            </w:pPr>
            <w:r w:rsidRPr="00506D62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/>
              </w:rPr>
              <w:t>2- Anthropome</w:t>
            </w:r>
            <w:r w:rsidR="00E26636" w:rsidRPr="00506D62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/>
              </w:rPr>
              <w:t>tr</w:t>
            </w:r>
            <w:r w:rsidRPr="00506D62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/>
              </w:rPr>
              <w:t>y</w:t>
            </w:r>
            <w:r w:rsidR="00E26636" w:rsidRPr="00506D62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/>
              </w:rPr>
              <w:t xml:space="preserve"> </w:t>
            </w:r>
            <w:r w:rsidRPr="00506D62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/>
              </w:rPr>
              <w:t>and Health</w:t>
            </w:r>
          </w:p>
        </w:tc>
        <w:tc>
          <w:tcPr>
            <w:tcW w:w="600" w:type="pct"/>
            <w:vAlign w:val="center"/>
          </w:tcPr>
          <w:p w:rsidR="00E26636" w:rsidRPr="0005366F" w:rsidRDefault="007276B6" w:rsidP="00E26636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05366F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Individual-based</w:t>
            </w:r>
          </w:p>
        </w:tc>
        <w:tc>
          <w:tcPr>
            <w:tcW w:w="1381" w:type="pct"/>
          </w:tcPr>
          <w:p w:rsidR="0005366F" w:rsidRPr="00BB3FC6" w:rsidRDefault="0005366F" w:rsidP="0005366F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BB3FC6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To measure the prevalence of acute malnutrition in children aged 6-59 months;</w:t>
            </w:r>
          </w:p>
          <w:p w:rsidR="0005366F" w:rsidRPr="00BB3FC6" w:rsidRDefault="0005366F" w:rsidP="0005366F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BB3FC6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To measure the prevalence of stunting in children aged 6-59 months;</w:t>
            </w:r>
          </w:p>
          <w:p w:rsidR="0005366F" w:rsidRPr="00BB3FC6" w:rsidRDefault="0005366F" w:rsidP="0005366F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BB3FC6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To determine the coverage of measles vaccination among children aged 9-59 months (or context-specific target group e.g. 9-23 months);</w:t>
            </w:r>
          </w:p>
          <w:p w:rsidR="0005366F" w:rsidRPr="00BB3FC6" w:rsidRDefault="0005366F" w:rsidP="0005366F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BB3FC6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To determine the coverage of vitamin A supplementation in the last 6 months among children aged 6-59 months;</w:t>
            </w:r>
          </w:p>
          <w:p w:rsidR="00E26636" w:rsidRPr="00BB3FC6" w:rsidRDefault="0005366F" w:rsidP="0005366F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BB3FC6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To determine the two-week period prevalence of diarrhoea among children aged 6-59 months</w:t>
            </w:r>
            <w:r w:rsidR="00D75EE4" w:rsidRPr="00BB3FC6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1142" w:type="pct"/>
            <w:tcMar>
              <w:top w:w="28" w:type="dxa"/>
              <w:bottom w:w="28" w:type="dxa"/>
            </w:tcMar>
          </w:tcPr>
          <w:p w:rsidR="0005366F" w:rsidRPr="00BB3FC6" w:rsidRDefault="0005366F" w:rsidP="0005366F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BB3FC6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To determine the enrolment into the targeted supplementary </w:t>
            </w:r>
            <w:r w:rsidR="001F00B4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(TSFP) </w:t>
            </w:r>
            <w:r w:rsidRPr="00BB3FC6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and therapeutic (</w:t>
            </w:r>
            <w:r w:rsidR="00BB3FC6" w:rsidRPr="00BB3FC6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OTP</w:t>
            </w:r>
            <w:r w:rsidRPr="00BB3FC6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/</w:t>
            </w:r>
            <w:r w:rsidR="00BB3FC6" w:rsidRPr="00BB3FC6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SC</w:t>
            </w:r>
            <w:r w:rsidRPr="00BB3FC6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) </w:t>
            </w:r>
            <w:r w:rsidR="00BB3FC6" w:rsidRPr="00BB3FC6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nutrition</w:t>
            </w:r>
            <w:r w:rsidRPr="00BB3FC6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programmes for children aged 6-59 months;</w:t>
            </w:r>
          </w:p>
          <w:p w:rsidR="00E26636" w:rsidRDefault="0005366F" w:rsidP="0005366F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BB3FC6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To determine the </w:t>
            </w:r>
            <w:r w:rsidR="00EF3125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coverage of</w:t>
            </w:r>
            <w:r w:rsidRPr="00BB3FC6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the blanket supplementary feeding programme</w:t>
            </w:r>
            <w:r w:rsidR="00EE377E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(BSFP)</w:t>
            </w:r>
            <w:r w:rsidRPr="00BB3FC6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for children aged 6-23/6-35/6-59 months (if applicable)</w:t>
            </w:r>
            <w:r w:rsidR="00EE377E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;</w:t>
            </w:r>
          </w:p>
          <w:p w:rsidR="00EE377E" w:rsidRDefault="00EE377E" w:rsidP="00EE377E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BB3FC6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To determine the coverage of deworming (soil-transmitted helminth control) with mebendazole or albendazole in the last six months among young children (include context specific target age group, 12-59m/24-59m) (if applicable)</w:t>
            </w:r>
            <w:r w:rsidR="00EE2D16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;</w:t>
            </w:r>
          </w:p>
          <w:p w:rsidR="00EE2D16" w:rsidRPr="00EE2D16" w:rsidRDefault="00EE2D16" w:rsidP="00EE2D16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D57BAB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To determine the coverage of the blanket supplementary feeding programme (BSFP) for </w:t>
            </w:r>
            <w:r w:rsidR="0053261A" w:rsidRPr="00D57BAB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pregnant </w:t>
            </w:r>
            <w:r w:rsidRPr="00D57BAB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women</w:t>
            </w:r>
            <w:r w:rsidR="0053261A" w:rsidRPr="00D57BAB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and lactating women with an infant less than 6 months</w:t>
            </w:r>
            <w:r w:rsidRPr="00D57BAB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aged 15-49 years (if applicable)</w:t>
            </w:r>
            <w:r w:rsidR="00AE5FE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1144" w:type="pct"/>
          </w:tcPr>
          <w:p w:rsidR="00646876" w:rsidRPr="00BB3FC6" w:rsidRDefault="00646876" w:rsidP="0005366F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BB3FC6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To determine the use of oral rehydration salt (ORS) and/or zinc during diarrhoea episod</w:t>
            </w:r>
            <w:r w:rsidR="00EE377E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es in children aged 6-59 months;</w:t>
            </w:r>
          </w:p>
          <w:p w:rsidR="00E26636" w:rsidRPr="00EE377E" w:rsidRDefault="0005366F" w:rsidP="0005366F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BB3F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 determine the prevalence of MUAC malnutrition in women of reproductive age 15-49 year</w:t>
            </w:r>
            <w:r w:rsidR="00BB3FC6" w:rsidRPr="00BB3F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 (include if all, pregnant and</w:t>
            </w:r>
            <w:r w:rsidRPr="00BB3F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/or lactating women </w:t>
            </w:r>
            <w:r w:rsidR="00BB3FC6" w:rsidRPr="00BB3F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with an infant less than 6 months </w:t>
            </w:r>
            <w:r w:rsidRPr="00BB3F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are measured)</w:t>
            </w:r>
            <w:r w:rsidR="00EE37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;</w:t>
            </w:r>
          </w:p>
          <w:p w:rsidR="00D915FA" w:rsidRPr="00BB3FC6" w:rsidRDefault="00EE377E" w:rsidP="00E8073E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EE377E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To determine the time of arrival of the children in the camp /asylum country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.</w:t>
            </w:r>
          </w:p>
        </w:tc>
      </w:tr>
      <w:tr w:rsidR="0005366F" w:rsidRPr="0005366F" w:rsidTr="00EE377E">
        <w:trPr>
          <w:trHeight w:val="228"/>
        </w:trPr>
        <w:tc>
          <w:tcPr>
            <w:tcW w:w="733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5366F" w:rsidRPr="0005366F" w:rsidRDefault="0005366F" w:rsidP="0005366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/>
              </w:rPr>
            </w:pPr>
            <w:r w:rsidRPr="0005366F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/>
              </w:rPr>
              <w:lastRenderedPageBreak/>
              <w:t>3- Anaemia</w:t>
            </w:r>
          </w:p>
        </w:tc>
        <w:tc>
          <w:tcPr>
            <w:tcW w:w="600" w:type="pct"/>
            <w:shd w:val="clear" w:color="auto" w:fill="D9D9D9" w:themeFill="background1" w:themeFillShade="D9"/>
            <w:vAlign w:val="center"/>
          </w:tcPr>
          <w:p w:rsidR="0005366F" w:rsidRPr="0005366F" w:rsidRDefault="0005366F" w:rsidP="0005366F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05366F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Individual-based</w:t>
            </w:r>
          </w:p>
        </w:tc>
        <w:tc>
          <w:tcPr>
            <w:tcW w:w="1381" w:type="pct"/>
            <w:shd w:val="clear" w:color="auto" w:fill="D9D9D9" w:themeFill="background1" w:themeFillShade="D9"/>
          </w:tcPr>
          <w:p w:rsidR="00A22BE2" w:rsidRPr="001009E3" w:rsidRDefault="0005366F" w:rsidP="001009E3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0536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 measure the prevalence of anaemia in children aged 6-59 months and in women of reproductive age between 15-49 years (non-pregnant)</w:t>
            </w:r>
            <w:r w:rsidR="00D75EE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14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5366F" w:rsidRPr="0005366F" w:rsidRDefault="001009E3" w:rsidP="001009E3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BB3FC6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To determine enrolment into Antenatal Care clinic and coverage of iron-folic acid supplementation in pregnant women.</w:t>
            </w:r>
          </w:p>
        </w:tc>
        <w:tc>
          <w:tcPr>
            <w:tcW w:w="1144" w:type="pct"/>
            <w:shd w:val="clear" w:color="auto" w:fill="D9D9D9" w:themeFill="background1" w:themeFillShade="D9"/>
          </w:tcPr>
          <w:p w:rsidR="0005366F" w:rsidRPr="0005366F" w:rsidRDefault="0005366F" w:rsidP="0005366F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05366F" w:rsidRPr="0005366F" w:rsidTr="00EE377E">
        <w:trPr>
          <w:trHeight w:val="147"/>
        </w:trPr>
        <w:tc>
          <w:tcPr>
            <w:tcW w:w="73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66F" w:rsidRPr="0005366F" w:rsidRDefault="0005366F" w:rsidP="0005366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/>
              </w:rPr>
            </w:pPr>
            <w:r w:rsidRPr="0005366F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/>
              </w:rPr>
              <w:t>4- IYCF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05366F" w:rsidRPr="0005366F" w:rsidRDefault="0005366F" w:rsidP="0005366F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05366F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Individual-based</w:t>
            </w:r>
          </w:p>
        </w:tc>
        <w:tc>
          <w:tcPr>
            <w:tcW w:w="1381" w:type="pct"/>
            <w:shd w:val="clear" w:color="auto" w:fill="auto"/>
          </w:tcPr>
          <w:p w:rsidR="0005366F" w:rsidRPr="0005366F" w:rsidRDefault="0005366F" w:rsidP="0005366F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05366F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To investigate IYCF practices among children aged 0-23 months</w:t>
            </w:r>
            <w:r w:rsidR="00D75EE4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1142" w:type="pct"/>
            <w:shd w:val="clear" w:color="auto" w:fill="auto"/>
            <w:tcMar>
              <w:top w:w="28" w:type="dxa"/>
              <w:bottom w:w="28" w:type="dxa"/>
            </w:tcMar>
          </w:tcPr>
          <w:p w:rsidR="0005366F" w:rsidRPr="0005366F" w:rsidRDefault="0005366F" w:rsidP="0005366F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144" w:type="pct"/>
            <w:shd w:val="clear" w:color="auto" w:fill="auto"/>
          </w:tcPr>
          <w:p w:rsidR="0005366F" w:rsidRPr="0005366F" w:rsidRDefault="0005366F" w:rsidP="0005366F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05366F" w:rsidRPr="0005366F" w:rsidTr="00EE377E">
        <w:trPr>
          <w:trHeight w:val="208"/>
        </w:trPr>
        <w:tc>
          <w:tcPr>
            <w:tcW w:w="733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5366F" w:rsidRPr="0005366F" w:rsidRDefault="0005366F" w:rsidP="0005366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/>
              </w:rPr>
            </w:pPr>
            <w:r w:rsidRPr="0005366F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/>
              </w:rPr>
              <w:t>5- Food Security</w:t>
            </w:r>
          </w:p>
        </w:tc>
        <w:tc>
          <w:tcPr>
            <w:tcW w:w="600" w:type="pct"/>
            <w:shd w:val="clear" w:color="auto" w:fill="D9D9D9" w:themeFill="background1" w:themeFillShade="D9"/>
            <w:vAlign w:val="center"/>
          </w:tcPr>
          <w:p w:rsidR="0005366F" w:rsidRPr="0005366F" w:rsidRDefault="0005366F" w:rsidP="0005366F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05366F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Household-based</w:t>
            </w:r>
          </w:p>
        </w:tc>
        <w:tc>
          <w:tcPr>
            <w:tcW w:w="1381" w:type="pct"/>
            <w:shd w:val="clear" w:color="auto" w:fill="D9D9D9" w:themeFill="background1" w:themeFillShade="D9"/>
          </w:tcPr>
          <w:p w:rsidR="00A22BE2" w:rsidRPr="00EF5431" w:rsidRDefault="00A22BE2" w:rsidP="00A22BE2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EF54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 determine </w:t>
            </w:r>
            <w:r w:rsidR="00CD3D1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</w:t>
            </w:r>
            <w:r w:rsidR="00EF5431" w:rsidRPr="00EF54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population</w:t>
            </w:r>
            <w:r w:rsidR="00CD3D1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="00EF5431" w:rsidRPr="00EF54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overall ability </w:t>
            </w:r>
            <w:r w:rsidR="00EF54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</w:t>
            </w:r>
            <w:r w:rsidR="00EF5431" w:rsidRPr="00EF54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 meet their food needs</w:t>
            </w:r>
            <w:r w:rsidR="00CD3D1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with assistance</w:t>
            </w:r>
            <w:r w:rsidRPr="00EF54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  <w:p w:rsidR="00EF5431" w:rsidRPr="00EF5431" w:rsidRDefault="00EF5431" w:rsidP="00EF5431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EF54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 determine </w:t>
            </w:r>
            <w:bookmarkStart w:id="0" w:name="_GoBack"/>
            <w:bookmarkEnd w:id="0"/>
            <w:r w:rsidRPr="00EF54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duration of the general </w:t>
            </w:r>
            <w:r w:rsidR="00CD3D1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in-kind </w:t>
            </w:r>
            <w:r w:rsidRPr="00EF54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food</w:t>
            </w:r>
            <w:r w:rsidR="00A22BE2" w:rsidRPr="00EF54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411F00" w:rsidRPr="00EF54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distribution</w:t>
            </w:r>
            <w:r w:rsidR="00A22BE2" w:rsidRPr="00EF54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for recipient households (if applicable);</w:t>
            </w:r>
          </w:p>
          <w:p w:rsidR="00EF5431" w:rsidRPr="00EF5431" w:rsidRDefault="00A22BE2" w:rsidP="00EF5431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EF54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 determine the coverage of </w:t>
            </w:r>
            <w:r w:rsidR="007D7D6A" w:rsidRPr="00EF54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cash</w:t>
            </w:r>
            <w:r w:rsidRPr="00EF54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CD3D1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grants </w:t>
            </w:r>
            <w:r w:rsidRPr="00EF54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and how recipient households spent the cash (if applicable);</w:t>
            </w:r>
          </w:p>
          <w:p w:rsidR="00411F00" w:rsidRPr="00EF5431" w:rsidRDefault="00A22BE2" w:rsidP="00EF5431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EF54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 determine the coverage of the food voucher</w:t>
            </w:r>
            <w:r w:rsidR="00CD3D1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 and how recipient households use the vouchers</w:t>
            </w:r>
            <w:r w:rsidRPr="00EF54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(if applicable)</w:t>
            </w:r>
            <w:r w:rsidR="00AE5F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;</w:t>
            </w:r>
          </w:p>
          <w:p w:rsidR="00411F00" w:rsidRPr="00411F00" w:rsidRDefault="00411F00" w:rsidP="00411F00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411F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 determine the extent to which negative coping strategies are used by households;</w:t>
            </w:r>
          </w:p>
          <w:p w:rsidR="0005366F" w:rsidRPr="00411F00" w:rsidRDefault="00411F00" w:rsidP="00411F00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411F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 assess household </w:t>
            </w:r>
            <w:r w:rsidR="00CD3D1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food consumption (quantity and quality)</w:t>
            </w:r>
            <w:r w:rsidRPr="00411F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14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30A17" w:rsidRPr="00EF5431" w:rsidRDefault="007D7D6A" w:rsidP="00C30A17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EF5431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To determine the proportion of households in each of the targeting </w:t>
            </w:r>
            <w:r w:rsidR="00EE377E" w:rsidRPr="00EF5431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categories (if applicable);</w:t>
            </w:r>
          </w:p>
          <w:p w:rsidR="0005366F" w:rsidRPr="00EE377E" w:rsidRDefault="00A22BE2" w:rsidP="00A22BE2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EF54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 determine the </w:t>
            </w:r>
            <w:r w:rsidR="00C30A17" w:rsidRPr="00EF54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population’s access to and use of cooking fuel </w:t>
            </w:r>
            <w:r w:rsidRPr="00EF54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(if applicable)</w:t>
            </w:r>
            <w:r w:rsidR="00411F00" w:rsidRPr="00EF54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144" w:type="pct"/>
            <w:shd w:val="clear" w:color="auto" w:fill="D9D9D9" w:themeFill="background1" w:themeFillShade="D9"/>
          </w:tcPr>
          <w:p w:rsidR="0005366F" w:rsidRPr="0005366F" w:rsidRDefault="0005366F" w:rsidP="008F485F">
            <w:pPr>
              <w:pStyle w:val="Paragraphedeliste"/>
              <w:ind w:left="360"/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EA3168" w:rsidRPr="0005366F" w:rsidTr="00EE377E">
        <w:trPr>
          <w:trHeight w:val="147"/>
        </w:trPr>
        <w:tc>
          <w:tcPr>
            <w:tcW w:w="73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A3168" w:rsidRPr="0005366F" w:rsidRDefault="00EA3168" w:rsidP="00EA316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/>
              </w:rPr>
              <w:t>6</w:t>
            </w:r>
            <w:r w:rsidRPr="0005366F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/>
              </w:rPr>
              <w:t>- Mosquito Net Coverage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EA3168" w:rsidRPr="0005366F" w:rsidRDefault="00EA3168" w:rsidP="00EA3168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05366F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Household-based</w:t>
            </w:r>
          </w:p>
        </w:tc>
        <w:tc>
          <w:tcPr>
            <w:tcW w:w="1381" w:type="pct"/>
            <w:shd w:val="clear" w:color="auto" w:fill="auto"/>
          </w:tcPr>
          <w:p w:rsidR="00EA3168" w:rsidRPr="0005366F" w:rsidRDefault="00EA3168" w:rsidP="00EA3168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0536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 determine the ownership of mosquito nets (all types and LLINs) in households;</w:t>
            </w:r>
          </w:p>
          <w:p w:rsidR="00EA3168" w:rsidRPr="0005366F" w:rsidRDefault="00EA3168" w:rsidP="00EA3168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0536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 determine the </w:t>
            </w:r>
            <w:r w:rsidR="00254B56" w:rsidRPr="000536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utilization</w:t>
            </w:r>
            <w:r w:rsidRPr="000536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of mosquito nets (all types and LLINs) by the total </w:t>
            </w:r>
            <w:r w:rsidRPr="000536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population, children 0-59 months and pregnant women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142" w:type="pct"/>
            <w:shd w:val="clear" w:color="auto" w:fill="auto"/>
            <w:tcMar>
              <w:top w:w="28" w:type="dxa"/>
              <w:bottom w:w="28" w:type="dxa"/>
            </w:tcMar>
          </w:tcPr>
          <w:p w:rsidR="00EA3168" w:rsidRPr="00DC1CD0" w:rsidRDefault="00DC1CD0" w:rsidP="00DC1CD0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DC1C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To determine the household coverage of indoor residual spraying in the past 6 months/12 months (if applicable).</w:t>
            </w:r>
          </w:p>
        </w:tc>
        <w:tc>
          <w:tcPr>
            <w:tcW w:w="1144" w:type="pct"/>
            <w:shd w:val="clear" w:color="auto" w:fill="auto"/>
          </w:tcPr>
          <w:p w:rsidR="00EA3168" w:rsidRPr="00DC1CD0" w:rsidRDefault="00EA3168" w:rsidP="00DC1CD0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EA3168" w:rsidRPr="0005366F" w:rsidTr="00EE377E">
        <w:trPr>
          <w:trHeight w:val="1072"/>
        </w:trPr>
        <w:tc>
          <w:tcPr>
            <w:tcW w:w="733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EA3168" w:rsidRPr="0005366F" w:rsidRDefault="00EA3168" w:rsidP="00EA316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/>
              </w:rPr>
              <w:t>7</w:t>
            </w:r>
            <w:r w:rsidRPr="0005366F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US"/>
              </w:rPr>
              <w:t>- Water, Sanitation and Hygiene</w:t>
            </w:r>
          </w:p>
        </w:tc>
        <w:tc>
          <w:tcPr>
            <w:tcW w:w="600" w:type="pct"/>
            <w:shd w:val="clear" w:color="auto" w:fill="D9D9D9" w:themeFill="background1" w:themeFillShade="D9"/>
            <w:vAlign w:val="center"/>
          </w:tcPr>
          <w:p w:rsidR="00EA3168" w:rsidRPr="0005366F" w:rsidRDefault="00EA3168" w:rsidP="00EA3168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05366F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Household-based</w:t>
            </w:r>
          </w:p>
        </w:tc>
        <w:tc>
          <w:tcPr>
            <w:tcW w:w="1381" w:type="pct"/>
            <w:shd w:val="clear" w:color="auto" w:fill="D9D9D9" w:themeFill="background1" w:themeFillShade="D9"/>
          </w:tcPr>
          <w:p w:rsidR="00EA3168" w:rsidRPr="0053261A" w:rsidRDefault="00EA3168" w:rsidP="0053261A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A029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 determine the population’s access to, and use of, water, sanitation and hygiene facilities;</w:t>
            </w:r>
          </w:p>
          <w:p w:rsidR="00EA3168" w:rsidRPr="00A02958" w:rsidRDefault="00EA3168" w:rsidP="00EA3168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A029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 determine the population’s access to soap.</w:t>
            </w:r>
          </w:p>
        </w:tc>
        <w:tc>
          <w:tcPr>
            <w:tcW w:w="114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A3168" w:rsidRPr="0005366F" w:rsidRDefault="00EA3168" w:rsidP="00EA3168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144" w:type="pct"/>
            <w:shd w:val="clear" w:color="auto" w:fill="D9D9D9" w:themeFill="background1" w:themeFillShade="D9"/>
          </w:tcPr>
          <w:p w:rsidR="00EA3168" w:rsidRPr="0005366F" w:rsidRDefault="00EA3168" w:rsidP="00EA3168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</w:tbl>
    <w:p w:rsidR="007D41B0" w:rsidRPr="00D75EE4" w:rsidRDefault="007D41B0" w:rsidP="002214F4">
      <w:pPr>
        <w:rPr>
          <w:rFonts w:asciiTheme="minorHAnsi" w:hAnsiTheme="minorHAnsi" w:cstheme="minorHAnsi"/>
          <w:sz w:val="22"/>
          <w:szCs w:val="22"/>
          <w:lang w:val="en-CA"/>
        </w:rPr>
      </w:pPr>
    </w:p>
    <w:sectPr w:rsidR="007D41B0" w:rsidRPr="00D75EE4" w:rsidSect="00E26636">
      <w:headerReference w:type="even" r:id="rId8"/>
      <w:headerReference w:type="default" r:id="rId9"/>
      <w:footerReference w:type="default" r:id="rId10"/>
      <w:headerReference w:type="first" r:id="rId11"/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1B7" w:rsidRDefault="009531B7">
      <w:r>
        <w:separator/>
      </w:r>
    </w:p>
  </w:endnote>
  <w:endnote w:type="continuationSeparator" w:id="0">
    <w:p w:rsidR="009531B7" w:rsidRDefault="0095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442" w:rsidRPr="00071570" w:rsidRDefault="00E42442" w:rsidP="00103DF2">
    <w:pPr>
      <w:pStyle w:val="Pieddepage"/>
      <w:jc w:val="right"/>
      <w:rPr>
        <w:rFonts w:ascii="Calibri" w:hAnsi="Calibri" w:cs="Arial"/>
        <w:sz w:val="18"/>
        <w:szCs w:val="18"/>
      </w:rPr>
    </w:pPr>
    <w:r w:rsidRPr="00466604">
      <w:rPr>
        <w:rFonts w:ascii="Calibri" w:hAnsi="Calibri" w:cs="Arial"/>
        <w:sz w:val="18"/>
        <w:szCs w:val="18"/>
        <w:lang w:val="fr-FR"/>
      </w:rPr>
      <w:t>S</w:t>
    </w:r>
    <w:r>
      <w:rPr>
        <w:rFonts w:ascii="Calibri" w:hAnsi="Calibri" w:cs="Arial"/>
        <w:sz w:val="18"/>
        <w:szCs w:val="18"/>
        <w:lang w:val="fr-FR"/>
      </w:rPr>
      <w:t>ENS Version 3 (2018</w:t>
    </w:r>
    <w:r w:rsidR="007276B6">
      <w:rPr>
        <w:rFonts w:ascii="Calibri" w:hAnsi="Calibri" w:cs="Arial"/>
        <w:sz w:val="18"/>
        <w:szCs w:val="18"/>
        <w:lang w:val="fr-FR"/>
      </w:rPr>
      <w:t>) List of Objectives</w:t>
    </w:r>
    <w:r w:rsidRPr="00466604">
      <w:rPr>
        <w:rFonts w:ascii="Calibri" w:hAnsi="Calibri" w:cs="Arial"/>
        <w:sz w:val="18"/>
        <w:szCs w:val="18"/>
        <w:lang w:val="fr-FR"/>
      </w:rPr>
      <w:t>, p.</w:t>
    </w:r>
    <w:r w:rsidRPr="00071570">
      <w:rPr>
        <w:rStyle w:val="Numrodepage"/>
        <w:rFonts w:ascii="Calibri" w:hAnsi="Calibri" w:cs="Arial"/>
        <w:sz w:val="18"/>
        <w:szCs w:val="18"/>
      </w:rPr>
      <w:fldChar w:fldCharType="begin"/>
    </w:r>
    <w:r w:rsidRPr="00466604">
      <w:rPr>
        <w:rStyle w:val="Numrodepage"/>
        <w:rFonts w:ascii="Calibri" w:hAnsi="Calibri" w:cs="Arial"/>
        <w:sz w:val="18"/>
        <w:szCs w:val="18"/>
        <w:lang w:val="fr-FR"/>
      </w:rPr>
      <w:instrText xml:space="preserve"> PAGE </w:instrText>
    </w:r>
    <w:r w:rsidRPr="00071570">
      <w:rPr>
        <w:rStyle w:val="Numrodepage"/>
        <w:rFonts w:ascii="Calibri" w:hAnsi="Calibri" w:cs="Arial"/>
        <w:sz w:val="18"/>
        <w:szCs w:val="18"/>
      </w:rPr>
      <w:fldChar w:fldCharType="separate"/>
    </w:r>
    <w:r w:rsidR="00FA6CBE">
      <w:rPr>
        <w:rStyle w:val="Numrodepage"/>
        <w:rFonts w:ascii="Calibri" w:hAnsi="Calibri" w:cs="Arial"/>
        <w:noProof/>
        <w:sz w:val="18"/>
        <w:szCs w:val="18"/>
        <w:lang w:val="fr-FR"/>
      </w:rPr>
      <w:t>1</w:t>
    </w:r>
    <w:r w:rsidRPr="00071570">
      <w:rPr>
        <w:rStyle w:val="Numrodepage"/>
        <w:rFonts w:ascii="Calibri" w:hAnsi="Calibri" w:cs="Arial"/>
        <w:sz w:val="18"/>
        <w:szCs w:val="18"/>
      </w:rPr>
      <w:fldChar w:fldCharType="end"/>
    </w:r>
  </w:p>
  <w:p w:rsidR="00E42442" w:rsidRDefault="00E424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1B7" w:rsidRDefault="009531B7">
      <w:r>
        <w:separator/>
      </w:r>
    </w:p>
  </w:footnote>
  <w:footnote w:type="continuationSeparator" w:id="0">
    <w:p w:rsidR="009531B7" w:rsidRDefault="00953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5F9" w:rsidRDefault="00AA05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442" w:rsidRDefault="00E26636" w:rsidP="00CC5A94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-294005</wp:posOffset>
              </wp:positionV>
              <wp:extent cx="10636885" cy="337185"/>
              <wp:effectExtent l="0" t="0" r="12065" b="24765"/>
              <wp:wrapThrough wrapText="bothSides">
                <wp:wrapPolygon edited="0">
                  <wp:start x="0" y="0"/>
                  <wp:lineTo x="0" y="21966"/>
                  <wp:lineTo x="21586" y="21966"/>
                  <wp:lineTo x="21586" y="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885" cy="337185"/>
                      </a:xfrm>
                      <a:prstGeom prst="rect">
                        <a:avLst/>
                      </a:prstGeom>
                      <a:solidFill>
                        <a:srgbClr val="C6D9F1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BDC4BB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42442" w:rsidRPr="00C51E87" w:rsidRDefault="00E42442" w:rsidP="00CC5A94">
                          <w:pPr>
                            <w:ind w:left="-142" w:firstLine="284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C51E87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>UNHCR SENS</w:t>
                          </w:r>
                        </w:p>
                        <w:p w:rsidR="00E42442" w:rsidRPr="00C51E87" w:rsidRDefault="00E42442" w:rsidP="00CC5A94">
                          <w:pPr>
                            <w:ind w:left="-142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3.15pt;width:837.55pt;height:26.5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/4LxQIAAJ8FAAAOAAAAZHJzL2Uyb0RvYy54bWysVE2P2yAQvVfqf0Dcs7YT58taZxU7SVVp&#10;+yHtVj0Tg2NUDC6Q2Nuq/70DTrLe7qWq6oM1A8Nj3sxjbu+6WqAT04YrmeLoJsSIyUJRLg8p/vK4&#10;Gy0wMpZISoSSLMVPzOC71ds3t22TsLGqlKBMIwCRJmmbFFfWNkkQmKJiNTE3qmESNkula2LB1YeA&#10;atICei2CcRjOglZp2mhVMGNgddNv4pXHL0tW2E9laZhFIsWQm/V/7f979w9WtyQ5aNJUvDinQf4h&#10;i5pwCZdeoTbEEnTU/BVUzQutjCrtTaHqQJUlL5jnAGyi8A82DxVpmOcCxTHNtUzm/8EWH0+fNeIU&#10;eoeRJDW06JF1FmWqQ2NXnbYxCQQ9NBBmO1h2kY6pae5V8c0gqfKKyANba63aihEK2UXuZDA42uMY&#10;B7JvPygK15CjVR6oK3XtAKEYCNChS0/XzrhUCndlOJvMFospRgVsTibzCGx3B0kuxxtt7DumauSM&#10;FGtovYcnp3tj+9BLiE9fCU53XAjv6MM+FxqdCMgkn22Wu54BsByGCYnaFC+n42lfgeGeGULs/HdO&#10;8AVEzS3oXfA6xYvQfS6IJK5uW0m9bQkXvQ3shHTbzCu55wFeZ8H061Aer7Kf6900nMeTxWg+n05G&#10;8WQbjrLFLh+t82g2m2+zPNtGv1zWUZxUnFImtx7TXEQfxX8nqvPz6+V6lf01QZeVOgLHh4q2iHLX&#10;isl0OQZ1UQ7vbjzvWSMiDjAwCqsx0sp+5bbyaneddxgvyplt8jjLzuW8ovvuDy4OXnHrIzooFVTy&#10;UjUvS6fEXpO223dQdqfVvaJPIFBIx6sQphoYldI/MGphQqTYfD8SzTAS7yWIfBnFsRspQ0cPnf3Q&#10;IbIAqBRbjHozt/0YOjaaHyq4qX9WUq3hYZTcS/Y5K6DgHJgCnsx5YrkxM/R91PNcXf0GAAD//wMA&#10;UEsDBBQABgAIAAAAIQBelAay3QAAAAcBAAAPAAAAZHJzL2Rvd25yZXYueG1sTI9BT4NAFITvJv6H&#10;zTPx1i5UpRR5NI1Jb2rSWhOPW/YVUPYtYReK/97tqR4nM5n5Jl9PphUj9a6xjBDPIxDEpdUNVwiH&#10;j+0sBeG8Yq1ay4TwSw7Wxe1NrjJtz7yjce8rEUrYZQqh9r7LpHRlTUa5ue2Ig3eyvVE+yL6Sulfn&#10;UG5auYiiRBrVcFioVUcvNZU/+8EgmGEbl6+rt/fFSJvPeLn7+k4PFvH+bto8g/A0+WsYLvgBHYrA&#10;dLQDaydahHDEI8wekwcQFztZPsUgjghJCrLI5X/+4g8AAP//AwBQSwECLQAUAAYACAAAACEAtoM4&#10;kv4AAADhAQAAEwAAAAAAAAAAAAAAAAAAAAAAW0NvbnRlbnRfVHlwZXNdLnhtbFBLAQItABQABgAI&#10;AAAAIQA4/SH/1gAAAJQBAAALAAAAAAAAAAAAAAAAAC8BAABfcmVscy8ucmVsc1BLAQItABQABgAI&#10;AAAAIQDUK/4LxQIAAJ8FAAAOAAAAAAAAAAAAAAAAAC4CAABkcnMvZTJvRG9jLnhtbFBLAQItABQA&#10;BgAIAAAAIQBelAay3QAAAAcBAAAPAAAAAAAAAAAAAAAAAB8FAABkcnMvZG93bnJldi54bWxQSwUG&#10;AAAAAAQABADzAAAAKQYAAAAA&#10;" fillcolor="#c6d9f1" strokecolor="white">
              <v:shadow color="#bdc4bb"/>
              <v:textbox inset=",7.2pt,,7.2pt">
                <w:txbxContent>
                  <w:p w:rsidR="00E42442" w:rsidRPr="00C51E87" w:rsidRDefault="00E42442" w:rsidP="00CC5A94">
                    <w:pPr>
                      <w:ind w:left="-142" w:firstLine="284"/>
                      <w:rPr>
                        <w:rFonts w:ascii="Calibri" w:hAnsi="Calibri"/>
                        <w:sz w:val="19"/>
                        <w:szCs w:val="19"/>
                      </w:rPr>
                    </w:pPr>
                    <w:r w:rsidRPr="00C51E87">
                      <w:rPr>
                        <w:rFonts w:ascii="Calibri" w:hAnsi="Calibri"/>
                        <w:sz w:val="19"/>
                        <w:szCs w:val="19"/>
                      </w:rPr>
                      <w:tab/>
                    </w:r>
                    <w:r>
                      <w:rPr>
                        <w:rFonts w:ascii="Calibri" w:hAnsi="Calibri"/>
                        <w:sz w:val="19"/>
                        <w:szCs w:val="19"/>
                      </w:rPr>
                      <w:t>UNHCR SENS</w:t>
                    </w:r>
                  </w:p>
                  <w:p w:rsidR="00E42442" w:rsidRPr="00C51E87" w:rsidRDefault="00E42442" w:rsidP="00CC5A94">
                    <w:pPr>
                      <w:ind w:left="-142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type="through" anchorx="page"/>
            </v:shape>
          </w:pict>
        </mc:Fallback>
      </mc:AlternateContent>
    </w:r>
    <w:r w:rsidR="00E42442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-269875</wp:posOffset>
              </wp:positionH>
              <wp:positionV relativeFrom="paragraph">
                <wp:posOffset>-431165</wp:posOffset>
              </wp:positionV>
              <wp:extent cx="11129010" cy="650240"/>
              <wp:effectExtent l="57150" t="19050" r="53340" b="73660"/>
              <wp:wrapNone/>
              <wp:docPr id="2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29010" cy="650240"/>
                      </a:xfrm>
                      <a:prstGeom prst="rect">
                        <a:avLst/>
                      </a:prstGeom>
                      <a:solidFill>
                        <a:srgbClr val="BDC4BB"/>
                      </a:solidFill>
                      <a:ln>
                        <a:noFill/>
                      </a:ln>
                      <a:effectLst>
                        <a:outerShdw blurRad="40000" dist="23000" dir="5400000" rotWithShape="0">
                          <a:srgbClr val="BDC4BB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B46C29" id="Rettangolo 1" o:spid="_x0000_s1026" style="position:absolute;margin-left:-21.25pt;margin-top:-33.95pt;width:876.3pt;height:51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bPzAIAAKsFAAAOAAAAZHJzL2Uyb0RvYy54bWysVF1v0zAUfUfiP1h+7/KxtGuipdParghp&#10;wLSBeHZtp7FwbGO7TQfiv3PttKPjQ0KIPES5vtc3555z7MurfSfRjlsntKpxdpZixBXVTKhNjT+8&#10;X42mGDlPFCNSK17jR+7w1ezli8veVDzXrZaMWwRNlKt6U+PWe1MliaMt74g704YrSDbadsRDaDcJ&#10;s6SH7p1M8jSdJL22zFhNuXOwuhySeBb7Nw2n/l3TOO6RrDFg8/Ft43sd3snsklQbS0wr6AEG+QcU&#10;HREKfvrUakk8QVsrfmnVCWq1040/o7pLdNMIyuMMME2W/jTNQ0sMj7MAOc480eT+X1v6dndnkWA1&#10;zjFSpAOJ7rkHwTZaapQFfnrjKih7MHc2TOjMraafHFJ60UIZv7ZW9y0nDFDF+uTZhhA42IrW/RvN&#10;oD3Zeh2p2je2Cw2BBLSPijw+KcL3HlFYzLIsL4EYjCgkJ+M0L6JmCamO2411/hXXHQofNbYgeWxP&#10;drfOA3woPZZE+FoKthJSxsBu1gtp0Y6APebLRTGfh4lhizstkyoUKx22DelhhUeDwW/iGFvP7UPL&#10;erSWW3tPgNIihQcjJgKw/PwQgPvGMQMpq/1H4dsodBj+T6DCOpGmJQPU86IsyyPSYYaIWh8xxOgZ&#10;PGD0ADRwG635tcyAznlejlaT6cWoWBXjUXmRTkdpVs7LSVqUxXL1LWDKiqoVjHF1KxQ/HpOs+Dsb&#10;Hg7sYPB4UFBf43Kcj4dxT5l2p4IU1xc3vxekE8A1kqKr8TRwfDjHwYU3ioFEpPJEyOE7eQ5/oGYP&#10;moHMR1aiZ4NNB7uvNXsEy4I60Zdwv8FHq+0XjHq4K2rsPm+J5RjJ1wpsX2YF2BL5GBTjizwoe5pZ&#10;n2aIotCqxtRbjIZg4YcraWus2LTwryxSo/Q1HJZGRBuHgzTgAuQhgBshznC4vcKVcxrHqh937Ow7&#10;AAAA//8DAFBLAwQUAAYACAAAACEAt3tUb+EAAAALAQAADwAAAGRycy9kb3ducmV2LnhtbEyPwU7D&#10;MAyG70i8Q2QkLmhLO7plK00nhMSBCxoFiWvWeE1F40RNtnVvT3aCmy1/+v391XayAzvhGHpHEvJ5&#10;BgypdbqnTsLX5+tsDSxERVoNjlDCBQNs69ubSpXanekDT03sWAqhUCoJJkZfch5ag1aFufNI6XZw&#10;o1UxrWPH9ajOKdwOfJFlK25VT+mDUR5fDLY/zdFKKESz0cEH/3B5/3bCCfPmd5OU93fT8xOwiFP8&#10;g+Gqn9ShTk57dyQd2CBhViyWCU3DSmyAXQmRZzmwvYTHYgm8rvj/DvUvAAAA//8DAFBLAQItABQA&#10;BgAIAAAAIQC2gziS/gAAAOEBAAATAAAAAAAAAAAAAAAAAAAAAABbQ29udGVudF9UeXBlc10ueG1s&#10;UEsBAi0AFAAGAAgAAAAhADj9If/WAAAAlAEAAAsAAAAAAAAAAAAAAAAALwEAAF9yZWxzLy5yZWxz&#10;UEsBAi0AFAAGAAgAAAAhAFJDhs/MAgAAqwUAAA4AAAAAAAAAAAAAAAAALgIAAGRycy9lMm9Eb2Mu&#10;eG1sUEsBAi0AFAAGAAgAAAAhALd7VG/hAAAACwEAAA8AAAAAAAAAAAAAAAAAJgUAAGRycy9kb3du&#10;cmV2LnhtbFBLBQYAAAAABAAEAPMAAAA0BgAAAAA=&#10;" fillcolor="#bdc4bb" stroked="f" strokecolor="#4a7ebb">
              <v:shadow on="t" color="#bdc4bb" opacity="22936f" origin=",.5" offset="0,.63889mm"/>
              <w10:wrap anchorx="page"/>
            </v:rect>
          </w:pict>
        </mc:Fallback>
      </mc:AlternateContent>
    </w:r>
  </w:p>
  <w:p w:rsidR="00E42442" w:rsidRPr="00071570" w:rsidRDefault="00E42442">
    <w:pPr>
      <w:pStyle w:val="En-tt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5F9" w:rsidRDefault="00AA05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BD7"/>
    <w:multiLevelType w:val="hybridMultilevel"/>
    <w:tmpl w:val="39B078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5157"/>
    <w:multiLevelType w:val="hybridMultilevel"/>
    <w:tmpl w:val="C0A064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2D4337"/>
    <w:multiLevelType w:val="hybridMultilevel"/>
    <w:tmpl w:val="43881E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D1413"/>
    <w:multiLevelType w:val="hybridMultilevel"/>
    <w:tmpl w:val="852430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D54B05"/>
    <w:multiLevelType w:val="hybridMultilevel"/>
    <w:tmpl w:val="034E19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BF64BD"/>
    <w:multiLevelType w:val="hybridMultilevel"/>
    <w:tmpl w:val="DA3EF4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E0483E"/>
    <w:multiLevelType w:val="hybridMultilevel"/>
    <w:tmpl w:val="480C5F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D4D"/>
    <w:rsid w:val="00000182"/>
    <w:rsid w:val="00002A21"/>
    <w:rsid w:val="0001353B"/>
    <w:rsid w:val="00020096"/>
    <w:rsid w:val="000264EB"/>
    <w:rsid w:val="00035D7A"/>
    <w:rsid w:val="00037B96"/>
    <w:rsid w:val="00043432"/>
    <w:rsid w:val="0005366F"/>
    <w:rsid w:val="00071570"/>
    <w:rsid w:val="0008651A"/>
    <w:rsid w:val="000905B2"/>
    <w:rsid w:val="000A04E5"/>
    <w:rsid w:val="000A4278"/>
    <w:rsid w:val="000A74EE"/>
    <w:rsid w:val="000A7F37"/>
    <w:rsid w:val="000B0ECC"/>
    <w:rsid w:val="000B37E6"/>
    <w:rsid w:val="000B4F1C"/>
    <w:rsid w:val="000C3AB7"/>
    <w:rsid w:val="000D49E6"/>
    <w:rsid w:val="000D7818"/>
    <w:rsid w:val="000E2FA0"/>
    <w:rsid w:val="000F045E"/>
    <w:rsid w:val="000F41FB"/>
    <w:rsid w:val="000F452E"/>
    <w:rsid w:val="001009E3"/>
    <w:rsid w:val="00103DF2"/>
    <w:rsid w:val="00112483"/>
    <w:rsid w:val="00113989"/>
    <w:rsid w:val="001142FB"/>
    <w:rsid w:val="00114A88"/>
    <w:rsid w:val="00116BCF"/>
    <w:rsid w:val="00130C54"/>
    <w:rsid w:val="00132843"/>
    <w:rsid w:val="0013613A"/>
    <w:rsid w:val="00137CDF"/>
    <w:rsid w:val="00140B7B"/>
    <w:rsid w:val="001447DB"/>
    <w:rsid w:val="00146FC1"/>
    <w:rsid w:val="00150B4F"/>
    <w:rsid w:val="0015290F"/>
    <w:rsid w:val="00154CAD"/>
    <w:rsid w:val="00155A9E"/>
    <w:rsid w:val="00160A08"/>
    <w:rsid w:val="00161B59"/>
    <w:rsid w:val="001638F4"/>
    <w:rsid w:val="00163D4D"/>
    <w:rsid w:val="0018340D"/>
    <w:rsid w:val="00187C27"/>
    <w:rsid w:val="0019183C"/>
    <w:rsid w:val="001928FB"/>
    <w:rsid w:val="00196021"/>
    <w:rsid w:val="001A3FD2"/>
    <w:rsid w:val="001A4F48"/>
    <w:rsid w:val="001B0F45"/>
    <w:rsid w:val="001C16EC"/>
    <w:rsid w:val="001C5271"/>
    <w:rsid w:val="001C6C71"/>
    <w:rsid w:val="001C7B08"/>
    <w:rsid w:val="001D7D48"/>
    <w:rsid w:val="001F00B4"/>
    <w:rsid w:val="001F09C2"/>
    <w:rsid w:val="001F1F4E"/>
    <w:rsid w:val="001F31FE"/>
    <w:rsid w:val="0020562A"/>
    <w:rsid w:val="002127D3"/>
    <w:rsid w:val="002214F4"/>
    <w:rsid w:val="00222FC1"/>
    <w:rsid w:val="00225D85"/>
    <w:rsid w:val="002339A2"/>
    <w:rsid w:val="00236573"/>
    <w:rsid w:val="00236979"/>
    <w:rsid w:val="00245746"/>
    <w:rsid w:val="002513B2"/>
    <w:rsid w:val="00254B56"/>
    <w:rsid w:val="00262734"/>
    <w:rsid w:val="002670F0"/>
    <w:rsid w:val="002811A7"/>
    <w:rsid w:val="00286C18"/>
    <w:rsid w:val="00291082"/>
    <w:rsid w:val="002A258C"/>
    <w:rsid w:val="002A6CA6"/>
    <w:rsid w:val="002A7746"/>
    <w:rsid w:val="002C0019"/>
    <w:rsid w:val="002C089A"/>
    <w:rsid w:val="002D6E7D"/>
    <w:rsid w:val="002F0BF3"/>
    <w:rsid w:val="002F1097"/>
    <w:rsid w:val="002F16FC"/>
    <w:rsid w:val="002F18A5"/>
    <w:rsid w:val="00302873"/>
    <w:rsid w:val="00321959"/>
    <w:rsid w:val="00323BD5"/>
    <w:rsid w:val="003337FB"/>
    <w:rsid w:val="00344DA3"/>
    <w:rsid w:val="00346F26"/>
    <w:rsid w:val="0037424C"/>
    <w:rsid w:val="00386386"/>
    <w:rsid w:val="003911B7"/>
    <w:rsid w:val="003B6862"/>
    <w:rsid w:val="003C315D"/>
    <w:rsid w:val="003C5FFA"/>
    <w:rsid w:val="003C6A3F"/>
    <w:rsid w:val="003C7676"/>
    <w:rsid w:val="003E0E9D"/>
    <w:rsid w:val="00411396"/>
    <w:rsid w:val="00411F00"/>
    <w:rsid w:val="0042347F"/>
    <w:rsid w:val="004349D1"/>
    <w:rsid w:val="0044262E"/>
    <w:rsid w:val="00463499"/>
    <w:rsid w:val="00466604"/>
    <w:rsid w:val="00473866"/>
    <w:rsid w:val="00477B6A"/>
    <w:rsid w:val="00480804"/>
    <w:rsid w:val="00482CCC"/>
    <w:rsid w:val="00490302"/>
    <w:rsid w:val="00491BC8"/>
    <w:rsid w:val="00493838"/>
    <w:rsid w:val="004A29CE"/>
    <w:rsid w:val="004A3C33"/>
    <w:rsid w:val="004B30D2"/>
    <w:rsid w:val="004D1B04"/>
    <w:rsid w:val="004D4B6A"/>
    <w:rsid w:val="004D5E81"/>
    <w:rsid w:val="004E05DD"/>
    <w:rsid w:val="004E14C9"/>
    <w:rsid w:val="004E1EDC"/>
    <w:rsid w:val="005017CD"/>
    <w:rsid w:val="00502314"/>
    <w:rsid w:val="005037EF"/>
    <w:rsid w:val="00506D62"/>
    <w:rsid w:val="00506E05"/>
    <w:rsid w:val="00520709"/>
    <w:rsid w:val="0052210A"/>
    <w:rsid w:val="00523497"/>
    <w:rsid w:val="00525687"/>
    <w:rsid w:val="0053261A"/>
    <w:rsid w:val="0053414F"/>
    <w:rsid w:val="00536B85"/>
    <w:rsid w:val="00540441"/>
    <w:rsid w:val="0054105F"/>
    <w:rsid w:val="005426F4"/>
    <w:rsid w:val="005659D5"/>
    <w:rsid w:val="005666D9"/>
    <w:rsid w:val="00574C48"/>
    <w:rsid w:val="0058121A"/>
    <w:rsid w:val="0058250E"/>
    <w:rsid w:val="005855BF"/>
    <w:rsid w:val="00586594"/>
    <w:rsid w:val="00586C11"/>
    <w:rsid w:val="00590D8D"/>
    <w:rsid w:val="005A21BA"/>
    <w:rsid w:val="005A6F02"/>
    <w:rsid w:val="005B6F22"/>
    <w:rsid w:val="005C47B4"/>
    <w:rsid w:val="005D3030"/>
    <w:rsid w:val="005D5F7C"/>
    <w:rsid w:val="005E28A5"/>
    <w:rsid w:val="005E3C4B"/>
    <w:rsid w:val="005F55F3"/>
    <w:rsid w:val="00603EAD"/>
    <w:rsid w:val="00606A7D"/>
    <w:rsid w:val="00622E5C"/>
    <w:rsid w:val="00646876"/>
    <w:rsid w:val="006576CE"/>
    <w:rsid w:val="006651AF"/>
    <w:rsid w:val="00683021"/>
    <w:rsid w:val="0068522A"/>
    <w:rsid w:val="006A0608"/>
    <w:rsid w:val="006A1752"/>
    <w:rsid w:val="006A7C39"/>
    <w:rsid w:val="006B0861"/>
    <w:rsid w:val="006B48D9"/>
    <w:rsid w:val="006C3398"/>
    <w:rsid w:val="006C3996"/>
    <w:rsid w:val="006C5E7E"/>
    <w:rsid w:val="006D6FEA"/>
    <w:rsid w:val="006E300A"/>
    <w:rsid w:val="006F4C2C"/>
    <w:rsid w:val="006F63D7"/>
    <w:rsid w:val="006F6FCC"/>
    <w:rsid w:val="007057EC"/>
    <w:rsid w:val="00707244"/>
    <w:rsid w:val="00714A05"/>
    <w:rsid w:val="007176FE"/>
    <w:rsid w:val="007276B6"/>
    <w:rsid w:val="0073664E"/>
    <w:rsid w:val="00753B78"/>
    <w:rsid w:val="00771559"/>
    <w:rsid w:val="00773D55"/>
    <w:rsid w:val="00780481"/>
    <w:rsid w:val="007852AC"/>
    <w:rsid w:val="00787176"/>
    <w:rsid w:val="00790F98"/>
    <w:rsid w:val="0079148A"/>
    <w:rsid w:val="00793A4B"/>
    <w:rsid w:val="00794B46"/>
    <w:rsid w:val="007A1D10"/>
    <w:rsid w:val="007B4450"/>
    <w:rsid w:val="007C5C6D"/>
    <w:rsid w:val="007C5F85"/>
    <w:rsid w:val="007D41B0"/>
    <w:rsid w:val="007D52D0"/>
    <w:rsid w:val="007D7D6A"/>
    <w:rsid w:val="007E393E"/>
    <w:rsid w:val="007E5579"/>
    <w:rsid w:val="007E6CA3"/>
    <w:rsid w:val="007E78D1"/>
    <w:rsid w:val="007F3335"/>
    <w:rsid w:val="008024E3"/>
    <w:rsid w:val="008132D5"/>
    <w:rsid w:val="00836BDC"/>
    <w:rsid w:val="00847BBB"/>
    <w:rsid w:val="00851A4E"/>
    <w:rsid w:val="00854FBE"/>
    <w:rsid w:val="00856B73"/>
    <w:rsid w:val="0087284B"/>
    <w:rsid w:val="008832DC"/>
    <w:rsid w:val="00884BE2"/>
    <w:rsid w:val="0088779D"/>
    <w:rsid w:val="00887BC6"/>
    <w:rsid w:val="00890D21"/>
    <w:rsid w:val="008A56E6"/>
    <w:rsid w:val="008B49F5"/>
    <w:rsid w:val="008B58DC"/>
    <w:rsid w:val="008C2465"/>
    <w:rsid w:val="008C6662"/>
    <w:rsid w:val="008C7CEC"/>
    <w:rsid w:val="008D6BD4"/>
    <w:rsid w:val="008D7EE2"/>
    <w:rsid w:val="008E14E1"/>
    <w:rsid w:val="008E19AE"/>
    <w:rsid w:val="008E1AC6"/>
    <w:rsid w:val="008F1C8A"/>
    <w:rsid w:val="008F485F"/>
    <w:rsid w:val="008F54AE"/>
    <w:rsid w:val="008F7D8F"/>
    <w:rsid w:val="009058DF"/>
    <w:rsid w:val="00907089"/>
    <w:rsid w:val="0090776D"/>
    <w:rsid w:val="0091103A"/>
    <w:rsid w:val="00917945"/>
    <w:rsid w:val="00924032"/>
    <w:rsid w:val="009307AC"/>
    <w:rsid w:val="00930EFA"/>
    <w:rsid w:val="00940536"/>
    <w:rsid w:val="009427D8"/>
    <w:rsid w:val="0094653E"/>
    <w:rsid w:val="009531B7"/>
    <w:rsid w:val="00955672"/>
    <w:rsid w:val="00956956"/>
    <w:rsid w:val="00957016"/>
    <w:rsid w:val="0095740A"/>
    <w:rsid w:val="00966EAC"/>
    <w:rsid w:val="0097236B"/>
    <w:rsid w:val="0097687E"/>
    <w:rsid w:val="0097785D"/>
    <w:rsid w:val="00983CE7"/>
    <w:rsid w:val="009966C7"/>
    <w:rsid w:val="009A0F93"/>
    <w:rsid w:val="009A11EC"/>
    <w:rsid w:val="009A35D0"/>
    <w:rsid w:val="009A56CA"/>
    <w:rsid w:val="009B0294"/>
    <w:rsid w:val="009C6734"/>
    <w:rsid w:val="009D13B6"/>
    <w:rsid w:val="009D1B21"/>
    <w:rsid w:val="009D5AA1"/>
    <w:rsid w:val="009E7E38"/>
    <w:rsid w:val="009F213B"/>
    <w:rsid w:val="00A02958"/>
    <w:rsid w:val="00A047EC"/>
    <w:rsid w:val="00A07BDC"/>
    <w:rsid w:val="00A14A6D"/>
    <w:rsid w:val="00A22BE2"/>
    <w:rsid w:val="00A44D6F"/>
    <w:rsid w:val="00A46737"/>
    <w:rsid w:val="00A562C7"/>
    <w:rsid w:val="00A57C1A"/>
    <w:rsid w:val="00A57D11"/>
    <w:rsid w:val="00A64D47"/>
    <w:rsid w:val="00A71379"/>
    <w:rsid w:val="00A72069"/>
    <w:rsid w:val="00A97D72"/>
    <w:rsid w:val="00AA05F9"/>
    <w:rsid w:val="00AA5297"/>
    <w:rsid w:val="00AA7BB1"/>
    <w:rsid w:val="00AB0CEA"/>
    <w:rsid w:val="00AD7DD5"/>
    <w:rsid w:val="00AE2B11"/>
    <w:rsid w:val="00AE5950"/>
    <w:rsid w:val="00AE5FE0"/>
    <w:rsid w:val="00AF33B1"/>
    <w:rsid w:val="00AF3443"/>
    <w:rsid w:val="00AF6E5D"/>
    <w:rsid w:val="00AF77AB"/>
    <w:rsid w:val="00B06A37"/>
    <w:rsid w:val="00B24070"/>
    <w:rsid w:val="00B254A2"/>
    <w:rsid w:val="00B3471E"/>
    <w:rsid w:val="00B757D3"/>
    <w:rsid w:val="00B83E82"/>
    <w:rsid w:val="00B914A5"/>
    <w:rsid w:val="00BA38B2"/>
    <w:rsid w:val="00BB1F35"/>
    <w:rsid w:val="00BB35FC"/>
    <w:rsid w:val="00BB3FC6"/>
    <w:rsid w:val="00BB6E9F"/>
    <w:rsid w:val="00BC257C"/>
    <w:rsid w:val="00BC3D2A"/>
    <w:rsid w:val="00BC6B79"/>
    <w:rsid w:val="00BD4FF9"/>
    <w:rsid w:val="00BD6C00"/>
    <w:rsid w:val="00BF6383"/>
    <w:rsid w:val="00C0523F"/>
    <w:rsid w:val="00C10B56"/>
    <w:rsid w:val="00C17CFF"/>
    <w:rsid w:val="00C30A17"/>
    <w:rsid w:val="00C3100F"/>
    <w:rsid w:val="00C40237"/>
    <w:rsid w:val="00C4518D"/>
    <w:rsid w:val="00C54D18"/>
    <w:rsid w:val="00C57DBD"/>
    <w:rsid w:val="00C66FE1"/>
    <w:rsid w:val="00C670D2"/>
    <w:rsid w:val="00C74DCD"/>
    <w:rsid w:val="00C927E7"/>
    <w:rsid w:val="00CB0681"/>
    <w:rsid w:val="00CC1877"/>
    <w:rsid w:val="00CC3954"/>
    <w:rsid w:val="00CC5A94"/>
    <w:rsid w:val="00CD2A00"/>
    <w:rsid w:val="00CD3D1E"/>
    <w:rsid w:val="00D0247C"/>
    <w:rsid w:val="00D03A6C"/>
    <w:rsid w:val="00D105C3"/>
    <w:rsid w:val="00D175C9"/>
    <w:rsid w:val="00D20CFA"/>
    <w:rsid w:val="00D45B2C"/>
    <w:rsid w:val="00D46289"/>
    <w:rsid w:val="00D47AC9"/>
    <w:rsid w:val="00D57BAB"/>
    <w:rsid w:val="00D61355"/>
    <w:rsid w:val="00D67C8F"/>
    <w:rsid w:val="00D72CDD"/>
    <w:rsid w:val="00D75EE4"/>
    <w:rsid w:val="00D8400A"/>
    <w:rsid w:val="00D85D07"/>
    <w:rsid w:val="00D87224"/>
    <w:rsid w:val="00D915FA"/>
    <w:rsid w:val="00D97CAD"/>
    <w:rsid w:val="00DA7ADF"/>
    <w:rsid w:val="00DB4B90"/>
    <w:rsid w:val="00DB5549"/>
    <w:rsid w:val="00DC1CD0"/>
    <w:rsid w:val="00DC60BB"/>
    <w:rsid w:val="00DD7288"/>
    <w:rsid w:val="00DE2221"/>
    <w:rsid w:val="00E1170F"/>
    <w:rsid w:val="00E15C8F"/>
    <w:rsid w:val="00E26636"/>
    <w:rsid w:val="00E42442"/>
    <w:rsid w:val="00E450E8"/>
    <w:rsid w:val="00E504E9"/>
    <w:rsid w:val="00E520E3"/>
    <w:rsid w:val="00E52795"/>
    <w:rsid w:val="00E737B1"/>
    <w:rsid w:val="00E740EA"/>
    <w:rsid w:val="00E77463"/>
    <w:rsid w:val="00E8073E"/>
    <w:rsid w:val="00E83256"/>
    <w:rsid w:val="00E85382"/>
    <w:rsid w:val="00E94FBE"/>
    <w:rsid w:val="00E95F2F"/>
    <w:rsid w:val="00EA3168"/>
    <w:rsid w:val="00EA48DD"/>
    <w:rsid w:val="00EA6431"/>
    <w:rsid w:val="00EC3EE7"/>
    <w:rsid w:val="00ED0DBA"/>
    <w:rsid w:val="00EE2D16"/>
    <w:rsid w:val="00EE377E"/>
    <w:rsid w:val="00EF10BA"/>
    <w:rsid w:val="00EF2649"/>
    <w:rsid w:val="00EF3125"/>
    <w:rsid w:val="00EF5431"/>
    <w:rsid w:val="00F30164"/>
    <w:rsid w:val="00F32A5E"/>
    <w:rsid w:val="00F33BD0"/>
    <w:rsid w:val="00F40E06"/>
    <w:rsid w:val="00F4503E"/>
    <w:rsid w:val="00F45F61"/>
    <w:rsid w:val="00F66128"/>
    <w:rsid w:val="00F66F99"/>
    <w:rsid w:val="00F72D61"/>
    <w:rsid w:val="00F845F6"/>
    <w:rsid w:val="00F84756"/>
    <w:rsid w:val="00F86E26"/>
    <w:rsid w:val="00FA0BE2"/>
    <w:rsid w:val="00FA6CBE"/>
    <w:rsid w:val="00FB149B"/>
    <w:rsid w:val="00FB5780"/>
    <w:rsid w:val="00FC0FDB"/>
    <w:rsid w:val="00FC4671"/>
    <w:rsid w:val="00FD01AC"/>
    <w:rsid w:val="00FE3AFD"/>
    <w:rsid w:val="00FE55C6"/>
    <w:rsid w:val="00FE5FFF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337ED8"/>
  <w15:chartTrackingRefBased/>
  <w15:docId w15:val="{DA284620-D264-491F-8D1A-4CA08EB9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6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sid w:val="00163D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163D4D"/>
    <w:rPr>
      <w:rFonts w:ascii="Tahoma" w:hAnsi="Tahoma" w:cs="Tahoma"/>
      <w:sz w:val="16"/>
      <w:szCs w:val="16"/>
      <w:lang w:val="en-GB" w:eastAsia="en-US" w:bidi="ar-SA"/>
    </w:rPr>
  </w:style>
  <w:style w:type="paragraph" w:styleId="Notedebasdepage">
    <w:name w:val="footnote text"/>
    <w:basedOn w:val="Normal"/>
    <w:semiHidden/>
    <w:rsid w:val="007D41B0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zh-CN"/>
    </w:rPr>
  </w:style>
  <w:style w:type="character" w:styleId="Appelnotedebasdep">
    <w:name w:val="footnote reference"/>
    <w:semiHidden/>
    <w:rsid w:val="007D41B0"/>
    <w:rPr>
      <w:rFonts w:cs="Times New Roman"/>
      <w:vertAlign w:val="superscript"/>
    </w:rPr>
  </w:style>
  <w:style w:type="paragraph" w:styleId="En-tte">
    <w:name w:val="header"/>
    <w:basedOn w:val="Normal"/>
    <w:link w:val="En-tteCar"/>
    <w:rsid w:val="007D41B0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En-tteCar">
    <w:name w:val="En-tête Car"/>
    <w:link w:val="En-tte"/>
    <w:rsid w:val="007D41B0"/>
    <w:rPr>
      <w:lang w:val="en-GB" w:eastAsia="en-US" w:bidi="ar-SA"/>
    </w:rPr>
  </w:style>
  <w:style w:type="paragraph" w:customStyle="1" w:styleId="Standaardpersonnel">
    <w:name w:val="Standaard.personnel"/>
    <w:rsid w:val="007D41B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nl-NL" w:eastAsia="en-US"/>
    </w:rPr>
  </w:style>
  <w:style w:type="paragraph" w:customStyle="1" w:styleId="3head11">
    <w:name w:val="3.head1.1"/>
    <w:basedOn w:val="Normal"/>
    <w:next w:val="Normal"/>
    <w:rsid w:val="007D41B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character" w:styleId="Marquedecommentaire">
    <w:name w:val="annotation reference"/>
    <w:semiHidden/>
    <w:rsid w:val="00130C54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130C5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aireCar">
    <w:name w:val="Commentaire Car"/>
    <w:link w:val="Commentaire"/>
    <w:semiHidden/>
    <w:locked/>
    <w:rsid w:val="00130C54"/>
    <w:rPr>
      <w:lang w:val="en-GB" w:eastAsia="en-US" w:bidi="ar-SA"/>
    </w:rPr>
  </w:style>
  <w:style w:type="paragraph" w:styleId="Pieddepage">
    <w:name w:val="footer"/>
    <w:basedOn w:val="Normal"/>
    <w:rsid w:val="00103DF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03DF2"/>
  </w:style>
  <w:style w:type="paragraph" w:customStyle="1" w:styleId="Default">
    <w:name w:val="Default"/>
    <w:rsid w:val="00A713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42347F"/>
    <w:pPr>
      <w:widowControl/>
      <w:autoSpaceDE/>
      <w:autoSpaceDN/>
      <w:adjustRightInd/>
    </w:pPr>
    <w:rPr>
      <w:b/>
      <w:bCs/>
    </w:rPr>
  </w:style>
  <w:style w:type="character" w:customStyle="1" w:styleId="ObjetducommentaireCar">
    <w:name w:val="Objet du commentaire Car"/>
    <w:link w:val="Objetducommentaire"/>
    <w:rsid w:val="0042347F"/>
    <w:rPr>
      <w:b/>
      <w:bCs/>
      <w:lang w:val="en-GB" w:eastAsia="en-US" w:bidi="ar-SA"/>
    </w:rPr>
  </w:style>
  <w:style w:type="paragraph" w:customStyle="1" w:styleId="Rvision1">
    <w:name w:val="Révision1"/>
    <w:hidden/>
    <w:uiPriority w:val="99"/>
    <w:semiHidden/>
    <w:rsid w:val="00BC6B79"/>
    <w:rPr>
      <w:sz w:val="24"/>
      <w:szCs w:val="24"/>
      <w:lang w:val="en-GB" w:eastAsia="en-US"/>
    </w:rPr>
  </w:style>
  <w:style w:type="character" w:styleId="Lienhypertexte">
    <w:name w:val="Hyperlink"/>
    <w:rsid w:val="005D5F7C"/>
    <w:rPr>
      <w:color w:val="0000FF"/>
      <w:u w:val="single"/>
    </w:rPr>
  </w:style>
  <w:style w:type="character" w:styleId="Lienhypertextesuivivisit">
    <w:name w:val="FollowedHyperlink"/>
    <w:rsid w:val="005D5F7C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E26636"/>
    <w:pPr>
      <w:ind w:left="708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02462-7452-4170-A2F4-9552C945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Module</vt:lpstr>
      <vt:lpstr>Module</vt:lpstr>
    </vt:vector>
  </TitlesOfParts>
  <Company>UNHCR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</dc:title>
  <dc:subject/>
  <dc:creator>Melody Tondeur</dc:creator>
  <cp:keywords/>
  <cp:lastModifiedBy>Fanny Cassard</cp:lastModifiedBy>
  <cp:revision>39</cp:revision>
  <cp:lastPrinted>2014-10-27T16:56:00Z</cp:lastPrinted>
  <dcterms:created xsi:type="dcterms:W3CDTF">2018-04-05T08:24:00Z</dcterms:created>
  <dcterms:modified xsi:type="dcterms:W3CDTF">2019-10-03T15:22:00Z</dcterms:modified>
</cp:coreProperties>
</file>