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03ADB" w14:textId="77777777" w:rsidR="00EF7FE3" w:rsidRPr="00DC6DB3" w:rsidRDefault="00EF7FE3" w:rsidP="00EF7FE3">
      <w:pPr>
        <w:spacing w:line="118" w:lineRule="exact"/>
        <w:rPr>
          <w:rFonts w:ascii="Calibri" w:hAnsi="Calibri" w:cs="Calibri"/>
          <w:sz w:val="20"/>
          <w:szCs w:val="20"/>
        </w:rPr>
      </w:pPr>
    </w:p>
    <w:p w14:paraId="527EC736" w14:textId="77777777" w:rsidR="006172A4" w:rsidRPr="00DC6DB3" w:rsidRDefault="006172A4" w:rsidP="00DC6DB3">
      <w:pPr>
        <w:spacing w:before="240"/>
        <w:jc w:val="center"/>
        <w:rPr>
          <w:rFonts w:ascii="Calibri" w:hAnsi="Calibri" w:cs="Calibri"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>LISTE DE CONTRÔLE</w:t>
      </w:r>
    </w:p>
    <w:p w14:paraId="64AD52C8" w14:textId="0016BC6D" w:rsidR="00EF7FE3" w:rsidRPr="00DC6DB3" w:rsidRDefault="00EF7FE3" w:rsidP="00DC6DB3">
      <w:pPr>
        <w:spacing w:before="120"/>
        <w:jc w:val="center"/>
        <w:rPr>
          <w:rFonts w:ascii="Calibri" w:hAnsi="Calibri" w:cs="Calibri"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 xml:space="preserve">FACTEURS QUI DÉTERMINENT L’INTÉRÊT SUPÉRIEUR D'UN ENFANT </w:t>
      </w:r>
    </w:p>
    <w:p w14:paraId="684DBFA2" w14:textId="77777777" w:rsidR="00EF7FE3" w:rsidRPr="00DC6DB3" w:rsidRDefault="00EF7FE3" w:rsidP="00DC6DB3">
      <w:pPr>
        <w:rPr>
          <w:rFonts w:ascii="Calibri" w:hAnsi="Calibri" w:cs="Calibri"/>
          <w:color w:val="0070C0"/>
          <w:sz w:val="20"/>
          <w:szCs w:val="20"/>
        </w:rPr>
      </w:pPr>
    </w:p>
    <w:p w14:paraId="09BDA929" w14:textId="77777777" w:rsidR="00EF7FE3" w:rsidRPr="00DC6DB3" w:rsidRDefault="00EF7FE3" w:rsidP="00EF7FE3">
      <w:pPr>
        <w:spacing w:line="193" w:lineRule="exact"/>
        <w:rPr>
          <w:rFonts w:ascii="Calibri" w:hAnsi="Calibri" w:cs="Calibri"/>
          <w:sz w:val="20"/>
          <w:szCs w:val="20"/>
        </w:rPr>
      </w:pPr>
    </w:p>
    <w:p w14:paraId="4C0F2E4F" w14:textId="4B446720" w:rsidR="00EF7FE3" w:rsidRPr="00DC6DB3" w:rsidRDefault="00EF7FE3" w:rsidP="00EF7FE3">
      <w:pPr>
        <w:spacing w:line="249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Tous les facteurs énumérés ci-dessous sont pertinents pour déterminer laquelle parmi les options disponibles est dans l'intérêt supérieur de l'enfant, y compris l'identification des mesures de suivi nécessaires.  </w:t>
      </w:r>
      <w:r w:rsidR="00156A35">
        <w:rPr>
          <w:rFonts w:ascii="Calibri" w:hAnsi="Calibri"/>
          <w:sz w:val="20"/>
        </w:rPr>
        <w:t>L’importance donnée</w:t>
      </w:r>
      <w:r>
        <w:rPr>
          <w:rFonts w:ascii="Calibri" w:hAnsi="Calibri"/>
          <w:sz w:val="20"/>
        </w:rPr>
        <w:t xml:space="preserve"> </w:t>
      </w:r>
      <w:r w:rsidR="00156A35">
        <w:rPr>
          <w:rFonts w:ascii="Calibri" w:hAnsi="Calibri"/>
          <w:sz w:val="20"/>
        </w:rPr>
        <w:t xml:space="preserve">à </w:t>
      </w:r>
      <w:r>
        <w:rPr>
          <w:rFonts w:ascii="Calibri" w:hAnsi="Calibri"/>
          <w:sz w:val="20"/>
        </w:rPr>
        <w:t>chaque facteur varie inévitablement en fonction de chaque enfant.  Des conseils sur la tâche difficile d'équilibrer ces facteurs sont fournis au chapitre 5 des Directives.</w:t>
      </w:r>
    </w:p>
    <w:p w14:paraId="7D70712D" w14:textId="77777777" w:rsidR="00EF7FE3" w:rsidRPr="00DC6DB3" w:rsidRDefault="00EF7FE3" w:rsidP="00EF7FE3">
      <w:pPr>
        <w:spacing w:line="186" w:lineRule="exact"/>
        <w:rPr>
          <w:rFonts w:ascii="Calibri" w:hAnsi="Calibri" w:cs="Calibri"/>
          <w:sz w:val="20"/>
          <w:szCs w:val="20"/>
        </w:rPr>
      </w:pPr>
    </w:p>
    <w:p w14:paraId="2CCDADB3" w14:textId="0B1D211E" w:rsidR="00EF7FE3" w:rsidRPr="00DC6DB3" w:rsidRDefault="00EF7FE3" w:rsidP="00DC6DB3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OPINIONS DE L'ENFANT ;</w:t>
      </w:r>
    </w:p>
    <w:p w14:paraId="698D8916" w14:textId="77777777" w:rsidR="00CF68DE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Souhaits et sentiments de l'enfant et, ont-ils été obtenus directement de l'enfant ?</w:t>
      </w:r>
    </w:p>
    <w:p w14:paraId="75D101C2" w14:textId="1A3506CD" w:rsidR="00CF68DE" w:rsidRPr="00DC6DB3" w:rsidRDefault="00156A35" w:rsidP="00DC6DB3">
      <w:pPr>
        <w:pStyle w:val="ListParagraph"/>
        <w:numPr>
          <w:ilvl w:val="0"/>
          <w:numId w:val="3"/>
        </w:numPr>
        <w:spacing w:before="80" w:after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L’importance</w:t>
      </w:r>
      <w:r w:rsidR="00EF7FE3">
        <w:rPr>
          <w:rFonts w:ascii="Calibri" w:hAnsi="Calibri"/>
          <w:sz w:val="20"/>
        </w:rPr>
        <w:t xml:space="preserve"> à leur accorder, compte tenu de l'âge et de la maturité de l'enfant ; </w:t>
      </w:r>
    </w:p>
    <w:p w14:paraId="6E3D5779" w14:textId="77777777" w:rsidR="00EF7FE3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Capacité de l'enfant à comprendre et à évaluer les implications des différentes options. </w:t>
      </w:r>
    </w:p>
    <w:p w14:paraId="4251C1A8" w14:textId="77777777" w:rsidR="00EF7FE3" w:rsidRPr="00DC6DB3" w:rsidRDefault="00EF7FE3" w:rsidP="00DC6DB3">
      <w:pPr>
        <w:spacing w:before="80" w:after="80"/>
        <w:rPr>
          <w:rFonts w:ascii="Calibri" w:hAnsi="Calibri" w:cs="Calibri"/>
          <w:sz w:val="20"/>
          <w:szCs w:val="20"/>
        </w:rPr>
      </w:pPr>
    </w:p>
    <w:p w14:paraId="07C40861" w14:textId="778C210F" w:rsidR="00EF7FE3" w:rsidRPr="00DC6DB3" w:rsidRDefault="00EF7FE3" w:rsidP="00DC6DB3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ENVIRONNEMENT SÉCURISÉ</w:t>
      </w:r>
    </w:p>
    <w:p w14:paraId="4ACA0683" w14:textId="4AB41BC4" w:rsidR="00EF7FE3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La sécurité est normalement une priorité. L'exposition ou l'exposition probable </w:t>
      </w:r>
      <w:r w:rsidR="00156A35">
        <w:rPr>
          <w:rFonts w:ascii="Calibri" w:hAnsi="Calibri"/>
          <w:sz w:val="20"/>
        </w:rPr>
        <w:t xml:space="preserve">au danger de </w:t>
      </w:r>
      <w:proofErr w:type="gramStart"/>
      <w:r w:rsidR="00156A35">
        <w:rPr>
          <w:rFonts w:ascii="Calibri" w:hAnsi="Calibri"/>
          <w:sz w:val="20"/>
        </w:rPr>
        <w:t>mal</w:t>
      </w:r>
      <w:r>
        <w:rPr>
          <w:rFonts w:ascii="Calibri" w:hAnsi="Calibri"/>
          <w:sz w:val="20"/>
        </w:rPr>
        <w:t xml:space="preserve"> </w:t>
      </w:r>
      <w:r w:rsidR="00156A35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grave</w:t>
      </w:r>
      <w:proofErr w:type="gramEnd"/>
      <w:r>
        <w:rPr>
          <w:rFonts w:ascii="Calibri" w:hAnsi="Calibri"/>
          <w:sz w:val="20"/>
        </w:rPr>
        <w:t xml:space="preserve"> l'emporte généralement sur les autres facteurs.  Examiner :</w:t>
      </w:r>
    </w:p>
    <w:p w14:paraId="4368B5B8" w14:textId="77777777" w:rsidR="00CF68DE" w:rsidRPr="00DC6DB3" w:rsidRDefault="00EF7FE3" w:rsidP="00DC6DB3">
      <w:pPr>
        <w:pStyle w:val="ListParagraph"/>
        <w:numPr>
          <w:ilvl w:val="2"/>
          <w:numId w:val="7"/>
        </w:numPr>
        <w:spacing w:before="80" w:after="80"/>
        <w:ind w:left="717" w:right="20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La sécurité dans la zone géographique / le ménage envisagé </w:t>
      </w:r>
    </w:p>
    <w:p w14:paraId="23101D6D" w14:textId="77777777" w:rsidR="00CF68DE" w:rsidRPr="00DC6DB3" w:rsidRDefault="00EF7FE3" w:rsidP="00DC6DB3">
      <w:pPr>
        <w:pStyle w:val="ListParagraph"/>
        <w:numPr>
          <w:ilvl w:val="2"/>
          <w:numId w:val="7"/>
        </w:numPr>
        <w:spacing w:before="80" w:after="80"/>
        <w:ind w:left="717" w:right="20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La disponibilité de traitements médicaux vitaux pour les enfants malades </w:t>
      </w:r>
    </w:p>
    <w:p w14:paraId="5623DC00" w14:textId="7A9A1A3F" w:rsidR="00EF7FE3" w:rsidRPr="00DC6DB3" w:rsidRDefault="00EF7FE3" w:rsidP="00DC6DB3">
      <w:pPr>
        <w:pStyle w:val="ListParagraph"/>
        <w:numPr>
          <w:ilvl w:val="2"/>
          <w:numId w:val="7"/>
        </w:numPr>
        <w:spacing w:before="80" w:after="80"/>
        <w:ind w:left="717" w:right="20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Les </w:t>
      </w:r>
      <w:r w:rsidR="00156A35">
        <w:rPr>
          <w:rFonts w:ascii="Calibri" w:hAnsi="Calibri"/>
          <w:sz w:val="20"/>
        </w:rPr>
        <w:t xml:space="preserve">maltraitances </w:t>
      </w:r>
      <w:r>
        <w:rPr>
          <w:rFonts w:ascii="Calibri" w:hAnsi="Calibri"/>
          <w:sz w:val="20"/>
        </w:rPr>
        <w:t>passés (fréquence, schémas, tendances)</w:t>
      </w:r>
    </w:p>
    <w:p w14:paraId="38BBDC05" w14:textId="77777777" w:rsidR="00EF7FE3" w:rsidRPr="00DC6DB3" w:rsidRDefault="00EF7FE3" w:rsidP="00DC6DB3">
      <w:pPr>
        <w:pStyle w:val="ListParagraph"/>
        <w:numPr>
          <w:ilvl w:val="2"/>
          <w:numId w:val="7"/>
        </w:numPr>
        <w:spacing w:before="80" w:after="80"/>
        <w:ind w:left="71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La capacité à surveiller</w:t>
      </w:r>
    </w:p>
    <w:p w14:paraId="19F47480" w14:textId="34C08005" w:rsidR="00EF7FE3" w:rsidRPr="00DC6DB3" w:rsidRDefault="00EF7FE3" w:rsidP="00DC6DB3">
      <w:pPr>
        <w:pStyle w:val="ListParagraph"/>
        <w:numPr>
          <w:ilvl w:val="2"/>
          <w:numId w:val="7"/>
        </w:numPr>
        <w:spacing w:before="80" w:after="80"/>
        <w:ind w:left="71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La </w:t>
      </w:r>
      <w:r w:rsidR="00156A35">
        <w:rPr>
          <w:rFonts w:ascii="Calibri" w:hAnsi="Calibri"/>
          <w:sz w:val="20"/>
        </w:rPr>
        <w:t>persistance</w:t>
      </w:r>
      <w:r>
        <w:rPr>
          <w:rFonts w:ascii="Calibri" w:hAnsi="Calibri"/>
          <w:sz w:val="20"/>
        </w:rPr>
        <w:t xml:space="preserve"> des causes profondes des </w:t>
      </w:r>
      <w:r w:rsidR="00156A35">
        <w:rPr>
          <w:rFonts w:ascii="Calibri" w:hAnsi="Calibri"/>
          <w:sz w:val="20"/>
        </w:rPr>
        <w:t xml:space="preserve">maltraitances </w:t>
      </w:r>
      <w:r>
        <w:rPr>
          <w:rFonts w:ascii="Calibri" w:hAnsi="Calibri"/>
          <w:sz w:val="20"/>
        </w:rPr>
        <w:t>passés.</w:t>
      </w:r>
    </w:p>
    <w:p w14:paraId="52260D51" w14:textId="77777777" w:rsidR="00EF7FE3" w:rsidRPr="00DC6DB3" w:rsidRDefault="00EF7FE3" w:rsidP="00DC6DB3">
      <w:pPr>
        <w:spacing w:before="80" w:after="80"/>
        <w:rPr>
          <w:rFonts w:ascii="Calibri" w:hAnsi="Calibri" w:cs="Calibri"/>
          <w:sz w:val="20"/>
          <w:szCs w:val="20"/>
        </w:rPr>
      </w:pPr>
    </w:p>
    <w:p w14:paraId="18D9CCD2" w14:textId="77777777" w:rsidR="00EF7FE3" w:rsidRPr="00DC6DB3" w:rsidRDefault="00EF7FE3" w:rsidP="00DC6DB3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FAMILLE ET PROCHES</w:t>
      </w:r>
    </w:p>
    <w:p w14:paraId="0DDB5D5C" w14:textId="77777777" w:rsidR="00EF7FE3" w:rsidRPr="00DC6DB3" w:rsidRDefault="00EF7FE3" w:rsidP="00DC6DB3">
      <w:pPr>
        <w:spacing w:before="80" w:after="8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sz w:val="20"/>
        </w:rPr>
        <w:t>a) Facteurs généraux :</w:t>
      </w:r>
    </w:p>
    <w:p w14:paraId="63C52093" w14:textId="410793EC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Qualité et durée de la relation et degré d'attachement de l'enfant à la :</w:t>
      </w:r>
    </w:p>
    <w:p w14:paraId="1C7FA3C9" w14:textId="77777777" w:rsidR="00EF7FE3" w:rsidRPr="00DC6DB3" w:rsidRDefault="00EF7FE3" w:rsidP="00DC6DB3">
      <w:pPr>
        <w:pStyle w:val="ListParagraph"/>
        <w:numPr>
          <w:ilvl w:val="0"/>
          <w:numId w:val="4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/>
          <w:sz w:val="20"/>
        </w:rPr>
        <w:t>fratrie</w:t>
      </w:r>
      <w:proofErr w:type="gramEnd"/>
    </w:p>
    <w:p w14:paraId="67BB1D93" w14:textId="77777777" w:rsidR="00EF7FE3" w:rsidRPr="00DC6DB3" w:rsidRDefault="00EF7FE3" w:rsidP="00DC6DB3">
      <w:pPr>
        <w:pStyle w:val="ListParagraph"/>
        <w:numPr>
          <w:ilvl w:val="0"/>
          <w:numId w:val="4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/>
          <w:sz w:val="20"/>
        </w:rPr>
        <w:t>d'autres</w:t>
      </w:r>
      <w:proofErr w:type="gramEnd"/>
      <w:r>
        <w:rPr>
          <w:rFonts w:ascii="Calibri" w:hAnsi="Calibri"/>
          <w:sz w:val="20"/>
        </w:rPr>
        <w:t xml:space="preserve"> membres de la famille</w:t>
      </w:r>
    </w:p>
    <w:p w14:paraId="106A7C27" w14:textId="77777777" w:rsidR="00EF7FE3" w:rsidRPr="00DC6DB3" w:rsidRDefault="00EF7FE3" w:rsidP="00DC6DB3">
      <w:pPr>
        <w:pStyle w:val="ListParagraph"/>
        <w:numPr>
          <w:ilvl w:val="0"/>
          <w:numId w:val="4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/>
          <w:sz w:val="20"/>
        </w:rPr>
        <w:t>d'autres</w:t>
      </w:r>
      <w:proofErr w:type="gramEnd"/>
      <w:r>
        <w:rPr>
          <w:rFonts w:ascii="Calibri" w:hAnsi="Calibri"/>
          <w:sz w:val="20"/>
        </w:rPr>
        <w:t xml:space="preserve"> adultes ou enfants de la communauté culturelle, tout potentiel aidant ;</w:t>
      </w:r>
    </w:p>
    <w:p w14:paraId="60299F49" w14:textId="7924253B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Effet éventuel de la séparation de la famille ou du changement de </w:t>
      </w:r>
      <w:r w:rsidR="00156A35">
        <w:rPr>
          <w:rFonts w:ascii="Calibri" w:hAnsi="Calibri"/>
          <w:sz w:val="20"/>
        </w:rPr>
        <w:t>tuteur de</w:t>
      </w:r>
      <w:r>
        <w:rPr>
          <w:rFonts w:ascii="Calibri" w:hAnsi="Calibri"/>
          <w:sz w:val="20"/>
        </w:rPr>
        <w:t xml:space="preserve"> l'enfant ;</w:t>
      </w:r>
    </w:p>
    <w:p w14:paraId="37D0996C" w14:textId="1D6598CB" w:rsidR="00B27CF0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ind w:right="2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Capacité des </w:t>
      </w:r>
      <w:proofErr w:type="gramStart"/>
      <w:r w:rsidR="00156A35">
        <w:rPr>
          <w:rFonts w:ascii="Calibri" w:hAnsi="Calibri"/>
          <w:sz w:val="20"/>
        </w:rPr>
        <w:t xml:space="preserve">tuteurs  </w:t>
      </w:r>
      <w:r>
        <w:rPr>
          <w:rFonts w:ascii="Calibri" w:hAnsi="Calibri"/>
          <w:sz w:val="20"/>
        </w:rPr>
        <w:t>actuels</w:t>
      </w:r>
      <w:proofErr w:type="gramEnd"/>
      <w:r>
        <w:rPr>
          <w:rFonts w:ascii="Calibri" w:hAnsi="Calibri"/>
          <w:sz w:val="20"/>
        </w:rPr>
        <w:t xml:space="preserve"> </w:t>
      </w:r>
      <w:r w:rsidR="00156A35">
        <w:rPr>
          <w:rFonts w:ascii="Calibri" w:hAnsi="Calibri"/>
          <w:sz w:val="20"/>
        </w:rPr>
        <w:t>ou</w:t>
      </w:r>
      <w:r>
        <w:rPr>
          <w:rFonts w:ascii="Calibri" w:hAnsi="Calibri"/>
          <w:sz w:val="20"/>
        </w:rPr>
        <w:t xml:space="preserve"> </w:t>
      </w:r>
      <w:r w:rsidR="00156A35">
        <w:rPr>
          <w:rFonts w:ascii="Calibri" w:hAnsi="Calibri"/>
          <w:sz w:val="20"/>
        </w:rPr>
        <w:t xml:space="preserve">potentiels </w:t>
      </w:r>
      <w:r>
        <w:rPr>
          <w:rFonts w:ascii="Calibri" w:hAnsi="Calibri"/>
          <w:sz w:val="20"/>
        </w:rPr>
        <w:t xml:space="preserve">à s'occuper de l'enfant ; </w:t>
      </w:r>
    </w:p>
    <w:p w14:paraId="589A9F45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ind w:right="2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Opinion de personnes proches de l'enfant, le cas échéant.</w:t>
      </w:r>
    </w:p>
    <w:p w14:paraId="3EDD0E81" w14:textId="77777777" w:rsidR="00EF7FE3" w:rsidRPr="00DC6DB3" w:rsidRDefault="00EF7FE3" w:rsidP="00DC6DB3">
      <w:pPr>
        <w:spacing w:before="80" w:after="80"/>
        <w:rPr>
          <w:rFonts w:ascii="Calibri" w:hAnsi="Calibri" w:cs="Calibri"/>
          <w:sz w:val="20"/>
          <w:szCs w:val="20"/>
        </w:rPr>
      </w:pPr>
    </w:p>
    <w:p w14:paraId="41824F0B" w14:textId="77777777" w:rsidR="00EF7FE3" w:rsidRPr="00DC6DB3" w:rsidRDefault="00EF7FE3" w:rsidP="00DC6DB3">
      <w:pPr>
        <w:numPr>
          <w:ilvl w:val="0"/>
          <w:numId w:val="1"/>
        </w:numPr>
        <w:tabs>
          <w:tab w:val="left" w:pos="830"/>
        </w:tabs>
        <w:spacing w:before="80" w:after="80"/>
        <w:ind w:left="357" w:hanging="357"/>
        <w:rPr>
          <w:rFonts w:ascii="Calibri" w:eastAsia="Tw Cen MT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sz w:val="20"/>
        </w:rPr>
        <w:t>Facteurs spécifiquement pertinents pour les solutions durables pour les enfants non accompagnés ou séparés :</w:t>
      </w:r>
    </w:p>
    <w:p w14:paraId="2A16771D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ind w:right="280"/>
        <w:contextualSpacing w:val="0"/>
        <w:rPr>
          <w:rFonts w:ascii="Calibri" w:eastAsia="Tw Cen MT" w:hAnsi="Calibri" w:cs="Calibri"/>
          <w:sz w:val="20"/>
          <w:szCs w:val="20"/>
        </w:rPr>
      </w:pPr>
      <w:r>
        <w:rPr>
          <w:rFonts w:ascii="Calibri" w:hAnsi="Calibri"/>
          <w:sz w:val="20"/>
        </w:rPr>
        <w:t>Possibilité de regroupement familial (normalement présumé être dans l'intérêt supérieur).  Examiner si :</w:t>
      </w:r>
    </w:p>
    <w:p w14:paraId="3AE46F19" w14:textId="5DA36994" w:rsidR="00EF7FE3" w:rsidRPr="00DC6DB3" w:rsidRDefault="00EF7FE3" w:rsidP="00DC6DB3">
      <w:pPr>
        <w:pStyle w:val="ListParagraph"/>
        <w:numPr>
          <w:ilvl w:val="2"/>
          <w:numId w:val="4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proofErr w:type="gramStart"/>
      <w:r>
        <w:rPr>
          <w:rFonts w:ascii="Calibri" w:hAnsi="Calibri"/>
          <w:sz w:val="20"/>
        </w:rPr>
        <w:t>le</w:t>
      </w:r>
      <w:proofErr w:type="gramEnd"/>
      <w:r>
        <w:rPr>
          <w:rFonts w:ascii="Calibri" w:hAnsi="Calibri"/>
          <w:sz w:val="20"/>
        </w:rPr>
        <w:t xml:space="preserve"> </w:t>
      </w:r>
      <w:r w:rsidR="00E9471A">
        <w:rPr>
          <w:rFonts w:ascii="Calibri" w:hAnsi="Calibri"/>
          <w:sz w:val="20"/>
        </w:rPr>
        <w:t>recherche</w:t>
      </w:r>
      <w:r>
        <w:rPr>
          <w:rFonts w:ascii="Calibri" w:hAnsi="Calibri"/>
          <w:sz w:val="20"/>
        </w:rPr>
        <w:t xml:space="preserve"> a été lancé et ses résultats </w:t>
      </w:r>
    </w:p>
    <w:p w14:paraId="6886EA92" w14:textId="1CE70885" w:rsidR="00EF7FE3" w:rsidRPr="00DC6DB3" w:rsidRDefault="00EF7FE3" w:rsidP="00DC6DB3">
      <w:pPr>
        <w:pStyle w:val="ListParagraph"/>
        <w:numPr>
          <w:ilvl w:val="2"/>
          <w:numId w:val="4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proofErr w:type="gramStart"/>
      <w:r>
        <w:rPr>
          <w:rFonts w:ascii="Calibri" w:hAnsi="Calibri"/>
          <w:sz w:val="20"/>
        </w:rPr>
        <w:t>les</w:t>
      </w:r>
      <w:proofErr w:type="gramEnd"/>
      <w:r>
        <w:rPr>
          <w:rFonts w:ascii="Calibri" w:hAnsi="Calibri"/>
          <w:sz w:val="20"/>
        </w:rPr>
        <w:t xml:space="preserve"> efforts déployés pour contacter directement les parents / la famille</w:t>
      </w:r>
      <w:r w:rsidR="00E9471A">
        <w:rPr>
          <w:rFonts w:ascii="Calibri" w:hAnsi="Calibri"/>
          <w:sz w:val="20"/>
        </w:rPr>
        <w:t>,</w:t>
      </w:r>
      <w:r>
        <w:rPr>
          <w:rFonts w:ascii="Calibri" w:hAnsi="Calibri"/>
          <w:sz w:val="20"/>
        </w:rPr>
        <w:t xml:space="preserve"> la relation familiale avec l'enfant a été vérifiée </w:t>
      </w:r>
    </w:p>
    <w:p w14:paraId="1AE1D0BD" w14:textId="77777777" w:rsidR="00EF7FE3" w:rsidRPr="00DC6DB3" w:rsidRDefault="00EF7FE3" w:rsidP="00DC6DB3">
      <w:pPr>
        <w:pStyle w:val="ListParagraph"/>
        <w:numPr>
          <w:ilvl w:val="2"/>
          <w:numId w:val="4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proofErr w:type="gramStart"/>
      <w:r>
        <w:rPr>
          <w:rFonts w:ascii="Calibri" w:hAnsi="Calibri"/>
          <w:sz w:val="20"/>
        </w:rPr>
        <w:t>l'enfant</w:t>
      </w:r>
      <w:proofErr w:type="gramEnd"/>
      <w:r>
        <w:rPr>
          <w:rFonts w:ascii="Calibri" w:hAnsi="Calibri"/>
          <w:sz w:val="20"/>
        </w:rPr>
        <w:t xml:space="preserve"> et le membre de la famille sont prêts à être réunis et, dans le cas contraire, les raisons de toute réticence. </w:t>
      </w:r>
    </w:p>
    <w:p w14:paraId="64119323" w14:textId="0D3D98DB" w:rsidR="00EF7FE3" w:rsidRDefault="00EF7FE3" w:rsidP="00DC6DB3">
      <w:pPr>
        <w:tabs>
          <w:tab w:val="left" w:pos="736"/>
        </w:tabs>
        <w:spacing w:before="80" w:after="80"/>
        <w:ind w:left="880" w:right="1180"/>
        <w:rPr>
          <w:rFonts w:ascii="Calibri" w:eastAsia="Tw Cen MT" w:hAnsi="Calibri" w:cs="Calibri"/>
          <w:sz w:val="20"/>
          <w:szCs w:val="20"/>
        </w:rPr>
      </w:pPr>
    </w:p>
    <w:p w14:paraId="0F1DC2BB" w14:textId="03C44A1E" w:rsidR="007A7EE7" w:rsidRDefault="007A7EE7" w:rsidP="00DC6DB3">
      <w:pPr>
        <w:tabs>
          <w:tab w:val="left" w:pos="736"/>
        </w:tabs>
        <w:spacing w:before="80" w:after="80"/>
        <w:ind w:left="880" w:right="1180"/>
        <w:rPr>
          <w:rFonts w:ascii="Calibri" w:eastAsia="Tw Cen MT" w:hAnsi="Calibri" w:cs="Calibri"/>
          <w:sz w:val="20"/>
          <w:szCs w:val="20"/>
        </w:rPr>
      </w:pPr>
    </w:p>
    <w:p w14:paraId="1C5C0DA2" w14:textId="1283C430" w:rsidR="007A7EE7" w:rsidRDefault="007A7EE7" w:rsidP="00DC6DB3">
      <w:pPr>
        <w:tabs>
          <w:tab w:val="left" w:pos="736"/>
        </w:tabs>
        <w:spacing w:before="80" w:after="80"/>
        <w:ind w:left="880" w:right="1180"/>
        <w:rPr>
          <w:rFonts w:ascii="Calibri" w:eastAsia="Tw Cen MT" w:hAnsi="Calibri" w:cs="Calibri"/>
          <w:sz w:val="20"/>
          <w:szCs w:val="20"/>
        </w:rPr>
      </w:pPr>
    </w:p>
    <w:p w14:paraId="640A3216" w14:textId="77777777" w:rsidR="007A7EE7" w:rsidRPr="00DC6DB3" w:rsidRDefault="007A7EE7" w:rsidP="00DC6DB3">
      <w:pPr>
        <w:tabs>
          <w:tab w:val="left" w:pos="736"/>
        </w:tabs>
        <w:spacing w:before="80" w:after="80"/>
        <w:ind w:left="880" w:right="1180"/>
        <w:rPr>
          <w:rFonts w:ascii="Calibri" w:eastAsia="Tw Cen MT" w:hAnsi="Calibri" w:cs="Calibri"/>
          <w:sz w:val="20"/>
          <w:szCs w:val="20"/>
        </w:rPr>
      </w:pPr>
    </w:p>
    <w:p w14:paraId="11469390" w14:textId="77777777" w:rsidR="00EF7FE3" w:rsidRPr="00DC6DB3" w:rsidRDefault="00EF7FE3" w:rsidP="00DC6DB3">
      <w:pPr>
        <w:numPr>
          <w:ilvl w:val="0"/>
          <w:numId w:val="1"/>
        </w:numPr>
        <w:tabs>
          <w:tab w:val="left" w:pos="830"/>
        </w:tabs>
        <w:spacing w:before="80" w:after="80"/>
        <w:ind w:left="357" w:hanging="357"/>
        <w:rPr>
          <w:rFonts w:ascii="Calibri" w:eastAsia="Tw Cen MT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 xml:space="preserve">Facteurs spécifiquement pertinents pour les arrangements de soins temporaires : Maintien des relations familiales et fraternelles ; </w:t>
      </w:r>
    </w:p>
    <w:p w14:paraId="5B97B9BA" w14:textId="611637B1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Perspectives de </w:t>
      </w:r>
      <w:r w:rsidR="00E9471A">
        <w:rPr>
          <w:rFonts w:ascii="Calibri" w:hAnsi="Calibri"/>
          <w:sz w:val="20"/>
        </w:rPr>
        <w:t>prise en charge</w:t>
      </w:r>
      <w:r>
        <w:rPr>
          <w:rFonts w:ascii="Calibri" w:hAnsi="Calibri"/>
          <w:sz w:val="20"/>
        </w:rPr>
        <w:t xml:space="preserve"> en milieu familial ;</w:t>
      </w:r>
    </w:p>
    <w:p w14:paraId="66BCFA2C" w14:textId="2C6374D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Les perspectives d'utilisation des systèmes de </w:t>
      </w:r>
      <w:r w:rsidR="00E9471A">
        <w:rPr>
          <w:rFonts w:ascii="Calibri" w:hAnsi="Calibri"/>
          <w:sz w:val="20"/>
        </w:rPr>
        <w:t>prise en charge</w:t>
      </w:r>
      <w:r>
        <w:rPr>
          <w:rFonts w:ascii="Calibri" w:hAnsi="Calibri"/>
          <w:sz w:val="20"/>
        </w:rPr>
        <w:t xml:space="preserve"> communautaires (à condition qu'ils soient sûrs et </w:t>
      </w:r>
      <w:proofErr w:type="gramStart"/>
      <w:r>
        <w:rPr>
          <w:rFonts w:ascii="Calibri" w:hAnsi="Calibri"/>
          <w:sz w:val="20"/>
        </w:rPr>
        <w:t>efficaces</w:t>
      </w:r>
      <w:proofErr w:type="gramEnd"/>
      <w:r>
        <w:rPr>
          <w:rFonts w:ascii="Calibri" w:hAnsi="Calibri"/>
          <w:sz w:val="20"/>
        </w:rPr>
        <w:t xml:space="preserve">). </w:t>
      </w:r>
    </w:p>
    <w:p w14:paraId="7AD64F82" w14:textId="77777777" w:rsidR="00EF7FE3" w:rsidRPr="00DC6DB3" w:rsidRDefault="00EF7FE3" w:rsidP="00DC6DB3">
      <w:pPr>
        <w:spacing w:before="80" w:after="80"/>
        <w:rPr>
          <w:rFonts w:ascii="Calibri" w:eastAsia="Tw Cen MT" w:hAnsi="Calibri" w:cs="Calibri"/>
          <w:sz w:val="20"/>
          <w:szCs w:val="20"/>
        </w:rPr>
      </w:pPr>
    </w:p>
    <w:p w14:paraId="0AB53327" w14:textId="77777777" w:rsidR="00EF7FE3" w:rsidRPr="00DC6DB3" w:rsidRDefault="00EF7FE3" w:rsidP="00DC6DB3">
      <w:pPr>
        <w:numPr>
          <w:ilvl w:val="0"/>
          <w:numId w:val="1"/>
        </w:numPr>
        <w:tabs>
          <w:tab w:val="left" w:pos="830"/>
        </w:tabs>
        <w:spacing w:before="80" w:after="80"/>
        <w:ind w:left="357" w:hanging="357"/>
        <w:rPr>
          <w:rFonts w:ascii="Calibri" w:eastAsia="Tw Cen MT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sz w:val="20"/>
        </w:rPr>
        <w:t>Facteurs spécifiquement pertinents pour la séparation d'un enfant de ses parents contre leur volonté (normalement fortement déconseillé) :</w:t>
      </w:r>
    </w:p>
    <w:p w14:paraId="64781BA2" w14:textId="7E863963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>
        <w:rPr>
          <w:rFonts w:ascii="Calibri" w:hAnsi="Calibri"/>
          <w:sz w:val="20"/>
        </w:rPr>
        <w:t>Les points de vue des deux et l</w:t>
      </w:r>
      <w:r w:rsidR="00E9471A">
        <w:rPr>
          <w:rFonts w:ascii="Calibri" w:hAnsi="Calibri"/>
          <w:sz w:val="20"/>
        </w:rPr>
        <w:t>’importance</w:t>
      </w:r>
      <w:r>
        <w:rPr>
          <w:rFonts w:ascii="Calibri" w:hAnsi="Calibri"/>
          <w:sz w:val="20"/>
        </w:rPr>
        <w:t xml:space="preserve"> à leur accorder ; </w:t>
      </w:r>
    </w:p>
    <w:p w14:paraId="6EC90617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Qualité de la relation entre l'enfant et les parents et effet probable de la séparation ; </w:t>
      </w:r>
    </w:p>
    <w:p w14:paraId="30FBA44E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Capacité des parents à s'occuper de l'enfant ; </w:t>
      </w:r>
    </w:p>
    <w:p w14:paraId="40DB193B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Capacité des membres de la famille élargie à s'occuper de l'enfant ; </w:t>
      </w:r>
    </w:p>
    <w:p w14:paraId="3063BE8E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>
        <w:rPr>
          <w:rFonts w:ascii="Calibri" w:hAnsi="Calibri"/>
          <w:sz w:val="20"/>
        </w:rPr>
        <w:t>Prise en compte de la proportionnalité dans les cas de retrait de la famille.  Examiner :</w:t>
      </w:r>
    </w:p>
    <w:p w14:paraId="7D922A6B" w14:textId="77777777" w:rsidR="00EF7FE3" w:rsidRPr="00DC6DB3" w:rsidRDefault="00EF7FE3" w:rsidP="00DC6DB3">
      <w:pPr>
        <w:pStyle w:val="ListParagraph"/>
        <w:numPr>
          <w:ilvl w:val="2"/>
          <w:numId w:val="4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>
        <w:rPr>
          <w:rFonts w:ascii="Calibri" w:hAnsi="Calibri"/>
          <w:sz w:val="20"/>
        </w:rPr>
        <w:t>Les options pour résoudre les problèmes de manière moins intrusive</w:t>
      </w:r>
    </w:p>
    <w:p w14:paraId="6B724D18" w14:textId="77777777" w:rsidR="00B27CF0" w:rsidRPr="00DC6DB3" w:rsidRDefault="00EF7FE3" w:rsidP="00DC6DB3">
      <w:pPr>
        <w:pStyle w:val="ListParagraph"/>
        <w:numPr>
          <w:ilvl w:val="2"/>
          <w:numId w:val="4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Le maintien d’une continuité de contact minimale (par exemple sous supervision) </w:t>
      </w:r>
    </w:p>
    <w:p w14:paraId="1B04863C" w14:textId="7E5490A2" w:rsidR="00EF7FE3" w:rsidRPr="00DC6DB3" w:rsidRDefault="00EF7FE3" w:rsidP="00DC6DB3">
      <w:pPr>
        <w:pStyle w:val="ListParagraph"/>
        <w:numPr>
          <w:ilvl w:val="2"/>
          <w:numId w:val="4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>
        <w:rPr>
          <w:rFonts w:ascii="Calibri" w:hAnsi="Calibri"/>
          <w:sz w:val="20"/>
        </w:rPr>
        <w:t>La séparation pour la durée la plus courte et l'échéance rapide pour l</w:t>
      </w:r>
      <w:r w:rsidR="00E9471A">
        <w:rPr>
          <w:rFonts w:ascii="Calibri" w:hAnsi="Calibri"/>
          <w:sz w:val="20"/>
        </w:rPr>
        <w:t>a réévaluation</w:t>
      </w:r>
      <w:r>
        <w:rPr>
          <w:rFonts w:ascii="Calibri" w:hAnsi="Calibri"/>
          <w:sz w:val="20"/>
        </w:rPr>
        <w:t> ;</w:t>
      </w:r>
    </w:p>
    <w:p w14:paraId="179E70A9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>
        <w:rPr>
          <w:rFonts w:ascii="Calibri" w:hAnsi="Calibri"/>
          <w:sz w:val="20"/>
        </w:rPr>
        <w:t>Les droits d'accès.</w:t>
      </w:r>
    </w:p>
    <w:p w14:paraId="22EEE45E" w14:textId="77777777" w:rsidR="00DC6DB3" w:rsidRDefault="00DC6DB3" w:rsidP="00DC6DB3">
      <w:pPr>
        <w:spacing w:before="80" w:after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528E7702" w14:textId="5AC293C8" w:rsidR="00EF7FE3" w:rsidRPr="00DC6DB3" w:rsidRDefault="00EF7FE3" w:rsidP="00DC6DB3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BESOINS EN MATIÈRE DE DÉVELOPPEMENT ET D'IDENTITÉ</w:t>
      </w:r>
    </w:p>
    <w:p w14:paraId="2D32331B" w14:textId="65F19873" w:rsidR="00EF7FE3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Le réseau culturel et communautaire de l'enfant ; </w:t>
      </w:r>
    </w:p>
    <w:p w14:paraId="79DF59EA" w14:textId="77777777" w:rsidR="00B27CF0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Continuité dans l'origine ethnique, religieuse, culturelle et linguistique de l'enfant ; </w:t>
      </w:r>
    </w:p>
    <w:p w14:paraId="08894E50" w14:textId="77777777" w:rsidR="00B27CF0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Questions spécifiques basées sur l'âge, le sexe, les capacités et d'autres caractéristiques de l'enfant ; </w:t>
      </w:r>
    </w:p>
    <w:p w14:paraId="168E008C" w14:textId="77777777" w:rsidR="00B27CF0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Besoins physiques ou émotionnels particuliers ;  </w:t>
      </w:r>
    </w:p>
    <w:p w14:paraId="60B7B826" w14:textId="77777777" w:rsidR="00B27CF0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Questions de santé physique et mentale ; </w:t>
      </w:r>
    </w:p>
    <w:p w14:paraId="0FF41C14" w14:textId="6A35F4BA" w:rsidR="00EF7FE3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Besoins éducatifs ;</w:t>
      </w:r>
    </w:p>
    <w:p w14:paraId="22E5DDD9" w14:textId="77777777" w:rsidR="00EF7FE3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Perspectives d'une transition réussie vers l'âge adulte (emploi, mariage, famille personnelle).</w:t>
      </w:r>
    </w:p>
    <w:p w14:paraId="677C8940" w14:textId="77777777" w:rsidR="00EF7FE3" w:rsidRPr="00DC6DB3" w:rsidRDefault="00EF7FE3" w:rsidP="00EF7FE3">
      <w:pPr>
        <w:spacing w:line="200" w:lineRule="exact"/>
        <w:rPr>
          <w:rFonts w:ascii="Calibri" w:hAnsi="Calibri" w:cs="Calibri"/>
          <w:sz w:val="20"/>
          <w:szCs w:val="20"/>
        </w:rPr>
      </w:pPr>
    </w:p>
    <w:sectPr w:rsidR="00EF7FE3" w:rsidRPr="00DC6DB3" w:rsidSect="00DC6DB3">
      <w:headerReference w:type="default" r:id="rId10"/>
      <w:type w:val="continuous"/>
      <w:pgSz w:w="11900" w:h="16820"/>
      <w:pgMar w:top="992" w:right="1134" w:bottom="992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C6939" w14:textId="77777777" w:rsidR="004167A4" w:rsidRDefault="004167A4" w:rsidP="00DC6DB3">
      <w:r>
        <w:separator/>
      </w:r>
    </w:p>
  </w:endnote>
  <w:endnote w:type="continuationSeparator" w:id="0">
    <w:p w14:paraId="3BF56B40" w14:textId="77777777" w:rsidR="004167A4" w:rsidRDefault="004167A4" w:rsidP="00DC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EF92F" w14:textId="77777777" w:rsidR="004167A4" w:rsidRDefault="004167A4" w:rsidP="00DC6DB3">
      <w:r>
        <w:separator/>
      </w:r>
    </w:p>
  </w:footnote>
  <w:footnote w:type="continuationSeparator" w:id="0">
    <w:p w14:paraId="67CE4E70" w14:textId="77777777" w:rsidR="004167A4" w:rsidRDefault="004167A4" w:rsidP="00DC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3B14E" w14:textId="6A4185CD" w:rsidR="00DC6DB3" w:rsidRDefault="007A7E97" w:rsidP="00DC6DB3">
    <w:pPr>
      <w:pStyle w:val="Header"/>
      <w:jc w:val="right"/>
    </w:pPr>
    <w:r>
      <w:rPr>
        <w:noProof/>
      </w:rPr>
      <w:drawing>
        <wp:inline distT="0" distB="0" distL="0" distR="0" wp14:anchorId="6EB6FBE3" wp14:editId="7CEA1B50">
          <wp:extent cx="1803400" cy="689382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471" cy="707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05D1B"/>
    <w:multiLevelType w:val="hybridMultilevel"/>
    <w:tmpl w:val="B0563E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3148"/>
    <w:multiLevelType w:val="hybridMultilevel"/>
    <w:tmpl w:val="C35AF91E"/>
    <w:lvl w:ilvl="0" w:tplc="86805B76">
      <w:start w:val="3"/>
      <w:numFmt w:val="lowerLetter"/>
      <w:lvlText w:val="%1)"/>
      <w:lvlJc w:val="left"/>
    </w:lvl>
    <w:lvl w:ilvl="1" w:tplc="15B0819A">
      <w:start w:val="1"/>
      <w:numFmt w:val="bullet"/>
      <w:lvlText w:val="  "/>
      <w:lvlJc w:val="left"/>
    </w:lvl>
    <w:lvl w:ilvl="2" w:tplc="6D386428">
      <w:numFmt w:val="decimal"/>
      <w:lvlText w:val=""/>
      <w:lvlJc w:val="left"/>
    </w:lvl>
    <w:lvl w:ilvl="3" w:tplc="C254921C">
      <w:numFmt w:val="decimal"/>
      <w:lvlText w:val=""/>
      <w:lvlJc w:val="left"/>
    </w:lvl>
    <w:lvl w:ilvl="4" w:tplc="D716EDD0">
      <w:numFmt w:val="decimal"/>
      <w:lvlText w:val=""/>
      <w:lvlJc w:val="left"/>
    </w:lvl>
    <w:lvl w:ilvl="5" w:tplc="D510642A">
      <w:numFmt w:val="decimal"/>
      <w:lvlText w:val=""/>
      <w:lvlJc w:val="left"/>
    </w:lvl>
    <w:lvl w:ilvl="6" w:tplc="25CEC33C">
      <w:numFmt w:val="decimal"/>
      <w:lvlText w:val=""/>
      <w:lvlJc w:val="left"/>
    </w:lvl>
    <w:lvl w:ilvl="7" w:tplc="5A4EF1FA">
      <w:numFmt w:val="decimal"/>
      <w:lvlText w:val=""/>
      <w:lvlJc w:val="left"/>
    </w:lvl>
    <w:lvl w:ilvl="8" w:tplc="BCE2C2BC">
      <w:numFmt w:val="decimal"/>
      <w:lvlText w:val=""/>
      <w:lvlJc w:val="left"/>
    </w:lvl>
  </w:abstractNum>
  <w:abstractNum w:abstractNumId="2" w15:restartNumberingAfterBreak="0">
    <w:nsid w:val="115177AC"/>
    <w:multiLevelType w:val="hybridMultilevel"/>
    <w:tmpl w:val="952A0A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2EE6"/>
    <w:multiLevelType w:val="hybridMultilevel"/>
    <w:tmpl w:val="642C5F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5D18343D"/>
    <w:multiLevelType w:val="hybridMultilevel"/>
    <w:tmpl w:val="B00C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7FD0"/>
    <w:multiLevelType w:val="hybridMultilevel"/>
    <w:tmpl w:val="6B783118"/>
    <w:lvl w:ilvl="0" w:tplc="C2085060">
      <w:start w:val="2"/>
      <w:numFmt w:val="lowerLetter"/>
      <w:lvlText w:val="%1)"/>
      <w:lvlJc w:val="left"/>
    </w:lvl>
    <w:lvl w:ilvl="1" w:tplc="E7122A86">
      <w:start w:val="1"/>
      <w:numFmt w:val="bullet"/>
      <w:lvlText w:val="  "/>
      <w:lvlJc w:val="left"/>
    </w:lvl>
    <w:lvl w:ilvl="2" w:tplc="C24A394E">
      <w:numFmt w:val="decimal"/>
      <w:lvlText w:val=""/>
      <w:lvlJc w:val="left"/>
    </w:lvl>
    <w:lvl w:ilvl="3" w:tplc="D1124BEC">
      <w:numFmt w:val="decimal"/>
      <w:lvlText w:val=""/>
      <w:lvlJc w:val="left"/>
    </w:lvl>
    <w:lvl w:ilvl="4" w:tplc="0BEEE9DE">
      <w:numFmt w:val="decimal"/>
      <w:lvlText w:val=""/>
      <w:lvlJc w:val="left"/>
    </w:lvl>
    <w:lvl w:ilvl="5" w:tplc="8408A198">
      <w:numFmt w:val="decimal"/>
      <w:lvlText w:val=""/>
      <w:lvlJc w:val="left"/>
    </w:lvl>
    <w:lvl w:ilvl="6" w:tplc="E91EC222">
      <w:numFmt w:val="decimal"/>
      <w:lvlText w:val=""/>
      <w:lvlJc w:val="left"/>
    </w:lvl>
    <w:lvl w:ilvl="7" w:tplc="41A4945A">
      <w:numFmt w:val="decimal"/>
      <w:lvlText w:val=""/>
      <w:lvlJc w:val="left"/>
    </w:lvl>
    <w:lvl w:ilvl="8" w:tplc="BF5E1D76">
      <w:numFmt w:val="decimal"/>
      <w:lvlText w:val=""/>
      <w:lvlJc w:val="left"/>
    </w:lvl>
  </w:abstractNum>
  <w:abstractNum w:abstractNumId="6" w15:restartNumberingAfterBreak="0">
    <w:nsid w:val="6B1B4472"/>
    <w:multiLevelType w:val="hybridMultilevel"/>
    <w:tmpl w:val="8714A7D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E3"/>
    <w:rsid w:val="0008092A"/>
    <w:rsid w:val="00156A35"/>
    <w:rsid w:val="002E1B73"/>
    <w:rsid w:val="004167A4"/>
    <w:rsid w:val="006172A4"/>
    <w:rsid w:val="007A7E97"/>
    <w:rsid w:val="007A7EE7"/>
    <w:rsid w:val="00B27CF0"/>
    <w:rsid w:val="00CF68DE"/>
    <w:rsid w:val="00DC6DB3"/>
    <w:rsid w:val="00E9471A"/>
    <w:rsid w:val="00E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3F50"/>
  <w15:chartTrackingRefBased/>
  <w15:docId w15:val="{ECCE3CDD-AEEF-471F-9779-95B2CA0E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E3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DB3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6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DB3"/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62206-374F-4F45-9E6B-E1B5219EF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E793E-D96F-48A3-99DC-A7CC75725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939D1-6A4A-478A-B496-4961A5FF53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Lola Zhou</dc:creator>
  <cp:keywords/>
  <dc:description/>
  <cp:lastModifiedBy>Cliff Speck</cp:lastModifiedBy>
  <cp:revision>4</cp:revision>
  <cp:lastPrinted>2021-05-19T09:20:00Z</cp:lastPrinted>
  <dcterms:created xsi:type="dcterms:W3CDTF">2021-05-06T17:28:00Z</dcterms:created>
  <dcterms:modified xsi:type="dcterms:W3CDTF">2021-05-19T09:20:00Z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