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35F31" w14:textId="03035951" w:rsidR="00F27A7E" w:rsidRPr="00F27A7E" w:rsidRDefault="004F10F2" w:rsidP="00F27A7E">
      <w:pPr>
        <w:pStyle w:val="BodyText"/>
        <w:kinsoku w:val="0"/>
        <w:overflowPunct w:val="0"/>
        <w:spacing w:before="120"/>
        <w:ind w:left="0" w:firstLine="0"/>
        <w:jc w:val="right"/>
        <w:rPr>
          <w:b/>
          <w:bCs/>
          <w:color w:val="365F91"/>
          <w:spacing w:val="-1"/>
          <w:sz w:val="28"/>
          <w:szCs w:val="28"/>
        </w:rPr>
      </w:pPr>
      <w:r>
        <w:rPr>
          <w:b/>
          <w:bCs/>
          <w:noProof/>
          <w:color w:val="365F91"/>
          <w:spacing w:val="-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05C237" wp14:editId="1DF7F1EF">
            <wp:simplePos x="0" y="0"/>
            <wp:positionH relativeFrom="column">
              <wp:posOffset>-883202</wp:posOffset>
            </wp:positionH>
            <wp:positionV relativeFrom="paragraph">
              <wp:posOffset>-874781</wp:posOffset>
            </wp:positionV>
            <wp:extent cx="3858768" cy="1085088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768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7A7E">
        <w:rPr>
          <w:b/>
          <w:bCs/>
          <w:color w:val="365F91"/>
          <w:spacing w:val="-1"/>
          <w:sz w:val="28"/>
          <w:szCs w:val="28"/>
        </w:rPr>
        <w:t>A</w:t>
      </w:r>
      <w:r w:rsidR="00D148EB">
        <w:rPr>
          <w:b/>
          <w:bCs/>
          <w:color w:val="365F91"/>
          <w:spacing w:val="-1"/>
          <w:sz w:val="28"/>
          <w:szCs w:val="28"/>
        </w:rPr>
        <w:t>nnex B</w:t>
      </w:r>
    </w:p>
    <w:p w14:paraId="49D79432" w14:textId="77777777" w:rsidR="00830E16" w:rsidRPr="00F27A7E" w:rsidRDefault="00F27A7E" w:rsidP="00F27A7E">
      <w:pPr>
        <w:pStyle w:val="BodyText"/>
        <w:kinsoku w:val="0"/>
        <w:overflowPunct w:val="0"/>
        <w:spacing w:before="120"/>
        <w:ind w:left="0" w:firstLine="0"/>
        <w:jc w:val="center"/>
        <w:rPr>
          <w:b/>
          <w:bCs/>
          <w:color w:val="365F91"/>
          <w:spacing w:val="-1"/>
          <w:sz w:val="28"/>
          <w:szCs w:val="28"/>
          <w:u w:val="single"/>
        </w:rPr>
      </w:pPr>
      <w:r w:rsidRPr="00F27A7E">
        <w:rPr>
          <w:b/>
          <w:bCs/>
          <w:color w:val="365F91"/>
          <w:spacing w:val="-1"/>
          <w:sz w:val="28"/>
          <w:szCs w:val="28"/>
          <w:u w:val="single"/>
        </w:rPr>
        <w:t>Evaluation Criteria</w:t>
      </w:r>
    </w:p>
    <w:p w14:paraId="6E5D213F" w14:textId="77777777" w:rsidR="00F27A7E" w:rsidRDefault="00F27A7E" w:rsidP="00F27A7E">
      <w:pPr>
        <w:jc w:val="center"/>
        <w:rPr>
          <w:lang w:val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7"/>
        <w:gridCol w:w="2126"/>
      </w:tblGrid>
      <w:tr w:rsidR="00F27A7E" w:rsidRPr="00F27A7E" w14:paraId="43907DD0" w14:textId="77777777" w:rsidTr="00F27A7E">
        <w:tc>
          <w:tcPr>
            <w:tcW w:w="7117" w:type="dxa"/>
            <w:tcBorders>
              <w:bottom w:val="nil"/>
            </w:tcBorders>
            <w:shd w:val="clear" w:color="auto" w:fill="C6D9F1"/>
          </w:tcPr>
          <w:p w14:paraId="05D15AFC" w14:textId="77777777" w:rsidR="00F27A7E" w:rsidRPr="00F27A7E" w:rsidRDefault="00F27A7E" w:rsidP="004632DE">
            <w:pPr>
              <w:jc w:val="both"/>
              <w:rPr>
                <w:rFonts w:asciiTheme="minorHAnsi" w:eastAsia="Calibri" w:hAnsiTheme="minorHAnsi" w:cs="Calibri"/>
                <w:b/>
                <w:bCs/>
                <w:sz w:val="22"/>
                <w:lang w:val="en-US" w:eastAsia="en-US"/>
              </w:rPr>
            </w:pPr>
            <w:r w:rsidRPr="00F27A7E">
              <w:rPr>
                <w:rFonts w:asciiTheme="minorHAnsi" w:eastAsia="Calibri" w:hAnsiTheme="minorHAnsi" w:cs="Calibri"/>
                <w:b/>
                <w:bCs/>
                <w:sz w:val="22"/>
                <w:lang w:val="en-US" w:eastAsia="en-US"/>
              </w:rPr>
              <w:t>Selection Criteria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C6D9F1"/>
          </w:tcPr>
          <w:p w14:paraId="4B9C3B01" w14:textId="77777777" w:rsidR="00F27A7E" w:rsidRPr="00F27A7E" w:rsidRDefault="00F27A7E" w:rsidP="004632DE">
            <w:pPr>
              <w:jc w:val="both"/>
              <w:rPr>
                <w:rFonts w:asciiTheme="minorHAnsi" w:eastAsia="Calibri" w:hAnsiTheme="minorHAnsi" w:cs="Calibri"/>
                <w:b/>
                <w:bCs/>
                <w:sz w:val="22"/>
                <w:lang w:val="en-US" w:eastAsia="en-US"/>
              </w:rPr>
            </w:pPr>
          </w:p>
        </w:tc>
      </w:tr>
      <w:tr w:rsidR="00F27A7E" w:rsidRPr="00F27A7E" w14:paraId="19DD1F28" w14:textId="77777777" w:rsidTr="00A034D2">
        <w:tc>
          <w:tcPr>
            <w:tcW w:w="9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377659" w14:textId="604B87CF" w:rsidR="00872A7F" w:rsidRPr="00EE0EF4" w:rsidRDefault="00872A7F" w:rsidP="00872A7F">
            <w:pPr>
              <w:jc w:val="both"/>
              <w:rPr>
                <w:rFonts w:ascii="Calibri" w:eastAsia="Cambria" w:hAnsi="Calibri" w:cs="Calibri"/>
                <w:sz w:val="22"/>
                <w:szCs w:val="22"/>
                <w:lang w:val="en-US" w:eastAsia="en-US"/>
              </w:rPr>
            </w:pPr>
            <w:r w:rsidRPr="00EE0EF4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Concept notes from NGOs with required expertise are particularly encouraged.  </w:t>
            </w:r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All</w:t>
            </w:r>
            <w:r w:rsidRPr="00EE0EF4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r w:rsidR="00A70C01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applicant organizations</w:t>
            </w:r>
            <w:r w:rsidRPr="00EE0EF4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 should be able to demonstrate specialized expertise in the sector</w:t>
            </w:r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s in which they intend to implement a project. Cooperation with relevant authorities at the central and local levels, and between national and international agencies</w:t>
            </w:r>
            <w:r w:rsidR="00A70C01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 is encouraged. </w:t>
            </w:r>
          </w:p>
          <w:p w14:paraId="7FC3E961" w14:textId="77777777" w:rsidR="00F27A7E" w:rsidRPr="00F27A7E" w:rsidRDefault="00F27A7E" w:rsidP="00F27A7E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</w:p>
        </w:tc>
      </w:tr>
      <w:tr w:rsidR="00F27A7E" w:rsidRPr="00F27A7E" w14:paraId="0460EC56" w14:textId="77777777" w:rsidTr="00F27A7E">
        <w:tc>
          <w:tcPr>
            <w:tcW w:w="7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112E" w14:textId="77777777" w:rsidR="00F27A7E" w:rsidRPr="00F27A7E" w:rsidRDefault="00F27A7E" w:rsidP="004632DE">
            <w:pPr>
              <w:jc w:val="both"/>
              <w:rPr>
                <w:rFonts w:asciiTheme="minorHAnsi" w:eastAsia="Cambria" w:hAnsiTheme="minorHAnsi" w:cs="Calibri"/>
                <w:b/>
                <w:bCs/>
                <w:sz w:val="22"/>
                <w:szCs w:val="22"/>
                <w:lang w:val="en-US" w:eastAsia="en-US"/>
              </w:rPr>
            </w:pPr>
            <w:r w:rsidRPr="00F27A7E">
              <w:rPr>
                <w:rFonts w:asciiTheme="minorHAnsi" w:eastAsia="Cambria" w:hAnsiTheme="minorHAnsi" w:cs="Calibri"/>
                <w:b/>
                <w:bCs/>
                <w:sz w:val="22"/>
                <w:szCs w:val="22"/>
                <w:lang w:val="en-US" w:eastAsia="en-US"/>
              </w:rPr>
              <w:t>Criteria description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CEEC5" w14:textId="77777777" w:rsidR="00F27A7E" w:rsidRPr="00F27A7E" w:rsidRDefault="00F27A7E" w:rsidP="004632DE">
            <w:pPr>
              <w:jc w:val="both"/>
              <w:rPr>
                <w:rFonts w:asciiTheme="minorHAnsi" w:eastAsia="Cambria" w:hAnsiTheme="minorHAnsi" w:cs="Calibri"/>
                <w:b/>
                <w:bCs/>
                <w:sz w:val="22"/>
                <w:szCs w:val="22"/>
                <w:lang w:val="en-US" w:eastAsia="en-US"/>
              </w:rPr>
            </w:pPr>
            <w:r w:rsidRPr="00F27A7E">
              <w:rPr>
                <w:rFonts w:asciiTheme="minorHAnsi" w:eastAsia="Cambria" w:hAnsiTheme="minorHAnsi" w:cs="Calibri"/>
                <w:b/>
                <w:bCs/>
                <w:sz w:val="22"/>
                <w:szCs w:val="22"/>
                <w:lang w:val="en-US" w:eastAsia="en-US"/>
              </w:rPr>
              <w:t>Assigned Weighting</w:t>
            </w:r>
          </w:p>
        </w:tc>
      </w:tr>
      <w:tr w:rsidR="00F27A7E" w:rsidRPr="00F27A7E" w14:paraId="164315F8" w14:textId="77777777" w:rsidTr="00F27A7E">
        <w:tc>
          <w:tcPr>
            <w:tcW w:w="7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60F5" w14:textId="41E8F474" w:rsidR="00F27A7E" w:rsidRPr="00F27A7E" w:rsidRDefault="00F27A7E" w:rsidP="00F27A7E">
            <w:pPr>
              <w:jc w:val="both"/>
              <w:rPr>
                <w:rFonts w:asciiTheme="minorHAnsi" w:eastAsia="Cambria" w:hAnsiTheme="minorHAnsi" w:cs="Calibri"/>
                <w:sz w:val="22"/>
                <w:lang w:val="en-US" w:eastAsia="en-US"/>
              </w:rPr>
            </w:pPr>
            <w:r w:rsidRPr="00F27A7E"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  <w:t>Sector expertise and experience</w:t>
            </w:r>
            <w:r w:rsidR="00A64F27"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  <w:t>*</w:t>
            </w:r>
            <w:r w:rsidRPr="00F27A7E">
              <w:rPr>
                <w:rFonts w:asciiTheme="minorHAnsi" w:eastAsia="Cambria" w:hAnsiTheme="minorHAnsi" w:cs="Calibri"/>
                <w:sz w:val="22"/>
                <w:lang w:val="en-US" w:eastAsia="en-US"/>
              </w:rPr>
              <w:t xml:space="preserve">: </w:t>
            </w:r>
          </w:p>
          <w:p w14:paraId="542F55F1" w14:textId="47D49871" w:rsidR="00AC161A" w:rsidRDefault="00045B91" w:rsidP="0003051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>Demonstrated a</w:t>
            </w:r>
            <w:r w:rsidR="00C447C2" w:rsidRPr="00AC161A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 xml:space="preserve">vailability of </w:t>
            </w:r>
            <w:r w:rsidR="00F27A7E" w:rsidRPr="00AC161A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 xml:space="preserve">required </w:t>
            </w:r>
            <w:r w:rsidR="00F27A7E" w:rsidRPr="00AC161A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sector</w:t>
            </w:r>
            <w:r w:rsidR="00B566C9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 expertise</w:t>
            </w:r>
            <w:r w:rsidR="00F27A7E" w:rsidRPr="00AC161A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,</w:t>
            </w:r>
            <w:r w:rsidR="00B566C9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 and requisite </w:t>
            </w:r>
            <w:r w:rsidR="00B566C9" w:rsidRPr="00B566C9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human resources</w:t>
            </w:r>
            <w:r w:rsidR="003E4F24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 in accordance with partner registration/ mandate</w:t>
            </w:r>
            <w:r w:rsidR="00B566C9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,</w:t>
            </w:r>
          </w:p>
          <w:p w14:paraId="3700EE92" w14:textId="61F26E7C" w:rsidR="00AC161A" w:rsidRDefault="00AC161A" w:rsidP="00AC161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A</w:t>
            </w:r>
            <w:r w:rsidR="00F27A7E" w:rsidRPr="00AC161A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bility to </w:t>
            </w:r>
            <w:r w:rsidR="008802A4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quickly mobilize resources, </w:t>
            </w:r>
            <w:r w:rsidR="00F27A7E" w:rsidRPr="00AC161A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expand and respond to emergency situation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s (</w:t>
            </w:r>
            <w:r w:rsidRPr="00172EC2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new displacements and 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returns)</w:t>
            </w:r>
            <w:r w:rsidR="00F27A7E" w:rsidRPr="00AC161A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, </w:t>
            </w:r>
          </w:p>
          <w:p w14:paraId="555C132C" w14:textId="25FD7363" w:rsidR="003E4F24" w:rsidRDefault="00F27A7E" w:rsidP="001812F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AC161A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Innovative interventions that include collaboration with private sector and</w:t>
            </w:r>
            <w:r w:rsidR="00045B91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/or</w:t>
            </w:r>
            <w:r w:rsidRPr="00AC161A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 through existing government mechanisms</w:t>
            </w:r>
            <w:r w:rsidR="00A70C01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.</w:t>
            </w:r>
          </w:p>
          <w:p w14:paraId="074057CA" w14:textId="77777777" w:rsidR="001812F0" w:rsidRPr="001812F0" w:rsidRDefault="001812F0" w:rsidP="001812F0">
            <w:pPr>
              <w:pStyle w:val="ListParagraph"/>
              <w:jc w:val="both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</w:p>
          <w:p w14:paraId="0D46B707" w14:textId="77777777" w:rsidR="009E1B1A" w:rsidRPr="00186F59" w:rsidRDefault="00186F59" w:rsidP="00186F59">
            <w:pPr>
              <w:jc w:val="both"/>
              <w:rPr>
                <w:rFonts w:asciiTheme="minorHAnsi" w:eastAsia="Calibri" w:hAnsiTheme="minorHAnsi" w:cs="Calibri"/>
                <w:sz w:val="18"/>
                <w:szCs w:val="18"/>
                <w:lang w:val="en-US" w:eastAsia="en-US"/>
              </w:rPr>
            </w:pPr>
            <w:r w:rsidRPr="00186F59">
              <w:rPr>
                <w:rFonts w:asciiTheme="minorHAnsi" w:eastAsia="Calibri" w:hAnsiTheme="minorHAnsi" w:cs="Calibri"/>
                <w:sz w:val="18"/>
                <w:szCs w:val="18"/>
                <w:lang w:val="en-US" w:eastAsia="en-US"/>
              </w:rPr>
              <w:t>*</w:t>
            </w:r>
            <w:r w:rsidR="009E1B1A" w:rsidRPr="00186F59">
              <w:rPr>
                <w:rFonts w:asciiTheme="minorHAnsi" w:eastAsia="Calibri" w:hAnsiTheme="minorHAnsi" w:cs="Calibri"/>
                <w:sz w:val="18"/>
                <w:szCs w:val="18"/>
                <w:lang w:val="en-US" w:eastAsia="en-US"/>
              </w:rPr>
              <w:t>Exper</w:t>
            </w:r>
            <w:r w:rsidR="002D4856" w:rsidRPr="00186F59">
              <w:rPr>
                <w:rFonts w:asciiTheme="minorHAnsi" w:eastAsia="Calibri" w:hAnsiTheme="minorHAnsi" w:cs="Calibri"/>
                <w:sz w:val="18"/>
                <w:szCs w:val="18"/>
                <w:lang w:val="en-US" w:eastAsia="en-US"/>
              </w:rPr>
              <w:t xml:space="preserve">ience </w:t>
            </w:r>
            <w:r w:rsidR="009E1B1A" w:rsidRPr="00186F59">
              <w:rPr>
                <w:rFonts w:asciiTheme="minorHAnsi" w:eastAsia="Calibri" w:hAnsiTheme="minorHAnsi" w:cs="Calibri"/>
                <w:sz w:val="18"/>
                <w:szCs w:val="18"/>
                <w:lang w:val="en-US" w:eastAsia="en-US"/>
              </w:rPr>
              <w:t>in implementing multiple sectors</w:t>
            </w:r>
            <w:r w:rsidR="002D4856" w:rsidRPr="00186F59">
              <w:rPr>
                <w:rFonts w:asciiTheme="minorHAnsi" w:eastAsia="Calibri" w:hAnsiTheme="minorHAnsi" w:cs="Calibri"/>
                <w:sz w:val="18"/>
                <w:szCs w:val="18"/>
                <w:lang w:val="en-US" w:eastAsia="en-US"/>
              </w:rPr>
              <w:t xml:space="preserve"> an asset</w:t>
            </w:r>
            <w:r w:rsidR="009E1B1A" w:rsidRPr="00186F59">
              <w:rPr>
                <w:rFonts w:asciiTheme="minorHAnsi" w:eastAsia="Calibri" w:hAnsiTheme="minorHAnsi" w:cs="Calibri"/>
                <w:sz w:val="18"/>
                <w:szCs w:val="18"/>
                <w:lang w:val="en-US" w:eastAsia="en-US"/>
              </w:rPr>
              <w:t xml:space="preserve">, </w:t>
            </w:r>
          </w:p>
          <w:p w14:paraId="6CE85192" w14:textId="77777777" w:rsidR="00F27A7E" w:rsidRPr="009E1B1A" w:rsidRDefault="00F27A7E" w:rsidP="009E1B1A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E3990" w14:textId="77777777" w:rsidR="00F27A7E" w:rsidRPr="00F27A7E" w:rsidRDefault="005F457D" w:rsidP="00F27A7E">
            <w:pPr>
              <w:jc w:val="center"/>
              <w:rPr>
                <w:rFonts w:asciiTheme="minorHAnsi" w:eastAsia="Cambria" w:hAnsiTheme="minorHAnsi" w:cs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bCs/>
                <w:color w:val="365F91"/>
                <w:spacing w:val="-1"/>
                <w:sz w:val="28"/>
                <w:szCs w:val="28"/>
              </w:rPr>
              <w:t>30</w:t>
            </w:r>
            <w:r w:rsidR="00F27A7E" w:rsidRPr="00F27A7E">
              <w:rPr>
                <w:rFonts w:asciiTheme="minorHAnsi" w:hAnsiTheme="minorHAnsi"/>
                <w:b/>
                <w:bCs/>
                <w:color w:val="365F91"/>
                <w:spacing w:val="-1"/>
                <w:sz w:val="28"/>
                <w:szCs w:val="28"/>
              </w:rPr>
              <w:t>%</w:t>
            </w:r>
          </w:p>
        </w:tc>
      </w:tr>
      <w:tr w:rsidR="00F27A7E" w:rsidRPr="00F27A7E" w14:paraId="1D043624" w14:textId="77777777" w:rsidTr="00F27A7E">
        <w:tc>
          <w:tcPr>
            <w:tcW w:w="7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779A" w14:textId="434FA4BE" w:rsidR="00F27A7E" w:rsidRPr="00F27A7E" w:rsidRDefault="00F27A7E" w:rsidP="00F27A7E">
            <w:pPr>
              <w:jc w:val="both"/>
              <w:rPr>
                <w:rFonts w:asciiTheme="minorHAnsi" w:eastAsia="Cambria" w:hAnsiTheme="minorHAnsi" w:cs="Calibri"/>
                <w:sz w:val="22"/>
                <w:lang w:val="en-US" w:eastAsia="en-US"/>
              </w:rPr>
            </w:pPr>
            <w:r w:rsidRPr="00F27A7E"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  <w:t>Project management</w:t>
            </w:r>
            <w:r w:rsidR="00A64F27"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  <w:t>*</w:t>
            </w:r>
            <w:r w:rsidRPr="00F27A7E">
              <w:rPr>
                <w:rFonts w:asciiTheme="minorHAnsi" w:eastAsia="Cambria" w:hAnsiTheme="minorHAnsi" w:cs="Calibri"/>
                <w:sz w:val="22"/>
                <w:lang w:val="en-US" w:eastAsia="en-US"/>
              </w:rPr>
              <w:t xml:space="preserve">: </w:t>
            </w:r>
          </w:p>
          <w:p w14:paraId="0E2F24BE" w14:textId="20F6D1F8" w:rsidR="004F5394" w:rsidRPr="004F5394" w:rsidRDefault="004F5394" w:rsidP="004F539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</w:pPr>
            <w:r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>A</w:t>
            </w:r>
            <w:r w:rsidR="00F27A7E" w:rsidRPr="004F5394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>bility</w:t>
            </w:r>
            <w:r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 xml:space="preserve"> to deliver project objectives with </w:t>
            </w:r>
            <w:r w:rsidR="00BA3CE6" w:rsidRPr="004F5394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 xml:space="preserve">established </w:t>
            </w:r>
            <w:r w:rsidR="00F27A7E" w:rsidRPr="004F5394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>accountability mechanisms</w:t>
            </w:r>
            <w:r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>,</w:t>
            </w:r>
          </w:p>
          <w:p w14:paraId="41A13FAD" w14:textId="77777777" w:rsidR="004F5394" w:rsidRPr="004F5394" w:rsidRDefault="004F5394" w:rsidP="004F539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</w:pPr>
            <w:r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>S</w:t>
            </w:r>
            <w:r w:rsidR="00F27A7E" w:rsidRPr="004F5394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>ound financial management</w:t>
            </w:r>
            <w:r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 xml:space="preserve">, including </w:t>
            </w:r>
            <w:r w:rsidRPr="00F81177">
              <w:rPr>
                <w:rFonts w:ascii="Calibri" w:eastAsia="Cambria" w:hAnsi="Calibri" w:cs="Calibri"/>
                <w:sz w:val="22"/>
                <w:lang w:val="en-US" w:eastAsia="en-US"/>
              </w:rPr>
              <w:t xml:space="preserve">audit results of previous projects, </w:t>
            </w:r>
            <w:r>
              <w:rPr>
                <w:rFonts w:ascii="Calibri" w:eastAsia="Cambria" w:hAnsi="Calibri" w:cs="Calibri"/>
                <w:sz w:val="22"/>
                <w:lang w:val="en-US" w:eastAsia="en-US"/>
              </w:rPr>
              <w:t xml:space="preserve">and </w:t>
            </w:r>
            <w:r w:rsidRPr="00F81177">
              <w:rPr>
                <w:rFonts w:ascii="Calibri" w:eastAsia="Cambria" w:hAnsi="Calibri" w:cs="Calibri"/>
                <w:sz w:val="22"/>
                <w:lang w:val="en-US" w:eastAsia="en-US"/>
              </w:rPr>
              <w:t>past performance</w:t>
            </w:r>
            <w:r>
              <w:rPr>
                <w:rFonts w:ascii="Calibri" w:eastAsia="Cambria" w:hAnsi="Calibri" w:cs="Calibri"/>
                <w:sz w:val="22"/>
                <w:lang w:val="en-US" w:eastAsia="en-US"/>
              </w:rPr>
              <w:t>,</w:t>
            </w:r>
            <w:r w:rsidRPr="00F81177">
              <w:rPr>
                <w:rFonts w:ascii="Calibri" w:eastAsia="Cambria" w:hAnsi="Calibri" w:cs="Calibri"/>
                <w:sz w:val="22"/>
                <w:lang w:val="en-US" w:eastAsia="en-US"/>
              </w:rPr>
              <w:t xml:space="preserve"> </w:t>
            </w:r>
          </w:p>
          <w:p w14:paraId="6214A198" w14:textId="77777777" w:rsidR="004F5394" w:rsidRPr="004F5394" w:rsidRDefault="004F5394" w:rsidP="004F539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</w:pPr>
            <w:r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>Demonstrated c</w:t>
            </w:r>
            <w:r w:rsidR="00F27A7E" w:rsidRPr="004F5394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 xml:space="preserve">oordination with </w:t>
            </w:r>
            <w:r w:rsidR="007E5224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 xml:space="preserve">organizations </w:t>
            </w:r>
            <w:r w:rsidR="00F27A7E" w:rsidRPr="004F5394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 xml:space="preserve">working </w:t>
            </w:r>
            <w:r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 xml:space="preserve">in </w:t>
            </w:r>
            <w:r w:rsidR="00F27A7E" w:rsidRPr="004F5394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>the same sector</w:t>
            </w:r>
            <w:r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>,</w:t>
            </w:r>
          </w:p>
          <w:p w14:paraId="1FD683EE" w14:textId="77777777" w:rsidR="001812F0" w:rsidRPr="001812F0" w:rsidRDefault="004F5394" w:rsidP="006332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</w:pPr>
            <w:r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>C</w:t>
            </w:r>
            <w:r w:rsidR="00F27A7E" w:rsidRPr="004F5394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 xml:space="preserve">apacity to deliver </w:t>
            </w:r>
            <w:r w:rsidR="006332CA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 xml:space="preserve">timely and </w:t>
            </w:r>
            <w:r w:rsidR="00F27A7E" w:rsidRPr="004F5394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 xml:space="preserve">quality </w:t>
            </w:r>
            <w:r w:rsidR="00BA3CE6" w:rsidRPr="004F5394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 xml:space="preserve">(quantitative and qualitative) </w:t>
            </w:r>
            <w:r w:rsidR="00F27A7E" w:rsidRPr="004F5394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>report</w:t>
            </w:r>
            <w:r w:rsidR="006332CA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>s</w:t>
            </w:r>
            <w:r w:rsidR="00A70C01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>.</w:t>
            </w:r>
          </w:p>
          <w:p w14:paraId="15EDCF06" w14:textId="77777777" w:rsidR="001812F0" w:rsidRDefault="001812F0" w:rsidP="001812F0">
            <w:pPr>
              <w:jc w:val="both"/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</w:pPr>
          </w:p>
          <w:p w14:paraId="4A74840C" w14:textId="6C984429" w:rsidR="001812F0" w:rsidRPr="00030510" w:rsidRDefault="001812F0" w:rsidP="001812F0">
            <w:pPr>
              <w:jc w:val="both"/>
              <w:rPr>
                <w:rFonts w:asciiTheme="minorHAnsi" w:eastAsia="Cambria" w:hAnsiTheme="minorHAnsi" w:cs="Calibri"/>
                <w:sz w:val="22"/>
                <w:lang w:val="en-US" w:eastAsia="en-US"/>
              </w:rPr>
            </w:pPr>
            <w:r w:rsidRPr="001812F0"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  <w:t xml:space="preserve"> </w:t>
            </w:r>
            <w:r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  <w:t>*</w:t>
            </w:r>
            <w:r w:rsidRPr="00030510">
              <w:rPr>
                <w:rFonts w:asciiTheme="minorHAnsi" w:eastAsia="Cambria" w:hAnsiTheme="minorHAnsi" w:cs="Calibri"/>
                <w:i/>
                <w:sz w:val="22"/>
                <w:lang w:val="en-US" w:eastAsia="en-US"/>
              </w:rPr>
              <w:t>Concept note as per mandate/MOSA attestation letter is desirable</w:t>
            </w:r>
            <w:r>
              <w:rPr>
                <w:rFonts w:asciiTheme="minorHAnsi" w:eastAsia="Cambria" w:hAnsiTheme="minorHAnsi" w:cs="Calibri"/>
                <w:sz w:val="22"/>
                <w:lang w:val="en-US" w:eastAsia="en-US"/>
              </w:rPr>
              <w:t xml:space="preserve"> </w:t>
            </w:r>
          </w:p>
          <w:p w14:paraId="4C882493" w14:textId="160FFC4A" w:rsidR="009B3300" w:rsidRPr="004F5394" w:rsidRDefault="009B3300" w:rsidP="009B3300">
            <w:pPr>
              <w:pStyle w:val="ListParagraph"/>
              <w:jc w:val="both"/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00BDF" w14:textId="77777777" w:rsidR="00F27A7E" w:rsidRPr="00F27A7E" w:rsidRDefault="00F27A7E" w:rsidP="00661700">
            <w:pPr>
              <w:jc w:val="center"/>
              <w:rPr>
                <w:rFonts w:asciiTheme="minorHAnsi" w:hAnsiTheme="minorHAnsi"/>
                <w:b/>
                <w:bCs/>
                <w:color w:val="365F91"/>
                <w:spacing w:val="-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365F91"/>
                <w:spacing w:val="-1"/>
                <w:sz w:val="28"/>
                <w:szCs w:val="28"/>
              </w:rPr>
              <w:t>2</w:t>
            </w:r>
            <w:r w:rsidR="00661700">
              <w:rPr>
                <w:rFonts w:asciiTheme="minorHAnsi" w:hAnsiTheme="minorHAnsi"/>
                <w:b/>
                <w:bCs/>
                <w:color w:val="365F91"/>
                <w:spacing w:val="-1"/>
                <w:sz w:val="28"/>
                <w:szCs w:val="28"/>
              </w:rPr>
              <w:t>0</w:t>
            </w:r>
            <w:r>
              <w:rPr>
                <w:rFonts w:asciiTheme="minorHAnsi" w:hAnsiTheme="minorHAnsi"/>
                <w:b/>
                <w:bCs/>
                <w:color w:val="365F91"/>
                <w:spacing w:val="-1"/>
                <w:sz w:val="28"/>
                <w:szCs w:val="28"/>
              </w:rPr>
              <w:t>%</w:t>
            </w:r>
          </w:p>
        </w:tc>
      </w:tr>
      <w:tr w:rsidR="00F27A7E" w:rsidRPr="00F27A7E" w14:paraId="74CB6C44" w14:textId="77777777" w:rsidTr="00F27A7E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CB89" w14:textId="77777777" w:rsidR="00F27A7E" w:rsidRPr="00F27A7E" w:rsidRDefault="00F27A7E" w:rsidP="00F27A7E">
            <w:pPr>
              <w:jc w:val="both"/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</w:pPr>
            <w:r w:rsidRPr="00F27A7E"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  <w:t>Geographic</w:t>
            </w:r>
            <w:r w:rsidR="00577893"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  <w:t>al</w:t>
            </w:r>
            <w:r w:rsidRPr="00F27A7E"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  <w:t xml:space="preserve"> focus</w:t>
            </w:r>
            <w:r w:rsidR="00C447C2"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  <w:t xml:space="preserve"> and Local experience</w:t>
            </w:r>
            <w:r w:rsidRPr="00F27A7E"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  <w:t>:</w:t>
            </w:r>
          </w:p>
          <w:p w14:paraId="5196130C" w14:textId="77777777" w:rsidR="00D76FF5" w:rsidRPr="00D76FF5" w:rsidRDefault="00791E85" w:rsidP="00D76FF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eastAsia="Cambria" w:hAnsiTheme="minorHAnsi" w:cs="Calibri"/>
                <w:bCs/>
                <w:sz w:val="22"/>
                <w:lang w:val="en-US" w:eastAsia="en-US"/>
              </w:rPr>
            </w:pPr>
            <w:r>
              <w:rPr>
                <w:rFonts w:ascii="Calibri" w:eastAsia="Cambria" w:hAnsi="Calibri" w:cs="Calibri"/>
                <w:bCs/>
                <w:sz w:val="22"/>
                <w:lang w:val="en-US" w:eastAsia="en-US"/>
              </w:rPr>
              <w:t xml:space="preserve">Familiarity </w:t>
            </w:r>
            <w:r w:rsidR="001F58E6">
              <w:rPr>
                <w:rFonts w:ascii="Calibri" w:eastAsia="Cambria" w:hAnsi="Calibri" w:cs="Calibri"/>
                <w:bCs/>
                <w:sz w:val="22"/>
                <w:lang w:val="en-US" w:eastAsia="en-US"/>
              </w:rPr>
              <w:t xml:space="preserve">with </w:t>
            </w:r>
            <w:r w:rsidR="00872A7F" w:rsidRPr="003A72B3">
              <w:rPr>
                <w:rFonts w:ascii="Calibri" w:eastAsia="Cambria" w:hAnsi="Calibri" w:cs="Calibri"/>
                <w:bCs/>
                <w:sz w:val="22"/>
                <w:lang w:val="en-US" w:eastAsia="en-US"/>
              </w:rPr>
              <w:t xml:space="preserve">the </w:t>
            </w:r>
            <w:r w:rsidR="001F58E6">
              <w:rPr>
                <w:rFonts w:ascii="Calibri" w:eastAsia="Cambria" w:hAnsi="Calibri" w:cs="Calibri"/>
                <w:bCs/>
                <w:sz w:val="22"/>
                <w:lang w:val="en-US" w:eastAsia="en-US"/>
              </w:rPr>
              <w:t xml:space="preserve">local context </w:t>
            </w:r>
            <w:r w:rsidR="00C71A11">
              <w:rPr>
                <w:rFonts w:ascii="Calibri" w:eastAsia="Cambria" w:hAnsi="Calibri" w:cs="Calibri"/>
                <w:bCs/>
                <w:sz w:val="22"/>
                <w:lang w:val="en-US" w:eastAsia="en-US"/>
              </w:rPr>
              <w:t>of the project area,</w:t>
            </w:r>
            <w:r w:rsidR="001F58E6">
              <w:rPr>
                <w:rFonts w:ascii="Calibri" w:eastAsia="Cambria" w:hAnsi="Calibri" w:cs="Calibri"/>
                <w:bCs/>
                <w:sz w:val="22"/>
                <w:lang w:val="en-US" w:eastAsia="en-US"/>
              </w:rPr>
              <w:t xml:space="preserve"> </w:t>
            </w:r>
            <w:r w:rsidR="00872A7F" w:rsidRPr="003A72B3">
              <w:rPr>
                <w:rFonts w:ascii="Calibri" w:eastAsia="Cambria" w:hAnsi="Calibri" w:cs="Calibri"/>
                <w:bCs/>
                <w:sz w:val="22"/>
                <w:lang w:val="en-US" w:eastAsia="en-US"/>
              </w:rPr>
              <w:t>and established relationship with communities</w:t>
            </w:r>
            <w:r w:rsidR="00D76FF5">
              <w:rPr>
                <w:rFonts w:ascii="Calibri" w:eastAsia="Cambria" w:hAnsi="Calibri" w:cs="Calibri"/>
                <w:bCs/>
                <w:sz w:val="22"/>
                <w:lang w:val="en-US" w:eastAsia="en-US"/>
              </w:rPr>
              <w:t xml:space="preserve"> of concern,</w:t>
            </w:r>
          </w:p>
          <w:p w14:paraId="056589C1" w14:textId="77777777" w:rsidR="00B4124A" w:rsidRPr="00B3427C" w:rsidRDefault="00B4124A" w:rsidP="00B4124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eastAsia="Cambria" w:hAnsiTheme="minorHAnsi" w:cs="Calibri"/>
                <w:bCs/>
                <w:sz w:val="22"/>
                <w:lang w:val="en-US" w:eastAsia="en-US"/>
              </w:rPr>
            </w:pPr>
            <w:r>
              <w:rPr>
                <w:rFonts w:ascii="Calibri" w:eastAsia="Cambria" w:hAnsi="Calibri" w:cs="Calibri"/>
                <w:bCs/>
                <w:sz w:val="22"/>
                <w:lang w:val="en-US" w:eastAsia="en-US"/>
              </w:rPr>
              <w:t>D</w:t>
            </w:r>
            <w:r w:rsidR="00872A7F" w:rsidRPr="003A72B3">
              <w:rPr>
                <w:rFonts w:ascii="Calibri" w:eastAsia="Cambria" w:hAnsi="Calibri" w:cs="Calibri"/>
                <w:bCs/>
                <w:sz w:val="22"/>
                <w:lang w:val="en-US" w:eastAsia="en-US"/>
              </w:rPr>
              <w:t>emonstra</w:t>
            </w:r>
            <w:r>
              <w:rPr>
                <w:rFonts w:ascii="Calibri" w:eastAsia="Cambria" w:hAnsi="Calibri" w:cs="Calibri"/>
                <w:bCs/>
                <w:sz w:val="22"/>
                <w:lang w:val="en-US" w:eastAsia="en-US"/>
              </w:rPr>
              <w:t>ted</w:t>
            </w:r>
            <w:r w:rsidR="00872A7F" w:rsidRPr="003A72B3">
              <w:rPr>
                <w:rFonts w:ascii="Calibri" w:eastAsia="Cambria" w:hAnsi="Calibri" w:cs="Calibri"/>
                <w:bCs/>
                <w:sz w:val="22"/>
                <w:lang w:val="en-US" w:eastAsia="en-US"/>
              </w:rPr>
              <w:t xml:space="preserve"> ex</w:t>
            </w:r>
            <w:bookmarkStart w:id="0" w:name="_GoBack"/>
            <w:bookmarkEnd w:id="0"/>
            <w:r w:rsidR="00872A7F" w:rsidRPr="003A72B3">
              <w:rPr>
                <w:rFonts w:ascii="Calibri" w:eastAsia="Cambria" w:hAnsi="Calibri" w:cs="Calibri"/>
                <w:bCs/>
                <w:sz w:val="22"/>
                <w:lang w:val="en-US" w:eastAsia="en-US"/>
              </w:rPr>
              <w:t xml:space="preserve">perience with </w:t>
            </w:r>
            <w:r w:rsidR="00C447C2" w:rsidRPr="003A72B3">
              <w:rPr>
                <w:rFonts w:ascii="Calibri" w:eastAsia="Cambria" w:hAnsi="Calibri" w:cs="Calibri"/>
                <w:bCs/>
                <w:sz w:val="22"/>
                <w:lang w:val="en-US" w:eastAsia="en-US"/>
              </w:rPr>
              <w:t>sustainable</w:t>
            </w:r>
            <w:r w:rsidR="00B3427C">
              <w:rPr>
                <w:rFonts w:ascii="Calibri" w:eastAsia="Cambria" w:hAnsi="Calibri" w:cs="Calibri"/>
                <w:bCs/>
                <w:sz w:val="22"/>
                <w:lang w:val="en-US" w:eastAsia="en-US"/>
              </w:rPr>
              <w:t xml:space="preserve"> </w:t>
            </w:r>
            <w:r w:rsidR="00872A7F" w:rsidRPr="003A72B3">
              <w:rPr>
                <w:rFonts w:ascii="Calibri" w:eastAsia="Cambria" w:hAnsi="Calibri" w:cs="Calibri"/>
                <w:bCs/>
                <w:sz w:val="22"/>
                <w:lang w:val="en-US" w:eastAsia="en-US"/>
              </w:rPr>
              <w:t xml:space="preserve">community-based approaches </w:t>
            </w:r>
            <w:r>
              <w:rPr>
                <w:rFonts w:ascii="Calibri" w:eastAsia="Cambria" w:hAnsi="Calibri" w:cs="Calibri"/>
                <w:bCs/>
                <w:sz w:val="22"/>
                <w:lang w:val="en-US" w:eastAsia="en-US"/>
              </w:rPr>
              <w:t>in respect of AGD principles,</w:t>
            </w:r>
            <w:r w:rsidR="00872A7F" w:rsidRPr="003A72B3">
              <w:rPr>
                <w:rFonts w:ascii="Calibri" w:eastAsia="Cambria" w:hAnsi="Calibri" w:cs="Calibri"/>
                <w:bCs/>
                <w:sz w:val="22"/>
                <w:lang w:val="en-US" w:eastAsia="en-US"/>
              </w:rPr>
              <w:t xml:space="preserve"> </w:t>
            </w:r>
          </w:p>
          <w:p w14:paraId="6C7BB8EC" w14:textId="77777777" w:rsidR="00F27A7E" w:rsidRPr="00030510" w:rsidRDefault="00B3427C" w:rsidP="00A70C0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eastAsia="Cambria" w:hAnsiTheme="minorHAnsi" w:cs="Calibri"/>
                <w:bCs/>
                <w:sz w:val="22"/>
                <w:lang w:val="en-US" w:eastAsia="en-US"/>
              </w:rPr>
            </w:pPr>
            <w:r>
              <w:rPr>
                <w:rFonts w:ascii="Calibri" w:eastAsia="Cambria" w:hAnsi="Calibri" w:cs="Calibri"/>
                <w:bCs/>
                <w:sz w:val="22"/>
                <w:lang w:val="en-US" w:eastAsia="en-US"/>
              </w:rPr>
              <w:t>Established mechanisms for accountability to communities (e.g. complaints mechanisms, satisfaction surveys, and others)</w:t>
            </w:r>
            <w:r w:rsidR="00A70C01">
              <w:rPr>
                <w:rFonts w:ascii="Calibri" w:eastAsia="Cambria" w:hAnsi="Calibri" w:cs="Calibri"/>
                <w:bCs/>
                <w:sz w:val="22"/>
                <w:lang w:val="en-US" w:eastAsia="en-US"/>
              </w:rPr>
              <w:t>.</w:t>
            </w:r>
          </w:p>
          <w:p w14:paraId="69A881EF" w14:textId="008DAD35" w:rsidR="001D38C6" w:rsidRPr="009B3300" w:rsidRDefault="001D38C6" w:rsidP="00A70C0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eastAsia="Cambria" w:hAnsiTheme="minorHAnsi" w:cs="Calibri"/>
                <w:bCs/>
                <w:sz w:val="22"/>
                <w:lang w:val="en-US" w:eastAsia="en-US"/>
              </w:rPr>
            </w:pPr>
            <w:r>
              <w:rPr>
                <w:rFonts w:ascii="Calibri" w:eastAsia="Cambria" w:hAnsi="Calibri" w:cs="Calibri"/>
                <w:bCs/>
                <w:sz w:val="22"/>
                <w:lang w:val="en-US" w:eastAsia="en-US"/>
              </w:rPr>
              <w:t>Geographical access,</w:t>
            </w:r>
          </w:p>
          <w:p w14:paraId="23627526" w14:textId="7E4E5143" w:rsidR="009B3300" w:rsidRPr="00EB0BE6" w:rsidRDefault="009B3300" w:rsidP="009B3300">
            <w:pPr>
              <w:pStyle w:val="ListParagraph"/>
              <w:jc w:val="both"/>
              <w:rPr>
                <w:rFonts w:asciiTheme="minorHAnsi" w:eastAsia="Cambria" w:hAnsiTheme="minorHAnsi" w:cs="Calibri"/>
                <w:bCs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09F3" w14:textId="77777777" w:rsidR="00F27A7E" w:rsidRPr="00F27A7E" w:rsidRDefault="00C447C2" w:rsidP="00667F88">
            <w:pPr>
              <w:jc w:val="center"/>
              <w:rPr>
                <w:rFonts w:asciiTheme="minorHAnsi" w:hAnsiTheme="minorHAnsi"/>
                <w:b/>
                <w:bCs/>
                <w:color w:val="365F91"/>
                <w:spacing w:val="-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365F91"/>
                <w:spacing w:val="-1"/>
                <w:sz w:val="28"/>
                <w:szCs w:val="28"/>
              </w:rPr>
              <w:t>1</w:t>
            </w:r>
            <w:r w:rsidR="00667F88">
              <w:rPr>
                <w:rFonts w:asciiTheme="minorHAnsi" w:hAnsiTheme="minorHAnsi"/>
                <w:b/>
                <w:bCs/>
                <w:color w:val="365F91"/>
                <w:spacing w:val="-1"/>
                <w:sz w:val="28"/>
                <w:szCs w:val="28"/>
              </w:rPr>
              <w:t>5</w:t>
            </w:r>
            <w:r w:rsidR="00F27A7E" w:rsidRPr="00F27A7E">
              <w:rPr>
                <w:rFonts w:asciiTheme="minorHAnsi" w:hAnsiTheme="minorHAnsi"/>
                <w:b/>
                <w:bCs/>
                <w:color w:val="365F91"/>
                <w:spacing w:val="-1"/>
                <w:sz w:val="28"/>
                <w:szCs w:val="28"/>
              </w:rPr>
              <w:t>%</w:t>
            </w:r>
          </w:p>
        </w:tc>
      </w:tr>
      <w:tr w:rsidR="00030510" w14:paraId="63380BBE" w14:textId="77777777" w:rsidTr="0016334B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5F099F" w14:textId="77777777" w:rsidR="00030510" w:rsidRDefault="00030510" w:rsidP="0016334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Partner’s capacity to undertake p</w:t>
            </w:r>
            <w:r w:rsidRPr="008572C3">
              <w:rPr>
                <w:rFonts w:ascii="Calibri" w:hAnsi="Calibri"/>
                <w:b/>
                <w:sz w:val="22"/>
                <w:szCs w:val="22"/>
              </w:rPr>
              <w:t>rocurement</w:t>
            </w:r>
            <w:r w:rsidRPr="008572C3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14:paraId="1A00DC93" w14:textId="77777777" w:rsidR="00030510" w:rsidRPr="003B6827" w:rsidRDefault="00030510" w:rsidP="0016334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3B6827">
              <w:rPr>
                <w:rFonts w:ascii="Calibri" w:hAnsi="Calibri"/>
                <w:sz w:val="22"/>
                <w:szCs w:val="22"/>
              </w:rPr>
              <w:t xml:space="preserve">bility </w:t>
            </w:r>
            <w:r>
              <w:rPr>
                <w:rFonts w:ascii="Calibri" w:hAnsi="Calibri"/>
                <w:sz w:val="22"/>
                <w:szCs w:val="22"/>
              </w:rPr>
              <w:t xml:space="preserve">and expertise </w:t>
            </w:r>
            <w:r w:rsidRPr="003B6827">
              <w:rPr>
                <w:rFonts w:ascii="Calibri" w:hAnsi="Calibri"/>
                <w:sz w:val="22"/>
                <w:szCs w:val="22"/>
              </w:rPr>
              <w:t xml:space="preserve">to undertake </w:t>
            </w:r>
            <w:r w:rsidRPr="00172EC2">
              <w:rPr>
                <w:rFonts w:ascii="Calibri" w:hAnsi="Calibri"/>
                <w:sz w:val="22"/>
                <w:szCs w:val="22"/>
              </w:rPr>
              <w:t>large scale procurement</w:t>
            </w:r>
            <w:r w:rsidRPr="003B6827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14:paraId="2E1AB5A4" w14:textId="77777777" w:rsidR="00030510" w:rsidRPr="003B6827" w:rsidRDefault="00030510" w:rsidP="0016334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Type of </w:t>
            </w:r>
            <w:r w:rsidRPr="003B6827">
              <w:rPr>
                <w:rFonts w:ascii="Calibri" w:hAnsi="Calibri"/>
                <w:sz w:val="22"/>
                <w:szCs w:val="22"/>
              </w:rPr>
              <w:t xml:space="preserve">procurement </w:t>
            </w:r>
            <w:r>
              <w:rPr>
                <w:rFonts w:ascii="Calibri" w:hAnsi="Calibri"/>
                <w:sz w:val="22"/>
                <w:szCs w:val="22"/>
              </w:rPr>
              <w:t xml:space="preserve">(goods and/or services) </w:t>
            </w:r>
            <w:r w:rsidRPr="003B6827">
              <w:rPr>
                <w:rFonts w:ascii="Calibri" w:hAnsi="Calibri"/>
                <w:sz w:val="22"/>
                <w:szCs w:val="22"/>
              </w:rPr>
              <w:t xml:space="preserve">and </w:t>
            </w:r>
            <w:r>
              <w:rPr>
                <w:rFonts w:ascii="Calibri" w:hAnsi="Calibri"/>
                <w:sz w:val="22"/>
                <w:szCs w:val="22"/>
              </w:rPr>
              <w:t xml:space="preserve">yearly </w:t>
            </w:r>
            <w:r w:rsidRPr="003B6827">
              <w:rPr>
                <w:rFonts w:ascii="Calibri" w:hAnsi="Calibri"/>
                <w:sz w:val="22"/>
                <w:szCs w:val="22"/>
              </w:rPr>
              <w:t>value of procurement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  <w:p w14:paraId="51B71DEF" w14:textId="77777777" w:rsidR="00030510" w:rsidRPr="00DB7958" w:rsidRDefault="00030510" w:rsidP="0016334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</w:pPr>
            <w:r w:rsidRPr="003B6827">
              <w:rPr>
                <w:rFonts w:ascii="Calibri" w:hAnsi="Calibri"/>
                <w:sz w:val="22"/>
                <w:szCs w:val="22"/>
              </w:rPr>
              <w:t xml:space="preserve">Functioning procurement unit in </w:t>
            </w:r>
            <w:r>
              <w:rPr>
                <w:rFonts w:ascii="Calibri" w:hAnsi="Calibri"/>
                <w:sz w:val="22"/>
                <w:szCs w:val="22"/>
              </w:rPr>
              <w:t xml:space="preserve">the country office/project areas, </w:t>
            </w:r>
          </w:p>
          <w:p w14:paraId="79042CFE" w14:textId="77777777" w:rsidR="00030510" w:rsidRPr="009B3300" w:rsidRDefault="00030510" w:rsidP="0016334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</w:pPr>
            <w:r w:rsidRPr="003B6827">
              <w:rPr>
                <w:rFonts w:ascii="Calibri" w:hAnsi="Calibri"/>
                <w:sz w:val="22"/>
                <w:szCs w:val="22"/>
              </w:rPr>
              <w:t xml:space="preserve">Established </w:t>
            </w:r>
            <w:r>
              <w:rPr>
                <w:rFonts w:ascii="Calibri" w:hAnsi="Calibri"/>
                <w:sz w:val="22"/>
                <w:szCs w:val="22"/>
              </w:rPr>
              <w:t>procurement guidelines, delegation of authorities (</w:t>
            </w:r>
            <w:r w:rsidRPr="003B6827">
              <w:rPr>
                <w:rFonts w:ascii="Calibri" w:hAnsi="Calibri"/>
                <w:sz w:val="22"/>
                <w:szCs w:val="22"/>
              </w:rPr>
              <w:t>effective internal-controls</w:t>
            </w:r>
            <w:r>
              <w:rPr>
                <w:rFonts w:ascii="Calibri" w:hAnsi="Calibri"/>
                <w:sz w:val="22"/>
                <w:szCs w:val="22"/>
              </w:rPr>
              <w:t>/ segregation of duties).</w:t>
            </w:r>
          </w:p>
          <w:p w14:paraId="303EFDF1" w14:textId="77777777" w:rsidR="00030510" w:rsidRPr="003B6827" w:rsidRDefault="00030510" w:rsidP="0016334B">
            <w:pPr>
              <w:pStyle w:val="ListParagraph"/>
              <w:jc w:val="both"/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A0CF27" w14:textId="77777777" w:rsidR="00030510" w:rsidRDefault="00030510" w:rsidP="0016334B">
            <w:pPr>
              <w:jc w:val="center"/>
              <w:rPr>
                <w:rFonts w:asciiTheme="minorHAnsi" w:hAnsiTheme="minorHAnsi"/>
                <w:b/>
                <w:bCs/>
                <w:color w:val="365F91"/>
                <w:spacing w:val="-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365F91"/>
                <w:spacing w:val="-1"/>
                <w:sz w:val="28"/>
                <w:szCs w:val="28"/>
              </w:rPr>
              <w:t>15%</w:t>
            </w:r>
          </w:p>
        </w:tc>
      </w:tr>
      <w:tr w:rsidR="00F27A7E" w:rsidRPr="00F27A7E" w14:paraId="57CCD704" w14:textId="77777777" w:rsidTr="00F27A7E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5675D" w14:textId="77777777" w:rsidR="00F27A7E" w:rsidRPr="00F27A7E" w:rsidRDefault="003C79C6" w:rsidP="00F27A7E">
            <w:pPr>
              <w:jc w:val="both"/>
              <w:rPr>
                <w:rFonts w:asciiTheme="minorHAnsi" w:eastAsia="Cambria" w:hAnsiTheme="minorHAnsi" w:cs="Calibri"/>
                <w:sz w:val="22"/>
                <w:lang w:val="en-US" w:eastAsia="en-US"/>
              </w:rPr>
            </w:pPr>
            <w:r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  <w:lastRenderedPageBreak/>
              <w:t>Cost effectiveness</w:t>
            </w:r>
            <w:r w:rsidR="00F27A7E" w:rsidRPr="00F27A7E"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  <w:t>:</w:t>
            </w:r>
            <w:r w:rsidR="00F27A7E" w:rsidRPr="00F27A7E">
              <w:rPr>
                <w:rFonts w:asciiTheme="minorHAnsi" w:eastAsia="Cambria" w:hAnsiTheme="minorHAnsi" w:cs="Calibri"/>
                <w:sz w:val="22"/>
                <w:lang w:val="en-US" w:eastAsia="en-US"/>
              </w:rPr>
              <w:t xml:space="preserve"> </w:t>
            </w:r>
          </w:p>
          <w:p w14:paraId="617215B7" w14:textId="77777777" w:rsidR="00F27A7E" w:rsidRPr="00030510" w:rsidRDefault="00CD3B31" w:rsidP="000C61F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eastAsia="Cambria" w:hAnsiTheme="minorHAnsi" w:cs="Calibri"/>
                <w:sz w:val="20"/>
                <w:lang w:val="en-US" w:eastAsia="en-US"/>
              </w:rPr>
            </w:pPr>
            <w:r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 xml:space="preserve">Reasonable </w:t>
            </w:r>
            <w:r w:rsidR="003A0384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>ratio between</w:t>
            </w:r>
            <w:r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 xml:space="preserve"> </w:t>
            </w:r>
            <w:r w:rsidR="000C61F3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>support costs (</w:t>
            </w:r>
            <w:r w:rsidR="0086078B" w:rsidRPr="00CD3B31">
              <w:rPr>
                <w:rFonts w:ascii="Calibri" w:eastAsia="Cambria" w:hAnsi="Calibri" w:cs="Calibri"/>
                <w:sz w:val="22"/>
                <w:szCs w:val="22"/>
                <w:lang w:val="en-US" w:eastAsia="en-US"/>
              </w:rPr>
              <w:t>administrative</w:t>
            </w:r>
            <w:r w:rsidR="003A0384">
              <w:rPr>
                <w:rFonts w:ascii="Calibri" w:eastAsia="Cambria" w:hAnsi="Calibri" w:cs="Calibri"/>
                <w:sz w:val="22"/>
                <w:szCs w:val="22"/>
                <w:lang w:val="en-US" w:eastAsia="en-US"/>
              </w:rPr>
              <w:t>/</w:t>
            </w:r>
            <w:r w:rsidR="000C61F3">
              <w:rPr>
                <w:rFonts w:ascii="Calibri" w:eastAsia="Cambria" w:hAnsi="Calibri" w:cs="Calibri"/>
                <w:sz w:val="22"/>
                <w:szCs w:val="22"/>
                <w:lang w:val="en-US" w:eastAsia="en-US"/>
              </w:rPr>
              <w:t xml:space="preserve"> staffing)</w:t>
            </w:r>
            <w:r w:rsidR="0086078B" w:rsidRPr="00CD3B31">
              <w:rPr>
                <w:rFonts w:ascii="Calibri" w:eastAsia="Cambria" w:hAnsi="Calibri" w:cs="Calibri"/>
                <w:sz w:val="22"/>
                <w:szCs w:val="22"/>
                <w:lang w:val="en-US" w:eastAsia="en-US"/>
              </w:rPr>
              <w:t xml:space="preserve"> </w:t>
            </w:r>
            <w:r w:rsidR="003B60E2">
              <w:rPr>
                <w:rFonts w:ascii="Calibri" w:eastAsia="Cambria" w:hAnsi="Calibri" w:cs="Calibri"/>
                <w:sz w:val="22"/>
                <w:szCs w:val="22"/>
                <w:lang w:val="en-US" w:eastAsia="en-US"/>
              </w:rPr>
              <w:t xml:space="preserve">and </w:t>
            </w:r>
            <w:r w:rsidR="0086078B" w:rsidRPr="00CD3B31">
              <w:rPr>
                <w:rFonts w:ascii="Calibri" w:eastAsia="Cambria" w:hAnsi="Calibri" w:cs="Calibri"/>
                <w:sz w:val="22"/>
                <w:szCs w:val="22"/>
                <w:lang w:val="en-US" w:eastAsia="en-US"/>
              </w:rPr>
              <w:t>project deliverables</w:t>
            </w:r>
            <w:r w:rsidR="00A70C01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>.</w:t>
            </w:r>
          </w:p>
          <w:p w14:paraId="47C59EC9" w14:textId="3F5537D0" w:rsidR="00643A32" w:rsidRPr="00030510" w:rsidRDefault="00643A32" w:rsidP="000C61F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eastAsia="Cambria" w:hAnsi="Calibri" w:cs="Calibri"/>
                <w:sz w:val="22"/>
                <w:szCs w:val="22"/>
                <w:lang w:val="en-US" w:eastAsia="en-US"/>
              </w:rPr>
            </w:pPr>
            <w:r w:rsidRPr="00643A32">
              <w:rPr>
                <w:rFonts w:ascii="Calibri" w:eastAsia="Cambria" w:hAnsi="Calibri" w:cs="Calibri"/>
                <w:sz w:val="22"/>
                <w:szCs w:val="22"/>
                <w:lang w:val="en-US" w:eastAsia="en-US"/>
              </w:rPr>
              <w:t xml:space="preserve">Economic and competitive </w:t>
            </w:r>
            <w:r w:rsidR="002046FB">
              <w:rPr>
                <w:rFonts w:ascii="Calibri" w:eastAsia="Cambria" w:hAnsi="Calibri" w:cs="Calibri"/>
                <w:sz w:val="22"/>
                <w:szCs w:val="22"/>
                <w:lang w:val="en-US" w:eastAsia="en-US"/>
              </w:rPr>
              <w:t xml:space="preserve">resource allocation </w:t>
            </w:r>
            <w:r>
              <w:rPr>
                <w:rFonts w:ascii="Calibri" w:eastAsia="Cambria" w:hAnsi="Calibri" w:cs="Calibri"/>
                <w:sz w:val="22"/>
                <w:szCs w:val="22"/>
                <w:lang w:val="en-US" w:eastAsia="en-US"/>
              </w:rPr>
              <w:t>to project activities</w:t>
            </w:r>
            <w:r w:rsidRPr="00030510">
              <w:rPr>
                <w:rFonts w:ascii="Calibri" w:eastAsia="Cambria" w:hAnsi="Calibri" w:cs="Calibri"/>
                <w:sz w:val="22"/>
                <w:szCs w:val="22"/>
                <w:lang w:val="en-US" w:eastAsia="en-US"/>
              </w:rPr>
              <w:t xml:space="preserve"> </w:t>
            </w:r>
          </w:p>
          <w:p w14:paraId="595B1B99" w14:textId="470826B1" w:rsidR="009B3300" w:rsidRPr="00CD3B31" w:rsidRDefault="009B3300" w:rsidP="009B3300">
            <w:pPr>
              <w:pStyle w:val="ListParagraph"/>
              <w:jc w:val="both"/>
              <w:rPr>
                <w:rFonts w:asciiTheme="minorHAnsi" w:eastAsia="Cambria" w:hAnsiTheme="minorHAnsi" w:cs="Calibri"/>
                <w:sz w:val="20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E9AFF" w14:textId="77777777" w:rsidR="00F27A7E" w:rsidRPr="00F27A7E" w:rsidRDefault="00661700" w:rsidP="00F27A7E">
            <w:pPr>
              <w:jc w:val="center"/>
              <w:rPr>
                <w:rFonts w:asciiTheme="minorHAnsi" w:hAnsiTheme="minorHAnsi"/>
                <w:b/>
                <w:bCs/>
                <w:color w:val="365F91"/>
                <w:spacing w:val="-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365F91"/>
                <w:spacing w:val="-1"/>
                <w:sz w:val="28"/>
                <w:szCs w:val="28"/>
              </w:rPr>
              <w:t>1</w:t>
            </w:r>
            <w:r w:rsidR="00683F06">
              <w:rPr>
                <w:rFonts w:asciiTheme="minorHAnsi" w:hAnsiTheme="minorHAnsi"/>
                <w:b/>
                <w:bCs/>
                <w:color w:val="365F91"/>
                <w:spacing w:val="-1"/>
                <w:sz w:val="28"/>
                <w:szCs w:val="28"/>
              </w:rPr>
              <w:t>0</w:t>
            </w:r>
            <w:r w:rsidR="00F27A7E">
              <w:rPr>
                <w:rFonts w:asciiTheme="minorHAnsi" w:hAnsiTheme="minorHAnsi"/>
                <w:b/>
                <w:bCs/>
                <w:color w:val="365F91"/>
                <w:spacing w:val="-1"/>
                <w:sz w:val="28"/>
                <w:szCs w:val="28"/>
              </w:rPr>
              <w:t>%</w:t>
            </w:r>
          </w:p>
        </w:tc>
      </w:tr>
      <w:tr w:rsidR="00F27A7E" w:rsidRPr="00F27A7E" w14:paraId="38CAC683" w14:textId="77777777" w:rsidTr="00F27A7E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89F2" w14:textId="0B95B651" w:rsidR="00F27A7E" w:rsidRPr="00F27A7E" w:rsidRDefault="00F27A7E" w:rsidP="00F27A7E">
            <w:pPr>
              <w:jc w:val="both"/>
              <w:rPr>
                <w:rFonts w:asciiTheme="minorHAnsi" w:eastAsia="Cambria" w:hAnsiTheme="minorHAnsi" w:cs="Calibri"/>
                <w:sz w:val="22"/>
                <w:lang w:val="en-US" w:eastAsia="en-US"/>
              </w:rPr>
            </w:pPr>
            <w:r w:rsidRPr="00F27A7E"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  <w:t>Experience working with</w:t>
            </w:r>
            <w:r w:rsidR="00C25AA7"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  <w:t xml:space="preserve"> UN/</w:t>
            </w:r>
            <w:r w:rsidRPr="00F27A7E"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  <w:t xml:space="preserve"> UNHCR</w:t>
            </w:r>
            <w:r w:rsidRPr="00F27A7E">
              <w:rPr>
                <w:rFonts w:asciiTheme="minorHAnsi" w:eastAsia="Cambria" w:hAnsiTheme="minorHAnsi" w:cs="Calibri"/>
                <w:sz w:val="22"/>
                <w:lang w:val="en-US" w:eastAsia="en-US"/>
              </w:rPr>
              <w:t xml:space="preserve">: </w:t>
            </w:r>
          </w:p>
          <w:p w14:paraId="36AEC528" w14:textId="43EFA215" w:rsidR="00986672" w:rsidRPr="00172EC2" w:rsidRDefault="00F27A7E" w:rsidP="0098667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eastAsia="Cambria" w:hAnsiTheme="minorHAnsi" w:cs="Calibri"/>
                <w:sz w:val="20"/>
                <w:lang w:val="en-US" w:eastAsia="en-US"/>
              </w:rPr>
            </w:pPr>
            <w:r w:rsidRPr="00986672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 xml:space="preserve">Global and/or local partnerships including </w:t>
            </w:r>
            <w:r w:rsidRPr="00172EC2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 xml:space="preserve">knowledge of </w:t>
            </w:r>
            <w:r w:rsidR="00152EAD" w:rsidRPr="00030510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>UN/</w:t>
            </w:r>
            <w:r w:rsidR="00152EAD">
              <w:rPr>
                <w:rFonts w:asciiTheme="minorHAnsi" w:eastAsia="Cambria" w:hAnsiTheme="minorHAnsi" w:cs="Calibri"/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r w:rsidRPr="00172EC2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 xml:space="preserve">UNHCR policies, practices and program, </w:t>
            </w:r>
          </w:p>
          <w:p w14:paraId="69CE6ADE" w14:textId="77777777" w:rsidR="00986672" w:rsidRPr="00986672" w:rsidRDefault="00986672" w:rsidP="0098667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eastAsia="Cambria" w:hAnsiTheme="minorHAnsi" w:cs="Calibri"/>
                <w:sz w:val="20"/>
                <w:lang w:val="en-US" w:eastAsia="en-US"/>
              </w:rPr>
            </w:pPr>
            <w:r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>U</w:t>
            </w:r>
            <w:r w:rsidR="00F27A7E" w:rsidRPr="00986672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>nderstanding of and ability to work within UNHCR’s funding limitations and associated inherent risks</w:t>
            </w:r>
            <w:r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>,</w:t>
            </w:r>
          </w:p>
          <w:p w14:paraId="5E201932" w14:textId="5D1D7BB6" w:rsidR="00F27A7E" w:rsidRPr="009B3300" w:rsidRDefault="00AB6BC1" w:rsidP="0003051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eastAsia="Cambria" w:hAnsiTheme="minorHAnsi" w:cs="Calibri"/>
                <w:sz w:val="20"/>
                <w:lang w:val="en-US" w:eastAsia="en-US"/>
              </w:rPr>
            </w:pPr>
            <w:r w:rsidRPr="00986672">
              <w:rPr>
                <w:rFonts w:ascii="Calibri" w:eastAsia="Cambria" w:hAnsi="Calibri" w:cs="Calibri"/>
                <w:sz w:val="22"/>
                <w:lang w:val="en-US" w:eastAsia="en-US"/>
              </w:rPr>
              <w:t xml:space="preserve">Partners that have three consecutive qualified audit opinions for </w:t>
            </w:r>
            <w:r w:rsidR="00986672">
              <w:rPr>
                <w:rFonts w:ascii="Calibri" w:eastAsia="Cambria" w:hAnsi="Calibri" w:cs="Calibri"/>
                <w:sz w:val="22"/>
                <w:lang w:val="en-US" w:eastAsia="en-US"/>
              </w:rPr>
              <w:t xml:space="preserve">projects </w:t>
            </w:r>
            <w:r w:rsidR="00330AC5">
              <w:rPr>
                <w:rFonts w:ascii="Calibri" w:eastAsia="Cambria" w:hAnsi="Calibri" w:cs="Calibri"/>
                <w:sz w:val="22"/>
                <w:lang w:val="en-US" w:eastAsia="en-US"/>
              </w:rPr>
              <w:t xml:space="preserve">will </w:t>
            </w:r>
            <w:r w:rsidR="00986672">
              <w:rPr>
                <w:rFonts w:ascii="Calibri" w:eastAsia="Cambria" w:hAnsi="Calibri" w:cs="Calibri"/>
                <w:sz w:val="22"/>
                <w:lang w:val="en-US" w:eastAsia="en-US"/>
              </w:rPr>
              <w:t>not be considered</w:t>
            </w:r>
            <w:r w:rsidR="00A70C01">
              <w:rPr>
                <w:rFonts w:ascii="Calibri" w:eastAsia="Cambria" w:hAnsi="Calibri" w:cs="Calibri"/>
                <w:sz w:val="22"/>
                <w:lang w:val="en-US" w:eastAsia="en-US"/>
              </w:rPr>
              <w:t>.</w:t>
            </w:r>
          </w:p>
          <w:p w14:paraId="2EE6B099" w14:textId="1DA52A58" w:rsidR="009B3300" w:rsidRPr="00986672" w:rsidRDefault="009B3300" w:rsidP="009B3300">
            <w:pPr>
              <w:pStyle w:val="ListParagraph"/>
              <w:jc w:val="both"/>
              <w:rPr>
                <w:rFonts w:asciiTheme="minorHAnsi" w:eastAsia="Cambria" w:hAnsiTheme="minorHAnsi" w:cs="Calibri"/>
                <w:sz w:val="20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B146" w14:textId="59FCF567" w:rsidR="00F27A7E" w:rsidRPr="00F27A7E" w:rsidRDefault="00030510" w:rsidP="00F27A7E">
            <w:pPr>
              <w:jc w:val="center"/>
              <w:rPr>
                <w:rFonts w:asciiTheme="minorHAnsi" w:hAnsiTheme="minorHAnsi"/>
                <w:b/>
                <w:bCs/>
                <w:color w:val="365F91"/>
                <w:spacing w:val="-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365F91"/>
                <w:spacing w:val="-1"/>
                <w:sz w:val="28"/>
                <w:szCs w:val="28"/>
              </w:rPr>
              <w:t>5</w:t>
            </w:r>
            <w:r w:rsidR="00F27A7E">
              <w:rPr>
                <w:rFonts w:asciiTheme="minorHAnsi" w:hAnsiTheme="minorHAnsi"/>
                <w:b/>
                <w:bCs/>
                <w:color w:val="365F91"/>
                <w:spacing w:val="-1"/>
                <w:sz w:val="28"/>
                <w:szCs w:val="28"/>
              </w:rPr>
              <w:t>%</w:t>
            </w:r>
          </w:p>
        </w:tc>
      </w:tr>
      <w:tr w:rsidR="0027762E" w:rsidRPr="00F27A7E" w14:paraId="0BA8F6D3" w14:textId="77777777" w:rsidTr="00172980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D0ED8" w14:textId="77777777" w:rsidR="0027762E" w:rsidRPr="00172EC2" w:rsidRDefault="0027762E" w:rsidP="00172980">
            <w:pPr>
              <w:jc w:val="both"/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</w:pPr>
            <w:r w:rsidRPr="00172EC2"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  <w:t>Contribution of resources:</w:t>
            </w:r>
          </w:p>
          <w:p w14:paraId="10737BFE" w14:textId="77777777" w:rsidR="0027762E" w:rsidRPr="009B3300" w:rsidRDefault="0027762E" w:rsidP="0017298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</w:pPr>
            <w:r w:rsidRPr="00EB0BE6"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>Evidenced and documented contribution of resources to the project in cash or in-kind (e.g. human resources, supplies and/or equipment) that are presently available (or potentially mobilized by the partner) in order to supplement UNHCR resources for sustainability of projects should UNHCR funds be not available</w:t>
            </w:r>
            <w:r>
              <w:rPr>
                <w:rFonts w:asciiTheme="minorHAnsi" w:eastAsia="Cambria" w:hAnsiTheme="minorHAnsi" w:cs="Calibri"/>
                <w:sz w:val="22"/>
                <w:szCs w:val="22"/>
                <w:lang w:val="en-US" w:eastAsia="en-US"/>
              </w:rPr>
              <w:t>.</w:t>
            </w:r>
          </w:p>
          <w:p w14:paraId="71CF350E" w14:textId="77777777" w:rsidR="009B3300" w:rsidRPr="00470276" w:rsidRDefault="009B3300" w:rsidP="009B3300">
            <w:pPr>
              <w:pStyle w:val="ListParagraph"/>
              <w:jc w:val="both"/>
              <w:rPr>
                <w:rFonts w:asciiTheme="minorHAnsi" w:eastAsia="Cambria" w:hAnsiTheme="minorHAnsi" w:cs="Calibri"/>
                <w:b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349F4" w14:textId="77777777" w:rsidR="0027762E" w:rsidRDefault="0027762E" w:rsidP="00172980">
            <w:pPr>
              <w:jc w:val="center"/>
              <w:rPr>
                <w:rFonts w:asciiTheme="minorHAnsi" w:hAnsiTheme="minorHAnsi"/>
                <w:b/>
                <w:bCs/>
                <w:color w:val="365F91"/>
                <w:spacing w:val="-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365F91"/>
                <w:spacing w:val="-1"/>
                <w:sz w:val="28"/>
                <w:szCs w:val="28"/>
              </w:rPr>
              <w:t>5%</w:t>
            </w:r>
          </w:p>
        </w:tc>
      </w:tr>
    </w:tbl>
    <w:p w14:paraId="562E61A3" w14:textId="77777777" w:rsidR="00F27A7E" w:rsidRPr="00F27A7E" w:rsidRDefault="00F27A7E" w:rsidP="00F27A7E">
      <w:pPr>
        <w:jc w:val="center"/>
        <w:rPr>
          <w:lang w:val="en-US"/>
        </w:rPr>
      </w:pPr>
    </w:p>
    <w:sectPr w:rsidR="00F27A7E" w:rsidRPr="00F27A7E" w:rsidSect="00F27A7E">
      <w:pgSz w:w="11906" w:h="16838"/>
      <w:pgMar w:top="1440" w:right="1440" w:bottom="1440" w:left="1440" w:header="708" w:footer="708" w:gutter="0"/>
      <w:pgBorders w:offsetFrom="page"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642"/>
    <w:multiLevelType w:val="hybridMultilevel"/>
    <w:tmpl w:val="A77E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378E"/>
    <w:multiLevelType w:val="hybridMultilevel"/>
    <w:tmpl w:val="09CA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44F0A"/>
    <w:multiLevelType w:val="hybridMultilevel"/>
    <w:tmpl w:val="D6F4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D5ED8"/>
    <w:multiLevelType w:val="hybridMultilevel"/>
    <w:tmpl w:val="6E30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15F42"/>
    <w:multiLevelType w:val="hybridMultilevel"/>
    <w:tmpl w:val="B9A6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A50CA"/>
    <w:multiLevelType w:val="hybridMultilevel"/>
    <w:tmpl w:val="7C462844"/>
    <w:lvl w:ilvl="0" w:tplc="DCCC0EE4">
      <w:start w:val="8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538EC"/>
    <w:multiLevelType w:val="hybridMultilevel"/>
    <w:tmpl w:val="E7F4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69"/>
    <w:rsid w:val="00005EFB"/>
    <w:rsid w:val="0002177C"/>
    <w:rsid w:val="00030510"/>
    <w:rsid w:val="00045B91"/>
    <w:rsid w:val="000A6A32"/>
    <w:rsid w:val="000C61F3"/>
    <w:rsid w:val="00133D98"/>
    <w:rsid w:val="00152EAD"/>
    <w:rsid w:val="00156FF9"/>
    <w:rsid w:val="00162FF8"/>
    <w:rsid w:val="00172EC2"/>
    <w:rsid w:val="001812F0"/>
    <w:rsid w:val="00185569"/>
    <w:rsid w:val="00186F59"/>
    <w:rsid w:val="001D38C6"/>
    <w:rsid w:val="001F58E6"/>
    <w:rsid w:val="00200441"/>
    <w:rsid w:val="002046FB"/>
    <w:rsid w:val="002633BA"/>
    <w:rsid w:val="0027762E"/>
    <w:rsid w:val="00285C0E"/>
    <w:rsid w:val="002902C6"/>
    <w:rsid w:val="002D4856"/>
    <w:rsid w:val="00330AC5"/>
    <w:rsid w:val="00381568"/>
    <w:rsid w:val="003A0384"/>
    <w:rsid w:val="003A72B3"/>
    <w:rsid w:val="003B60E2"/>
    <w:rsid w:val="003B6827"/>
    <w:rsid w:val="003C79C6"/>
    <w:rsid w:val="003E4F24"/>
    <w:rsid w:val="004345FA"/>
    <w:rsid w:val="004347FB"/>
    <w:rsid w:val="00470276"/>
    <w:rsid w:val="004C7B03"/>
    <w:rsid w:val="004E0882"/>
    <w:rsid w:val="004F10F2"/>
    <w:rsid w:val="004F5394"/>
    <w:rsid w:val="00577893"/>
    <w:rsid w:val="005A7DEE"/>
    <w:rsid w:val="005F457D"/>
    <w:rsid w:val="006332CA"/>
    <w:rsid w:val="00643A32"/>
    <w:rsid w:val="00661700"/>
    <w:rsid w:val="00667F88"/>
    <w:rsid w:val="00674BCA"/>
    <w:rsid w:val="00683F06"/>
    <w:rsid w:val="0072637D"/>
    <w:rsid w:val="00744A8C"/>
    <w:rsid w:val="00767DC3"/>
    <w:rsid w:val="00791E85"/>
    <w:rsid w:val="007A2EAE"/>
    <w:rsid w:val="007E5224"/>
    <w:rsid w:val="007F0763"/>
    <w:rsid w:val="00830E16"/>
    <w:rsid w:val="008509E5"/>
    <w:rsid w:val="00855545"/>
    <w:rsid w:val="0086078B"/>
    <w:rsid w:val="00872A7F"/>
    <w:rsid w:val="008802A4"/>
    <w:rsid w:val="00986672"/>
    <w:rsid w:val="009B3300"/>
    <w:rsid w:val="009C17B7"/>
    <w:rsid w:val="009E1B1A"/>
    <w:rsid w:val="00A64F27"/>
    <w:rsid w:val="00A70C01"/>
    <w:rsid w:val="00A96DE9"/>
    <w:rsid w:val="00AB6BC1"/>
    <w:rsid w:val="00AC161A"/>
    <w:rsid w:val="00B3427C"/>
    <w:rsid w:val="00B4124A"/>
    <w:rsid w:val="00B566C9"/>
    <w:rsid w:val="00B6486D"/>
    <w:rsid w:val="00BA3CE6"/>
    <w:rsid w:val="00C25AA7"/>
    <w:rsid w:val="00C447C2"/>
    <w:rsid w:val="00C71A11"/>
    <w:rsid w:val="00C8013F"/>
    <w:rsid w:val="00CD3B31"/>
    <w:rsid w:val="00D148EB"/>
    <w:rsid w:val="00D76FF5"/>
    <w:rsid w:val="00D840C1"/>
    <w:rsid w:val="00DB7958"/>
    <w:rsid w:val="00DD46B6"/>
    <w:rsid w:val="00E07AEB"/>
    <w:rsid w:val="00EB0BE6"/>
    <w:rsid w:val="00F2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A6EA"/>
  <w15:chartTrackingRefBased/>
  <w15:docId w15:val="{BEDC0F4A-B3E8-4DCA-BEE2-7527753A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5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185569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27A7E"/>
    <w:pPr>
      <w:widowControl w:val="0"/>
      <w:autoSpaceDE w:val="0"/>
      <w:autoSpaceDN w:val="0"/>
      <w:adjustRightInd w:val="0"/>
      <w:ind w:left="1727" w:hanging="348"/>
    </w:pPr>
    <w:rPr>
      <w:rFonts w:ascii="Calibri" w:eastAsiaTheme="minorEastAsia" w:hAnsi="Calibri" w:cs="Calibri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7A7E"/>
    <w:rPr>
      <w:rFonts w:ascii="Calibri" w:eastAsiaTheme="minorEastAsia" w:hAnsi="Calibri" w:cs="Calibri"/>
      <w:sz w:val="21"/>
      <w:szCs w:val="21"/>
      <w:lang w:val="en-US"/>
    </w:rPr>
  </w:style>
  <w:style w:type="paragraph" w:styleId="CommentText">
    <w:name w:val="annotation text"/>
    <w:basedOn w:val="Normal"/>
    <w:link w:val="CommentTextChar"/>
    <w:uiPriority w:val="99"/>
    <w:rsid w:val="00872A7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2A7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A7F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AC161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C0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Munazza Hadi</dc:creator>
  <cp:keywords/>
  <dc:description/>
  <cp:lastModifiedBy>Munazza Hadi</cp:lastModifiedBy>
  <cp:revision>23</cp:revision>
  <dcterms:created xsi:type="dcterms:W3CDTF">2017-09-09T19:48:00Z</dcterms:created>
  <dcterms:modified xsi:type="dcterms:W3CDTF">2019-05-30T10:37:00Z</dcterms:modified>
</cp:coreProperties>
</file>