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8D95" w14:textId="77777777" w:rsidR="005D27EC" w:rsidRPr="00027F0A" w:rsidRDefault="005D27EC" w:rsidP="00B850C2">
      <w:pPr>
        <w:spacing w:after="0" w:line="240" w:lineRule="auto"/>
        <w:rPr>
          <w:rFonts w:eastAsia="Times New Roman" w:cs="Arial"/>
          <w:bCs/>
          <w:u w:val="single"/>
          <w:lang w:eastAsia="en-GB"/>
        </w:rPr>
      </w:pPr>
    </w:p>
    <w:p w14:paraId="5DFE90BA" w14:textId="77777777" w:rsidR="00196DE6" w:rsidRPr="00027F0A" w:rsidRDefault="00546793" w:rsidP="00B850C2">
      <w:pPr>
        <w:spacing w:after="0" w:line="240" w:lineRule="auto"/>
        <w:rPr>
          <w:rFonts w:eastAsia="Times New Roman" w:cs="Arial"/>
          <w:b/>
          <w:u w:val="single"/>
        </w:rPr>
      </w:pPr>
      <w:r w:rsidRPr="00027F0A">
        <w:rPr>
          <w:b/>
          <w:bCs/>
          <w:u w:val="single"/>
        </w:rPr>
        <w:t>І. Контекст</w:t>
      </w:r>
    </w:p>
    <w:p w14:paraId="3A857C35" w14:textId="5F13F527" w:rsidR="002205E6" w:rsidRPr="00027F0A" w:rsidRDefault="002205E6" w:rsidP="00B850C2">
      <w:pPr>
        <w:pStyle w:val="Default"/>
        <w:jc w:val="both"/>
        <w:rPr>
          <w:rFonts w:asciiTheme="minorHAnsi" w:hAnsiTheme="minorHAnsi" w:cs="Arial"/>
          <w:sz w:val="22"/>
          <w:szCs w:val="22"/>
        </w:rPr>
      </w:pPr>
      <w:r w:rsidRPr="00027F0A">
        <w:rPr>
          <w:rFonts w:asciiTheme="minorHAnsi" w:hAnsiTheme="minorHAnsi"/>
          <w:sz w:val="22"/>
          <w:szCs w:val="22"/>
        </w:rPr>
        <w:t xml:space="preserve">Управління Верховного Комісара ООН у справах біженців (УВКБ ООН) присутнє в Україні близько 25 років і підписало угоду про перебування з Урядом України, в якій передбачені функції щодо надання гуманітарної допомоги біженцям та іншим особам, які належать до сфери компетенції Управління в Україні. </w:t>
      </w:r>
    </w:p>
    <w:p w14:paraId="61330F06" w14:textId="3BD9FB08" w:rsidR="006A1334" w:rsidRPr="00027F0A" w:rsidRDefault="002205E6" w:rsidP="00B850C2">
      <w:pPr>
        <w:pStyle w:val="Default"/>
        <w:jc w:val="both"/>
        <w:rPr>
          <w:rFonts w:asciiTheme="minorHAnsi" w:hAnsiTheme="minorHAnsi" w:cs="Arial"/>
          <w:sz w:val="22"/>
          <w:szCs w:val="22"/>
        </w:rPr>
      </w:pPr>
      <w:r w:rsidRPr="00027F0A">
        <w:rPr>
          <w:rFonts w:asciiTheme="minorHAnsi" w:hAnsiTheme="minorHAnsi"/>
          <w:sz w:val="22"/>
          <w:szCs w:val="22"/>
        </w:rPr>
        <w:t xml:space="preserve">УВКБ ООН намагається розширити свої можливості </w:t>
      </w:r>
      <w:r w:rsidR="00D901E5" w:rsidRPr="00027F0A">
        <w:rPr>
          <w:rFonts w:asciiTheme="minorHAnsi" w:hAnsiTheme="minorHAnsi"/>
          <w:sz w:val="22"/>
          <w:szCs w:val="22"/>
        </w:rPr>
        <w:t>щодо</w:t>
      </w:r>
      <w:r w:rsidRPr="00027F0A">
        <w:rPr>
          <w:rFonts w:asciiTheme="minorHAnsi" w:hAnsiTheme="minorHAnsi"/>
          <w:sz w:val="22"/>
          <w:szCs w:val="22"/>
        </w:rPr>
        <w:t xml:space="preserve"> </w:t>
      </w:r>
      <w:r w:rsidR="007D4D6D" w:rsidRPr="00027F0A">
        <w:rPr>
          <w:rFonts w:asciiTheme="minorHAnsi" w:hAnsiTheme="minorHAnsi"/>
          <w:sz w:val="22"/>
          <w:szCs w:val="22"/>
        </w:rPr>
        <w:t xml:space="preserve">переказу </w:t>
      </w:r>
      <w:r w:rsidRPr="00027F0A">
        <w:rPr>
          <w:rFonts w:asciiTheme="minorHAnsi" w:hAnsiTheme="minorHAnsi"/>
          <w:sz w:val="22"/>
          <w:szCs w:val="22"/>
        </w:rPr>
        <w:t xml:space="preserve">коштів </w:t>
      </w:r>
      <w:r w:rsidR="00381E2D">
        <w:rPr>
          <w:rFonts w:asciiTheme="minorHAnsi" w:hAnsiTheme="minorHAnsi"/>
          <w:sz w:val="22"/>
          <w:szCs w:val="22"/>
        </w:rPr>
        <w:t>у</w:t>
      </w:r>
      <w:r w:rsidRPr="00027F0A">
        <w:rPr>
          <w:rFonts w:asciiTheme="minorHAnsi" w:hAnsiTheme="minorHAnsi"/>
          <w:sz w:val="22"/>
          <w:szCs w:val="22"/>
        </w:rPr>
        <w:t xml:space="preserve"> гривні (UAH) в рамках гуманітарних </w:t>
      </w:r>
      <w:r w:rsidR="00D901E5" w:rsidRPr="00027F0A">
        <w:rPr>
          <w:rFonts w:asciiTheme="minorHAnsi" w:hAnsiTheme="minorHAnsi"/>
          <w:sz w:val="22"/>
          <w:szCs w:val="22"/>
        </w:rPr>
        <w:t>задач</w:t>
      </w:r>
      <w:r w:rsidRPr="00027F0A">
        <w:rPr>
          <w:rFonts w:asciiTheme="minorHAnsi" w:hAnsiTheme="minorHAnsi"/>
          <w:sz w:val="22"/>
          <w:szCs w:val="22"/>
        </w:rPr>
        <w:t xml:space="preserve"> його програми в Україні. </w:t>
      </w:r>
      <w:r w:rsidR="00D901E5" w:rsidRPr="00027F0A">
        <w:rPr>
          <w:sz w:val="22"/>
          <w:szCs w:val="22"/>
        </w:rPr>
        <w:t>Для</w:t>
      </w:r>
      <w:r w:rsidRPr="00027F0A">
        <w:rPr>
          <w:sz w:val="22"/>
          <w:szCs w:val="22"/>
        </w:rPr>
        <w:t xml:space="preserve"> ціл</w:t>
      </w:r>
      <w:r w:rsidR="00D901E5" w:rsidRPr="00027F0A">
        <w:rPr>
          <w:sz w:val="22"/>
          <w:szCs w:val="22"/>
        </w:rPr>
        <w:t>ей</w:t>
      </w:r>
      <w:r w:rsidRPr="00027F0A">
        <w:rPr>
          <w:sz w:val="22"/>
          <w:szCs w:val="22"/>
        </w:rPr>
        <w:t xml:space="preserve"> національного законодавства «Знай свого клієнта» (ЗСК), УВКБ ООН є клієнтом за договором про надання фінансових послуг, укладеним в результаті цього Запиту на отримання пропозицій (ЗОП).</w:t>
      </w:r>
      <w:r w:rsidRPr="00027F0A">
        <w:rPr>
          <w:rFonts w:asciiTheme="minorHAnsi" w:hAnsiTheme="minorHAnsi"/>
          <w:sz w:val="22"/>
          <w:szCs w:val="22"/>
        </w:rPr>
        <w:t xml:space="preserve"> </w:t>
      </w:r>
    </w:p>
    <w:p w14:paraId="1661A879" w14:textId="6428AD33" w:rsidR="00640710" w:rsidRPr="00027F0A" w:rsidRDefault="002205E6" w:rsidP="00B850C2">
      <w:pPr>
        <w:pStyle w:val="Default"/>
        <w:jc w:val="both"/>
        <w:rPr>
          <w:rFonts w:asciiTheme="minorHAnsi" w:hAnsiTheme="minorHAnsi" w:cs="Arial"/>
          <w:sz w:val="22"/>
          <w:szCs w:val="22"/>
        </w:rPr>
      </w:pPr>
      <w:r w:rsidRPr="00027F0A">
        <w:rPr>
          <w:rFonts w:asciiTheme="minorHAnsi" w:hAnsiTheme="minorHAnsi"/>
          <w:sz w:val="22"/>
          <w:szCs w:val="22"/>
        </w:rPr>
        <w:t xml:space="preserve">УВКБ ООН просить надати </w:t>
      </w:r>
      <w:r w:rsidR="007D4D6D" w:rsidRPr="00027F0A">
        <w:rPr>
          <w:rFonts w:asciiTheme="minorHAnsi" w:hAnsiTheme="minorHAnsi"/>
          <w:sz w:val="22"/>
          <w:szCs w:val="22"/>
        </w:rPr>
        <w:t xml:space="preserve">тендерні </w:t>
      </w:r>
      <w:r w:rsidRPr="00027F0A">
        <w:rPr>
          <w:rFonts w:asciiTheme="minorHAnsi" w:hAnsiTheme="minorHAnsi"/>
          <w:sz w:val="22"/>
          <w:szCs w:val="22"/>
        </w:rPr>
        <w:t xml:space="preserve">пропозиції щодо послуг із переказу грошових коштів або банківських послуг, які надаються Постачальниками фінансових послуг (ПФП), належним чином ліцензованими Національним банком України та зареєстрованими в податкових органах України. </w:t>
      </w:r>
      <w:r w:rsidRPr="00027F0A">
        <w:rPr>
          <w:sz w:val="22"/>
          <w:szCs w:val="22"/>
        </w:rPr>
        <w:t>В цих пропозиціях має бути враховано та описано, як ПФП здійснюватиме перелічені нижче необхідні послуги та механізми.</w:t>
      </w:r>
    </w:p>
    <w:p w14:paraId="010DB4F7" w14:textId="77777777" w:rsidR="002205E6" w:rsidRPr="00027F0A" w:rsidRDefault="002205E6" w:rsidP="00B850C2">
      <w:pPr>
        <w:spacing w:after="0" w:line="240" w:lineRule="auto"/>
        <w:jc w:val="both"/>
        <w:rPr>
          <w:rFonts w:eastAsia="Times New Roman" w:cs="Arial"/>
          <w:color w:val="000000"/>
          <w:lang w:eastAsia="en-GB"/>
        </w:rPr>
      </w:pPr>
    </w:p>
    <w:p w14:paraId="5E439DF0" w14:textId="77777777" w:rsidR="005D27EC" w:rsidRPr="00027F0A" w:rsidRDefault="005D27EC" w:rsidP="00B850C2">
      <w:pPr>
        <w:spacing w:after="0" w:line="240" w:lineRule="auto"/>
        <w:jc w:val="both"/>
        <w:rPr>
          <w:rFonts w:eastAsia="Times New Roman" w:cs="Arial"/>
          <w:color w:val="000000"/>
          <w:lang w:eastAsia="en-GB"/>
        </w:rPr>
      </w:pPr>
    </w:p>
    <w:p w14:paraId="3BF9B461" w14:textId="3DE51069" w:rsidR="00196DE6" w:rsidRPr="00027F0A" w:rsidRDefault="00196DE6" w:rsidP="00B850C2">
      <w:pPr>
        <w:spacing w:after="0" w:line="240" w:lineRule="auto"/>
        <w:jc w:val="both"/>
        <w:rPr>
          <w:rFonts w:eastAsia="Times New Roman" w:cs="Arial"/>
          <w:u w:val="single"/>
        </w:rPr>
      </w:pPr>
      <w:r w:rsidRPr="00027F0A">
        <w:t> </w:t>
      </w:r>
      <w:r w:rsidRPr="00027F0A">
        <w:rPr>
          <w:b/>
          <w:bCs/>
          <w:u w:val="single"/>
        </w:rPr>
        <w:t>II. Опис необхідних послуг та умов</w:t>
      </w:r>
    </w:p>
    <w:p w14:paraId="28A3AA1B" w14:textId="77777777" w:rsidR="006A614D" w:rsidRPr="00027F0A" w:rsidRDefault="006A614D" w:rsidP="00B850C2">
      <w:pPr>
        <w:spacing w:after="0" w:line="240" w:lineRule="auto"/>
        <w:jc w:val="both"/>
        <w:rPr>
          <w:rFonts w:eastAsia="Times New Roman" w:cs="Arial"/>
          <w:i/>
          <w:color w:val="000000"/>
        </w:rPr>
      </w:pPr>
      <w:r w:rsidRPr="00027F0A">
        <w:rPr>
          <w:i/>
          <w:color w:val="000000"/>
        </w:rPr>
        <w:t>Загальні потреби:</w:t>
      </w:r>
    </w:p>
    <w:p w14:paraId="1018E5CF" w14:textId="060C4162" w:rsidR="002205E6" w:rsidRPr="00027F0A" w:rsidRDefault="00503C46" w:rsidP="00B850C2">
      <w:pPr>
        <w:spacing w:after="0" w:line="240" w:lineRule="auto"/>
        <w:jc w:val="both"/>
        <w:rPr>
          <w:rFonts w:eastAsia="Times New Roman" w:cs="Arial"/>
          <w:color w:val="000000"/>
        </w:rPr>
      </w:pPr>
      <w:r w:rsidRPr="00027F0A">
        <w:t xml:space="preserve">Управління Верховного Комісара ООН у справах біженців (УВКБ ООН) бажає укласти </w:t>
      </w:r>
      <w:r w:rsidR="007D4D6D" w:rsidRPr="00027F0A">
        <w:t xml:space="preserve">одну </w:t>
      </w:r>
      <w:r w:rsidR="00AE4E03">
        <w:t xml:space="preserve">рамкову угоду </w:t>
      </w:r>
      <w:r w:rsidRPr="00027F0A">
        <w:t>з Постачальником фіна</w:t>
      </w:r>
      <w:r w:rsidR="0029244A">
        <w:t>нсових послуг (ПФП) на два роки (</w:t>
      </w:r>
      <w:r w:rsidRPr="00027F0A">
        <w:t xml:space="preserve">з можливістю продовження </w:t>
      </w:r>
      <w:r w:rsidR="0029244A">
        <w:t>терміну</w:t>
      </w:r>
      <w:r w:rsidRPr="00027F0A">
        <w:t xml:space="preserve"> дії угоди ще на о</w:t>
      </w:r>
      <w:r w:rsidR="00AE4E03">
        <w:t>дин рік у</w:t>
      </w:r>
      <w:r w:rsidR="0029244A">
        <w:t xml:space="preserve"> залежності від</w:t>
      </w:r>
      <w:r w:rsidRPr="00027F0A">
        <w:t xml:space="preserve"> рівня </w:t>
      </w:r>
      <w:r w:rsidR="00554199" w:rsidRPr="00027F0A">
        <w:t>ефективності</w:t>
      </w:r>
      <w:r w:rsidR="0029244A">
        <w:t>)</w:t>
      </w:r>
      <w:r w:rsidRPr="00027F0A">
        <w:t xml:space="preserve"> для надання фінансових послуг з переказу коштів з метою підтримки його програми гуманітарної допомоги в конкретних географічних районах України.</w:t>
      </w:r>
    </w:p>
    <w:p w14:paraId="753726AC" w14:textId="3A428C20" w:rsidR="006A614D" w:rsidRPr="00027F0A" w:rsidRDefault="0068193C" w:rsidP="00B850C2">
      <w:pPr>
        <w:pStyle w:val="Default"/>
        <w:jc w:val="both"/>
        <w:rPr>
          <w:rFonts w:eastAsia="Times New Roman" w:cs="Arial"/>
          <w:sz w:val="22"/>
          <w:szCs w:val="22"/>
        </w:rPr>
      </w:pPr>
      <w:r w:rsidRPr="00027F0A">
        <w:rPr>
          <w:sz w:val="22"/>
          <w:szCs w:val="22"/>
        </w:rPr>
        <w:t xml:space="preserve">Планується, що контракт з ПФП </w:t>
      </w:r>
      <w:r w:rsidR="00554199" w:rsidRPr="00027F0A">
        <w:rPr>
          <w:sz w:val="22"/>
          <w:szCs w:val="22"/>
        </w:rPr>
        <w:t xml:space="preserve">не </w:t>
      </w:r>
      <w:r w:rsidRPr="00027F0A">
        <w:rPr>
          <w:sz w:val="22"/>
          <w:szCs w:val="22"/>
        </w:rPr>
        <w:t xml:space="preserve">буде ексклюзивним, </w:t>
      </w:r>
      <w:r w:rsidR="00554199">
        <w:rPr>
          <w:sz w:val="22"/>
          <w:szCs w:val="22"/>
        </w:rPr>
        <w:t xml:space="preserve">не передбачається </w:t>
      </w:r>
      <w:r w:rsidR="00554199" w:rsidRPr="00027F0A">
        <w:rPr>
          <w:sz w:val="22"/>
          <w:szCs w:val="22"/>
        </w:rPr>
        <w:t xml:space="preserve">встановлення </w:t>
      </w:r>
      <w:r w:rsidRPr="00027F0A">
        <w:rPr>
          <w:sz w:val="22"/>
          <w:szCs w:val="22"/>
        </w:rPr>
        <w:t>будь-</w:t>
      </w:r>
      <w:r w:rsidR="007D4D6D" w:rsidRPr="00027F0A">
        <w:rPr>
          <w:sz w:val="22"/>
          <w:szCs w:val="22"/>
        </w:rPr>
        <w:t xml:space="preserve">якого мінімального обсягу </w:t>
      </w:r>
      <w:r w:rsidRPr="00027F0A">
        <w:rPr>
          <w:sz w:val="22"/>
          <w:szCs w:val="22"/>
        </w:rPr>
        <w:t xml:space="preserve">або </w:t>
      </w:r>
      <w:r w:rsidR="007D4D6D" w:rsidRPr="00027F0A">
        <w:rPr>
          <w:sz w:val="22"/>
          <w:szCs w:val="22"/>
        </w:rPr>
        <w:t>іншого зобов'язання</w:t>
      </w:r>
      <w:r w:rsidRPr="00027F0A">
        <w:rPr>
          <w:sz w:val="22"/>
          <w:szCs w:val="22"/>
        </w:rPr>
        <w:t>. Крім того, УВКБ ООН не матиме зобов'язання (і) працювати з ПФП як з постачальником ексклюзивних чи унікальних послуг або (</w:t>
      </w:r>
      <w:proofErr w:type="spellStart"/>
      <w:r w:rsidRPr="00027F0A">
        <w:rPr>
          <w:sz w:val="22"/>
          <w:szCs w:val="22"/>
        </w:rPr>
        <w:t>іі</w:t>
      </w:r>
      <w:proofErr w:type="spellEnd"/>
      <w:r w:rsidRPr="00027F0A">
        <w:rPr>
          <w:sz w:val="22"/>
          <w:szCs w:val="22"/>
        </w:rPr>
        <w:t>) замовляти чи купувати мінімальну кількість послуг у ПФП.</w:t>
      </w:r>
    </w:p>
    <w:p w14:paraId="55FE84C8" w14:textId="44515558" w:rsidR="006A614D" w:rsidRPr="00027F0A" w:rsidRDefault="006A614D" w:rsidP="00B850C2">
      <w:pPr>
        <w:pStyle w:val="Default"/>
        <w:jc w:val="both"/>
        <w:rPr>
          <w:rFonts w:asciiTheme="minorHAnsi" w:hAnsiTheme="minorHAnsi" w:cs="Arial"/>
          <w:sz w:val="22"/>
          <w:szCs w:val="22"/>
        </w:rPr>
      </w:pPr>
      <w:r w:rsidRPr="00027F0A">
        <w:rPr>
          <w:sz w:val="22"/>
          <w:szCs w:val="22"/>
        </w:rPr>
        <w:t>ПФП має бути здатним запропонувати найостанніш</w:t>
      </w:r>
      <w:r w:rsidR="003124D1" w:rsidRPr="00027F0A">
        <w:rPr>
          <w:sz w:val="22"/>
          <w:szCs w:val="22"/>
        </w:rPr>
        <w:t>у</w:t>
      </w:r>
      <w:r w:rsidRPr="00027F0A">
        <w:rPr>
          <w:sz w:val="22"/>
          <w:szCs w:val="22"/>
        </w:rPr>
        <w:t xml:space="preserve"> технологі</w:t>
      </w:r>
      <w:r w:rsidR="003124D1" w:rsidRPr="00027F0A">
        <w:rPr>
          <w:sz w:val="22"/>
          <w:szCs w:val="22"/>
        </w:rPr>
        <w:t>ю</w:t>
      </w:r>
      <w:r w:rsidRPr="00027F0A">
        <w:rPr>
          <w:sz w:val="22"/>
          <w:szCs w:val="22"/>
        </w:rPr>
        <w:t xml:space="preserve"> в сфері електронного </w:t>
      </w:r>
      <w:proofErr w:type="spellStart"/>
      <w:r w:rsidRPr="00027F0A">
        <w:rPr>
          <w:sz w:val="22"/>
          <w:szCs w:val="22"/>
        </w:rPr>
        <w:t>банкінгу</w:t>
      </w:r>
      <w:proofErr w:type="spellEnd"/>
      <w:r w:rsidRPr="00027F0A">
        <w:rPr>
          <w:sz w:val="22"/>
          <w:szCs w:val="22"/>
        </w:rPr>
        <w:t>, з належним</w:t>
      </w:r>
      <w:r w:rsidR="007D4D6D" w:rsidRPr="00027F0A">
        <w:rPr>
          <w:sz w:val="22"/>
          <w:szCs w:val="22"/>
        </w:rPr>
        <w:t>и механізмами</w:t>
      </w:r>
      <w:r w:rsidRPr="00027F0A">
        <w:rPr>
          <w:sz w:val="22"/>
          <w:szCs w:val="22"/>
        </w:rPr>
        <w:t xml:space="preserve"> внутрішн</w:t>
      </w:r>
      <w:r w:rsidR="007D4D6D" w:rsidRPr="00027F0A">
        <w:rPr>
          <w:sz w:val="22"/>
          <w:szCs w:val="22"/>
        </w:rPr>
        <w:t>ього</w:t>
      </w:r>
      <w:r w:rsidRPr="00027F0A">
        <w:rPr>
          <w:sz w:val="22"/>
          <w:szCs w:val="22"/>
        </w:rPr>
        <w:t xml:space="preserve"> контрол</w:t>
      </w:r>
      <w:r w:rsidR="007D4D6D" w:rsidRPr="00027F0A">
        <w:rPr>
          <w:sz w:val="22"/>
          <w:szCs w:val="22"/>
        </w:rPr>
        <w:t>ю</w:t>
      </w:r>
      <w:r w:rsidRPr="00027F0A">
        <w:rPr>
          <w:sz w:val="22"/>
          <w:szCs w:val="22"/>
        </w:rPr>
        <w:t xml:space="preserve"> та запобігання шахрайству у відповідності до національного законодавства та міжнародних стандартів, </w:t>
      </w:r>
      <w:r w:rsidR="00554199" w:rsidRPr="00027F0A">
        <w:rPr>
          <w:sz w:val="22"/>
          <w:szCs w:val="22"/>
        </w:rPr>
        <w:t xml:space="preserve">службу </w:t>
      </w:r>
      <w:r w:rsidRPr="00027F0A">
        <w:rPr>
          <w:sz w:val="22"/>
          <w:szCs w:val="22"/>
        </w:rPr>
        <w:t>обслуговування клієнтів або надання технічної допомоги, мережу пунктів видачі/зняття готівки (</w:t>
      </w:r>
      <w:r w:rsidR="00554199">
        <w:rPr>
          <w:sz w:val="22"/>
          <w:szCs w:val="22"/>
        </w:rPr>
        <w:t>банкоматів</w:t>
      </w:r>
      <w:r w:rsidRPr="00027F0A">
        <w:rPr>
          <w:sz w:val="22"/>
          <w:szCs w:val="22"/>
        </w:rPr>
        <w:t>), а також персонального менеджера за контрактом/рахунком.</w:t>
      </w:r>
    </w:p>
    <w:p w14:paraId="00B147E6" w14:textId="77777777" w:rsidR="001742F8" w:rsidRPr="00027F0A" w:rsidRDefault="001742F8" w:rsidP="00B850C2">
      <w:pPr>
        <w:spacing w:after="0" w:line="240" w:lineRule="auto"/>
        <w:jc w:val="both"/>
        <w:rPr>
          <w:rFonts w:eastAsia="Times New Roman" w:cs="Arial"/>
          <w:color w:val="000000"/>
          <w:lang w:eastAsia="en-GB"/>
        </w:rPr>
      </w:pPr>
    </w:p>
    <w:p w14:paraId="70F0F9C6" w14:textId="291D7E61" w:rsidR="002205E6" w:rsidRPr="00027F0A" w:rsidRDefault="002205E6" w:rsidP="00B850C2">
      <w:pPr>
        <w:spacing w:after="0" w:line="240" w:lineRule="auto"/>
        <w:jc w:val="both"/>
        <w:rPr>
          <w:rFonts w:eastAsia="Times New Roman" w:cs="Arial"/>
          <w:i/>
          <w:color w:val="000000"/>
        </w:rPr>
      </w:pPr>
      <w:r w:rsidRPr="00027F0A">
        <w:rPr>
          <w:i/>
          <w:color w:val="000000"/>
        </w:rPr>
        <w:t>Особливі потреби:</w:t>
      </w:r>
    </w:p>
    <w:p w14:paraId="1151637C" w14:textId="6E11C47C" w:rsidR="003930C7" w:rsidRPr="00027F0A" w:rsidRDefault="003930C7" w:rsidP="00B850C2">
      <w:pPr>
        <w:pStyle w:val="ListParagraph"/>
        <w:numPr>
          <w:ilvl w:val="0"/>
          <w:numId w:val="14"/>
        </w:numPr>
        <w:spacing w:before="0" w:beforeAutospacing="0" w:after="0" w:afterAutospacing="0"/>
        <w:jc w:val="both"/>
        <w:rPr>
          <w:rFonts w:asciiTheme="minorHAnsi" w:hAnsiTheme="minorHAnsi" w:cs="Arial"/>
          <w:sz w:val="22"/>
          <w:szCs w:val="22"/>
        </w:rPr>
      </w:pPr>
      <w:r w:rsidRPr="00027F0A">
        <w:rPr>
          <w:rFonts w:asciiTheme="minorHAnsi" w:hAnsiTheme="minorHAnsi"/>
          <w:sz w:val="22"/>
          <w:szCs w:val="22"/>
        </w:rPr>
        <w:t xml:space="preserve">Повний пакет послуг електронного </w:t>
      </w:r>
      <w:proofErr w:type="spellStart"/>
      <w:r w:rsidRPr="00027F0A">
        <w:rPr>
          <w:rFonts w:asciiTheme="minorHAnsi" w:hAnsiTheme="minorHAnsi"/>
          <w:sz w:val="22"/>
          <w:szCs w:val="22"/>
        </w:rPr>
        <w:t>банкінгу</w:t>
      </w:r>
      <w:proofErr w:type="spellEnd"/>
      <w:r w:rsidRPr="00027F0A">
        <w:rPr>
          <w:rFonts w:asciiTheme="minorHAnsi" w:hAnsiTheme="minorHAnsi"/>
          <w:sz w:val="22"/>
          <w:szCs w:val="22"/>
        </w:rPr>
        <w:t xml:space="preserve"> з онлайн-доступом УВКБ ООН в якості клієнта до всіх рахунків та субрахунків за контрактом у будь-який час («24/7»).</w:t>
      </w:r>
    </w:p>
    <w:p w14:paraId="55C82CCC" w14:textId="52DB2E22" w:rsidR="00F8234C" w:rsidRPr="00027F0A" w:rsidRDefault="003F7907" w:rsidP="00B850C2">
      <w:pPr>
        <w:pStyle w:val="ListParagraph"/>
        <w:numPr>
          <w:ilvl w:val="0"/>
          <w:numId w:val="14"/>
        </w:numPr>
        <w:spacing w:before="0" w:beforeAutospacing="0" w:after="0" w:afterAutospacing="0"/>
        <w:jc w:val="both"/>
        <w:rPr>
          <w:rFonts w:asciiTheme="minorHAnsi" w:hAnsiTheme="minorHAnsi" w:cs="Arial"/>
          <w:sz w:val="22"/>
          <w:szCs w:val="22"/>
        </w:rPr>
      </w:pPr>
      <w:r w:rsidRPr="00027F0A">
        <w:rPr>
          <w:rFonts w:asciiTheme="minorHAnsi" w:hAnsiTheme="minorHAnsi"/>
          <w:sz w:val="22"/>
          <w:szCs w:val="22"/>
        </w:rPr>
        <w:t>Один основний банківський рахунок у гривні.</w:t>
      </w:r>
    </w:p>
    <w:p w14:paraId="1CE840D8" w14:textId="3294180E" w:rsidR="00F8234C" w:rsidRPr="00027F0A" w:rsidRDefault="00F8234C" w:rsidP="00B850C2">
      <w:pPr>
        <w:pStyle w:val="ListParagraph"/>
        <w:numPr>
          <w:ilvl w:val="0"/>
          <w:numId w:val="14"/>
        </w:numPr>
        <w:spacing w:before="0" w:beforeAutospacing="0" w:after="0" w:afterAutospacing="0"/>
        <w:jc w:val="both"/>
        <w:rPr>
          <w:rFonts w:asciiTheme="minorHAnsi" w:hAnsiTheme="minorHAnsi" w:cs="Arial"/>
          <w:sz w:val="22"/>
          <w:szCs w:val="22"/>
        </w:rPr>
      </w:pPr>
      <w:r w:rsidRPr="00027F0A">
        <w:rPr>
          <w:rFonts w:asciiTheme="minorHAnsi" w:hAnsiTheme="minorHAnsi"/>
          <w:sz w:val="22"/>
          <w:szCs w:val="22"/>
        </w:rPr>
        <w:t>Основний банківський рахунок прив'язаний до низки субрахунків в гривні, як визначено клієнтом та із конкретними функціональними можливостями.</w:t>
      </w:r>
    </w:p>
    <w:p w14:paraId="36C534CF" w14:textId="110A07F5" w:rsidR="003F7907" w:rsidRPr="00027F0A" w:rsidRDefault="00F8234C" w:rsidP="00643336">
      <w:pPr>
        <w:pStyle w:val="ListParagraph"/>
        <w:numPr>
          <w:ilvl w:val="0"/>
          <w:numId w:val="14"/>
        </w:numPr>
        <w:spacing w:before="0" w:beforeAutospacing="0" w:after="0" w:afterAutospacing="0"/>
        <w:jc w:val="both"/>
        <w:rPr>
          <w:rFonts w:asciiTheme="minorHAnsi" w:hAnsiTheme="minorHAnsi" w:cs="Arial"/>
          <w:sz w:val="22"/>
          <w:szCs w:val="22"/>
        </w:rPr>
      </w:pPr>
      <w:r w:rsidRPr="00027F0A">
        <w:rPr>
          <w:rFonts w:asciiTheme="minorHAnsi" w:hAnsiTheme="minorHAnsi"/>
          <w:sz w:val="22"/>
          <w:szCs w:val="22"/>
        </w:rPr>
        <w:t xml:space="preserve">Вимоги до функціональних можливостей субрахунків </w:t>
      </w:r>
      <w:r w:rsidR="00554199">
        <w:rPr>
          <w:rFonts w:asciiTheme="minorHAnsi" w:hAnsiTheme="minorHAnsi"/>
          <w:sz w:val="22"/>
          <w:szCs w:val="22"/>
        </w:rPr>
        <w:t>передбачають наступне</w:t>
      </w:r>
      <w:r w:rsidRPr="00027F0A">
        <w:rPr>
          <w:rFonts w:asciiTheme="minorHAnsi" w:hAnsiTheme="minorHAnsi"/>
          <w:sz w:val="22"/>
          <w:szCs w:val="22"/>
        </w:rPr>
        <w:t xml:space="preserve"> </w:t>
      </w:r>
      <w:r w:rsidR="000C6339" w:rsidRPr="00027F0A">
        <w:rPr>
          <w:rFonts w:asciiTheme="minorHAnsi" w:hAnsiTheme="minorHAnsi"/>
          <w:sz w:val="22"/>
          <w:szCs w:val="22"/>
        </w:rPr>
        <w:t>(</w:t>
      </w:r>
      <w:r w:rsidR="00441B01">
        <w:rPr>
          <w:rFonts w:asciiTheme="minorHAnsi" w:hAnsiTheme="minorHAnsi"/>
          <w:sz w:val="22"/>
          <w:szCs w:val="22"/>
        </w:rPr>
        <w:t>список не є вичерпним</w:t>
      </w:r>
      <w:r w:rsidR="000C6339" w:rsidRPr="00027F0A">
        <w:rPr>
          <w:rFonts w:asciiTheme="minorHAnsi" w:hAnsiTheme="minorHAnsi"/>
          <w:sz w:val="22"/>
          <w:szCs w:val="22"/>
        </w:rPr>
        <w:t>)</w:t>
      </w:r>
      <w:r w:rsidRPr="00027F0A">
        <w:rPr>
          <w:rFonts w:asciiTheme="minorHAnsi" w:hAnsiTheme="minorHAnsi"/>
          <w:sz w:val="22"/>
          <w:szCs w:val="22"/>
        </w:rPr>
        <w:t xml:space="preserve">: зняття коштів, переказ коштів між основним рахунком та субрахунками </w:t>
      </w:r>
      <w:r w:rsidRPr="00441B01">
        <w:rPr>
          <w:rFonts w:asciiTheme="minorHAnsi" w:hAnsiTheme="minorHAnsi"/>
          <w:sz w:val="22"/>
          <w:szCs w:val="22"/>
        </w:rPr>
        <w:t xml:space="preserve">в той </w:t>
      </w:r>
      <w:r w:rsidR="00441B01">
        <w:rPr>
          <w:rFonts w:asciiTheme="minorHAnsi" w:hAnsiTheme="minorHAnsi"/>
          <w:sz w:val="22"/>
          <w:szCs w:val="22"/>
        </w:rPr>
        <w:t>самий</w:t>
      </w:r>
      <w:r w:rsidRPr="00027F0A">
        <w:rPr>
          <w:rFonts w:asciiTheme="minorHAnsi" w:hAnsiTheme="minorHAnsi"/>
          <w:sz w:val="22"/>
          <w:szCs w:val="22"/>
        </w:rPr>
        <w:t xml:space="preserve"> день, переказ коштів між субрахунками в той </w:t>
      </w:r>
      <w:r w:rsidR="00441B01">
        <w:rPr>
          <w:rFonts w:asciiTheme="minorHAnsi" w:hAnsiTheme="minorHAnsi"/>
          <w:sz w:val="22"/>
          <w:szCs w:val="22"/>
        </w:rPr>
        <w:t xml:space="preserve">самий </w:t>
      </w:r>
      <w:r w:rsidRPr="00027F0A">
        <w:rPr>
          <w:rFonts w:asciiTheme="minorHAnsi" w:hAnsiTheme="minorHAnsi"/>
          <w:sz w:val="22"/>
          <w:szCs w:val="22"/>
        </w:rPr>
        <w:t xml:space="preserve">день, а також детальні звіти щодо транзакцій та залишків в той </w:t>
      </w:r>
      <w:r w:rsidR="00441B01">
        <w:rPr>
          <w:rFonts w:asciiTheme="minorHAnsi" w:hAnsiTheme="minorHAnsi"/>
          <w:sz w:val="22"/>
          <w:szCs w:val="22"/>
        </w:rPr>
        <w:t>самий</w:t>
      </w:r>
      <w:r w:rsidRPr="00027F0A">
        <w:rPr>
          <w:rFonts w:asciiTheme="minorHAnsi" w:hAnsiTheme="minorHAnsi"/>
          <w:sz w:val="22"/>
          <w:szCs w:val="22"/>
        </w:rPr>
        <w:t xml:space="preserve"> день</w:t>
      </w:r>
      <w:r w:rsidR="00441B01">
        <w:rPr>
          <w:rFonts w:asciiTheme="minorHAnsi" w:hAnsiTheme="minorHAnsi"/>
          <w:sz w:val="22"/>
          <w:szCs w:val="22"/>
        </w:rPr>
        <w:t xml:space="preserve"> в</w:t>
      </w:r>
      <w:r w:rsidRPr="00027F0A">
        <w:rPr>
          <w:rFonts w:asciiTheme="minorHAnsi" w:hAnsiTheme="minorHAnsi"/>
          <w:sz w:val="22"/>
          <w:szCs w:val="22"/>
        </w:rPr>
        <w:t xml:space="preserve"> як</w:t>
      </w:r>
      <w:r w:rsidR="00441B01" w:rsidRPr="00027F0A">
        <w:rPr>
          <w:rFonts w:asciiTheme="minorHAnsi" w:hAnsiTheme="minorHAnsi"/>
          <w:sz w:val="22"/>
          <w:szCs w:val="22"/>
        </w:rPr>
        <w:t>ості</w:t>
      </w:r>
      <w:r w:rsidRPr="00027F0A">
        <w:rPr>
          <w:rFonts w:asciiTheme="minorHAnsi" w:hAnsiTheme="minorHAnsi"/>
          <w:sz w:val="22"/>
          <w:szCs w:val="22"/>
        </w:rPr>
        <w:t xml:space="preserve"> можлив</w:t>
      </w:r>
      <w:r w:rsidR="00441B01" w:rsidRPr="00027F0A">
        <w:rPr>
          <w:rFonts w:asciiTheme="minorHAnsi" w:hAnsiTheme="minorHAnsi"/>
          <w:sz w:val="22"/>
          <w:szCs w:val="22"/>
        </w:rPr>
        <w:t>о</w:t>
      </w:r>
      <w:r w:rsidRPr="00027F0A">
        <w:rPr>
          <w:rFonts w:asciiTheme="minorHAnsi" w:hAnsiTheme="minorHAnsi"/>
          <w:sz w:val="22"/>
          <w:szCs w:val="22"/>
        </w:rPr>
        <w:t>ст</w:t>
      </w:r>
      <w:r w:rsidR="00441B01" w:rsidRPr="00027F0A">
        <w:rPr>
          <w:rFonts w:asciiTheme="minorHAnsi" w:hAnsiTheme="minorHAnsi"/>
          <w:sz w:val="22"/>
          <w:szCs w:val="22"/>
        </w:rPr>
        <w:t>і</w:t>
      </w:r>
      <w:r w:rsidRPr="00027F0A">
        <w:rPr>
          <w:rFonts w:asciiTheme="minorHAnsi" w:hAnsiTheme="minorHAnsi"/>
          <w:sz w:val="22"/>
          <w:szCs w:val="22"/>
        </w:rPr>
        <w:t xml:space="preserve"> самообслуговування клієнта (онлайн перегляд та завантаження у </w:t>
      </w:r>
      <w:r w:rsidR="00643336" w:rsidRPr="00643336">
        <w:rPr>
          <w:rFonts w:asciiTheme="minorHAnsi" w:hAnsiTheme="minorHAnsi"/>
          <w:sz w:val="22"/>
          <w:szCs w:val="22"/>
        </w:rPr>
        <w:t>файл</w:t>
      </w:r>
      <w:r w:rsidR="002E0428">
        <w:rPr>
          <w:rFonts w:asciiTheme="minorHAnsi" w:hAnsiTheme="minorHAnsi"/>
          <w:sz w:val="22"/>
          <w:szCs w:val="22"/>
        </w:rPr>
        <w:t>і</w:t>
      </w:r>
      <w:r w:rsidR="00643336" w:rsidRPr="00643336">
        <w:rPr>
          <w:rFonts w:asciiTheme="minorHAnsi" w:hAnsiTheme="minorHAnsi"/>
          <w:sz w:val="22"/>
          <w:szCs w:val="22"/>
        </w:rPr>
        <w:t xml:space="preserve">, </w:t>
      </w:r>
      <w:r w:rsidR="002E0428" w:rsidRPr="00643336">
        <w:rPr>
          <w:rFonts w:asciiTheme="minorHAnsi" w:hAnsiTheme="minorHAnsi"/>
          <w:sz w:val="22"/>
          <w:szCs w:val="22"/>
        </w:rPr>
        <w:t>формат</w:t>
      </w:r>
      <w:r w:rsidR="002E0428">
        <w:rPr>
          <w:rFonts w:asciiTheme="minorHAnsi" w:hAnsiTheme="minorHAnsi"/>
          <w:sz w:val="22"/>
          <w:szCs w:val="22"/>
        </w:rPr>
        <w:t xml:space="preserve"> якого</w:t>
      </w:r>
      <w:r w:rsidR="002E0428" w:rsidRPr="00643336">
        <w:rPr>
          <w:rFonts w:asciiTheme="minorHAnsi" w:hAnsiTheme="minorHAnsi"/>
          <w:sz w:val="22"/>
          <w:szCs w:val="22"/>
        </w:rPr>
        <w:t xml:space="preserve"> </w:t>
      </w:r>
      <w:r w:rsidR="00643336" w:rsidRPr="00643336">
        <w:rPr>
          <w:rFonts w:asciiTheme="minorHAnsi" w:hAnsiTheme="minorHAnsi"/>
          <w:sz w:val="22"/>
          <w:szCs w:val="22"/>
        </w:rPr>
        <w:t>сумісний з ERP-системою клієнта</w:t>
      </w:r>
      <w:r w:rsidRPr="00027F0A">
        <w:rPr>
          <w:rFonts w:asciiTheme="minorHAnsi" w:hAnsiTheme="minorHAnsi"/>
          <w:sz w:val="22"/>
          <w:szCs w:val="22"/>
        </w:rPr>
        <w:t xml:space="preserve">). </w:t>
      </w:r>
    </w:p>
    <w:p w14:paraId="766B986A" w14:textId="2A01D121" w:rsidR="001979B2" w:rsidRPr="00027F0A" w:rsidRDefault="001979B2" w:rsidP="00EF31AD">
      <w:pPr>
        <w:pStyle w:val="ListParagraph"/>
        <w:numPr>
          <w:ilvl w:val="0"/>
          <w:numId w:val="14"/>
        </w:numPr>
        <w:spacing w:before="0" w:beforeAutospacing="0" w:after="0" w:afterAutospacing="0"/>
        <w:jc w:val="both"/>
        <w:rPr>
          <w:rFonts w:asciiTheme="minorHAnsi" w:hAnsiTheme="minorHAnsi" w:cs="Arial"/>
          <w:sz w:val="22"/>
          <w:szCs w:val="22"/>
        </w:rPr>
      </w:pPr>
      <w:r w:rsidRPr="00027F0A">
        <w:rPr>
          <w:rFonts w:asciiTheme="minorHAnsi" w:hAnsiTheme="minorHAnsi"/>
          <w:sz w:val="22"/>
          <w:szCs w:val="22"/>
        </w:rPr>
        <w:t xml:space="preserve">Поповнення кожного субрахунку </w:t>
      </w:r>
      <w:r w:rsidR="00EF31AD" w:rsidRPr="00EF31AD">
        <w:rPr>
          <w:rFonts w:asciiTheme="minorHAnsi" w:hAnsiTheme="minorHAnsi"/>
          <w:sz w:val="22"/>
          <w:szCs w:val="22"/>
        </w:rPr>
        <w:t>здійснюється через зашифрован</w:t>
      </w:r>
      <w:r w:rsidR="009C0E03">
        <w:rPr>
          <w:rFonts w:asciiTheme="minorHAnsi" w:hAnsiTheme="minorHAnsi"/>
          <w:sz w:val="22"/>
          <w:szCs w:val="22"/>
        </w:rPr>
        <w:t>ий</w:t>
      </w:r>
      <w:r w:rsidR="00EF31AD" w:rsidRPr="00EF31AD">
        <w:rPr>
          <w:rFonts w:asciiTheme="minorHAnsi" w:hAnsiTheme="minorHAnsi"/>
          <w:sz w:val="22"/>
          <w:szCs w:val="22"/>
        </w:rPr>
        <w:t xml:space="preserve"> файл</w:t>
      </w:r>
      <w:r w:rsidR="00731CD9">
        <w:rPr>
          <w:rFonts w:asciiTheme="minorHAnsi" w:hAnsiTheme="minorHAnsi"/>
          <w:sz w:val="22"/>
          <w:szCs w:val="22"/>
        </w:rPr>
        <w:t>, як</w:t>
      </w:r>
      <w:r w:rsidR="0038615C">
        <w:rPr>
          <w:rFonts w:asciiTheme="minorHAnsi" w:hAnsiTheme="minorHAnsi"/>
          <w:sz w:val="22"/>
          <w:szCs w:val="22"/>
        </w:rPr>
        <w:t>ий</w:t>
      </w:r>
      <w:r w:rsidR="00731CD9">
        <w:rPr>
          <w:rFonts w:asciiTheme="minorHAnsi" w:hAnsiTheme="minorHAnsi"/>
          <w:sz w:val="22"/>
          <w:szCs w:val="22"/>
        </w:rPr>
        <w:t xml:space="preserve"> </w:t>
      </w:r>
      <w:r w:rsidR="009C0E03" w:rsidRPr="00EF31AD">
        <w:rPr>
          <w:rFonts w:asciiTheme="minorHAnsi" w:hAnsiTheme="minorHAnsi"/>
          <w:sz w:val="22"/>
          <w:szCs w:val="22"/>
        </w:rPr>
        <w:t>через захищений канал</w:t>
      </w:r>
      <w:r w:rsidR="009C0E03">
        <w:rPr>
          <w:rFonts w:asciiTheme="minorHAnsi" w:hAnsiTheme="minorHAnsi"/>
          <w:sz w:val="22"/>
          <w:szCs w:val="22"/>
        </w:rPr>
        <w:t xml:space="preserve"> </w:t>
      </w:r>
      <w:r w:rsidR="00731CD9">
        <w:rPr>
          <w:rFonts w:asciiTheme="minorHAnsi" w:hAnsiTheme="minorHAnsi"/>
          <w:sz w:val="22"/>
          <w:szCs w:val="22"/>
        </w:rPr>
        <w:t>завантажує клієнт, або</w:t>
      </w:r>
      <w:r w:rsidRPr="00027F0A">
        <w:rPr>
          <w:rFonts w:asciiTheme="minorHAnsi" w:hAnsiTheme="minorHAnsi"/>
          <w:sz w:val="22"/>
          <w:szCs w:val="22"/>
        </w:rPr>
        <w:t xml:space="preserve"> </w:t>
      </w:r>
      <w:r w:rsidR="00731CD9" w:rsidRPr="00027F0A">
        <w:rPr>
          <w:rFonts w:asciiTheme="minorHAnsi" w:hAnsiTheme="minorHAnsi"/>
          <w:sz w:val="22"/>
          <w:szCs w:val="22"/>
        </w:rPr>
        <w:t xml:space="preserve">менеджер ПФП за рахунком </w:t>
      </w:r>
      <w:r w:rsidR="009C0E03">
        <w:rPr>
          <w:rFonts w:asciiTheme="minorHAnsi" w:hAnsiTheme="minorHAnsi"/>
          <w:sz w:val="22"/>
          <w:szCs w:val="22"/>
        </w:rPr>
        <w:t>на прохання клієнта</w:t>
      </w:r>
      <w:r w:rsidRPr="00027F0A">
        <w:rPr>
          <w:rFonts w:asciiTheme="minorHAnsi" w:hAnsiTheme="minorHAnsi"/>
          <w:sz w:val="22"/>
          <w:szCs w:val="22"/>
        </w:rPr>
        <w:t xml:space="preserve">. </w:t>
      </w:r>
    </w:p>
    <w:p w14:paraId="6BA2F66B" w14:textId="49F179C9" w:rsidR="00F8234C" w:rsidRPr="00027F0A" w:rsidRDefault="0029244A" w:rsidP="00AD048B">
      <w:pPr>
        <w:pStyle w:val="ListParagraph"/>
        <w:numPr>
          <w:ilvl w:val="0"/>
          <w:numId w:val="14"/>
        </w:numPr>
        <w:spacing w:before="0" w:beforeAutospacing="0" w:after="0" w:afterAutospacing="0"/>
        <w:jc w:val="both"/>
        <w:rPr>
          <w:rFonts w:asciiTheme="minorHAnsi" w:hAnsiTheme="minorHAnsi" w:cs="Arial"/>
          <w:sz w:val="22"/>
          <w:szCs w:val="22"/>
        </w:rPr>
      </w:pPr>
      <w:r>
        <w:rPr>
          <w:rFonts w:asciiTheme="minorHAnsi" w:hAnsiTheme="minorHAnsi"/>
          <w:sz w:val="22"/>
          <w:szCs w:val="22"/>
        </w:rPr>
        <w:lastRenderedPageBreak/>
        <w:t>Надання</w:t>
      </w:r>
      <w:r w:rsidR="00F8234C" w:rsidRPr="00027F0A">
        <w:rPr>
          <w:rFonts w:asciiTheme="minorHAnsi" w:hAnsiTheme="minorHAnsi"/>
          <w:sz w:val="22"/>
          <w:szCs w:val="22"/>
        </w:rPr>
        <w:t xml:space="preserve"> дебетових карток </w:t>
      </w:r>
      <w:r w:rsidR="00AD048B" w:rsidRPr="00AD048B">
        <w:rPr>
          <w:rFonts w:asciiTheme="minorHAnsi" w:hAnsiTheme="minorHAnsi"/>
          <w:sz w:val="22"/>
          <w:szCs w:val="22"/>
        </w:rPr>
        <w:t>з функцією PIN</w:t>
      </w:r>
      <w:r w:rsidR="00B05048">
        <w:rPr>
          <w:rFonts w:asciiTheme="minorHAnsi" w:hAnsiTheme="minorHAnsi"/>
          <w:sz w:val="22"/>
          <w:szCs w:val="22"/>
        </w:rPr>
        <w:t>-коду</w:t>
      </w:r>
      <w:r w:rsidR="00AD048B" w:rsidRPr="00AD048B">
        <w:rPr>
          <w:rFonts w:asciiTheme="minorHAnsi" w:hAnsiTheme="minorHAnsi"/>
          <w:sz w:val="22"/>
          <w:szCs w:val="22"/>
        </w:rPr>
        <w:t xml:space="preserve"> для </w:t>
      </w:r>
      <w:r w:rsidR="00B05048">
        <w:rPr>
          <w:rFonts w:asciiTheme="minorHAnsi" w:hAnsiTheme="minorHAnsi"/>
          <w:sz w:val="22"/>
          <w:szCs w:val="22"/>
        </w:rPr>
        <w:t>зняття коштів</w:t>
      </w:r>
      <w:r w:rsidR="00AD048B">
        <w:rPr>
          <w:rFonts w:asciiTheme="minorHAnsi" w:hAnsiTheme="minorHAnsi"/>
          <w:sz w:val="22"/>
          <w:szCs w:val="22"/>
        </w:rPr>
        <w:t xml:space="preserve"> через</w:t>
      </w:r>
      <w:r w:rsidR="00AD048B" w:rsidRPr="00AD048B">
        <w:rPr>
          <w:rFonts w:asciiTheme="minorHAnsi" w:hAnsiTheme="minorHAnsi"/>
          <w:sz w:val="22"/>
          <w:szCs w:val="22"/>
        </w:rPr>
        <w:t xml:space="preserve"> банкомат</w:t>
      </w:r>
      <w:r w:rsidR="00AD048B">
        <w:rPr>
          <w:rFonts w:asciiTheme="minorHAnsi" w:hAnsiTheme="minorHAnsi"/>
          <w:sz w:val="22"/>
          <w:szCs w:val="22"/>
        </w:rPr>
        <w:t>и</w:t>
      </w:r>
      <w:r w:rsidR="00AD048B" w:rsidRPr="00AD048B">
        <w:rPr>
          <w:rFonts w:asciiTheme="minorHAnsi" w:hAnsiTheme="minorHAnsi"/>
          <w:sz w:val="22"/>
          <w:szCs w:val="22"/>
        </w:rPr>
        <w:t xml:space="preserve"> та точки продажу </w:t>
      </w:r>
      <w:r w:rsidR="00F8234C" w:rsidRPr="00027F0A">
        <w:rPr>
          <w:rFonts w:asciiTheme="minorHAnsi" w:hAnsiTheme="minorHAnsi"/>
          <w:sz w:val="22"/>
          <w:szCs w:val="22"/>
        </w:rPr>
        <w:t>в кількості, що еквівалентна кількості субрахунків, та із строком дійсності принаймні два роки. Кожна дебетова картка прив'язана до конкретного субрахунку та поставляється клієнту готовою до використання. Ці дебетові картки не персоналізован</w:t>
      </w:r>
      <w:r w:rsidR="000C6339" w:rsidRPr="00027F0A">
        <w:rPr>
          <w:rFonts w:asciiTheme="minorHAnsi" w:hAnsiTheme="minorHAnsi"/>
          <w:sz w:val="22"/>
          <w:szCs w:val="22"/>
        </w:rPr>
        <w:t>і</w:t>
      </w:r>
      <w:r w:rsidR="00F8234C" w:rsidRPr="00027F0A">
        <w:rPr>
          <w:rFonts w:asciiTheme="minorHAnsi" w:hAnsiTheme="minorHAnsi"/>
          <w:sz w:val="22"/>
          <w:szCs w:val="22"/>
        </w:rPr>
        <w:t xml:space="preserve">, але можуть бути адаптовані з урахуванням потреб клієнта та на його прохання. </w:t>
      </w:r>
    </w:p>
    <w:p w14:paraId="442E4993" w14:textId="0C2E6946" w:rsidR="008C7BFF" w:rsidRPr="00027F0A" w:rsidRDefault="001979B2" w:rsidP="00B850C2">
      <w:pPr>
        <w:pStyle w:val="ListParagraph"/>
        <w:numPr>
          <w:ilvl w:val="0"/>
          <w:numId w:val="14"/>
        </w:numPr>
        <w:spacing w:before="0" w:beforeAutospacing="0" w:after="0" w:afterAutospacing="0"/>
        <w:jc w:val="both"/>
        <w:rPr>
          <w:rFonts w:asciiTheme="minorHAnsi" w:hAnsiTheme="minorHAnsi" w:cs="Arial"/>
          <w:sz w:val="22"/>
          <w:szCs w:val="22"/>
        </w:rPr>
      </w:pPr>
      <w:r w:rsidRPr="00027F0A">
        <w:rPr>
          <w:rFonts w:asciiTheme="minorHAnsi" w:hAnsiTheme="minorHAnsi"/>
          <w:sz w:val="22"/>
          <w:szCs w:val="22"/>
        </w:rPr>
        <w:t>Щомісячні банківські виписки з детальними звітами щодо транзакцій за основним рахунком та субрахунками.</w:t>
      </w:r>
    </w:p>
    <w:p w14:paraId="48A03C5B" w14:textId="14C4DC0E" w:rsidR="00C41D4C" w:rsidRPr="00027F0A" w:rsidRDefault="008C7BFF" w:rsidP="00B850C2">
      <w:pPr>
        <w:pStyle w:val="ListParagraph"/>
        <w:numPr>
          <w:ilvl w:val="0"/>
          <w:numId w:val="14"/>
        </w:numPr>
        <w:spacing w:before="0" w:beforeAutospacing="0" w:after="0" w:afterAutospacing="0"/>
        <w:jc w:val="both"/>
        <w:rPr>
          <w:rFonts w:asciiTheme="minorHAnsi" w:hAnsiTheme="minorHAnsi" w:cs="Arial"/>
          <w:sz w:val="22"/>
          <w:szCs w:val="22"/>
        </w:rPr>
      </w:pPr>
      <w:r w:rsidRPr="00027F0A">
        <w:rPr>
          <w:rFonts w:asciiTheme="minorHAnsi" w:hAnsiTheme="minorHAnsi"/>
          <w:sz w:val="22"/>
          <w:szCs w:val="22"/>
        </w:rPr>
        <w:t xml:space="preserve">Факультативно: Спеціальні банківські виписки на прохання клієнта з метою сприяння внутрішньому закриттю рахунків клієнта (орієнтовна частота: раз на квартал). </w:t>
      </w:r>
    </w:p>
    <w:p w14:paraId="1505B013" w14:textId="77777777" w:rsidR="00851D86" w:rsidRPr="00027F0A" w:rsidRDefault="00851D86" w:rsidP="00851D86">
      <w:pPr>
        <w:spacing w:after="0"/>
        <w:ind w:left="360"/>
        <w:jc w:val="both"/>
        <w:rPr>
          <w:rFonts w:cs="Arial"/>
        </w:rPr>
      </w:pPr>
    </w:p>
    <w:p w14:paraId="5CD3EB50" w14:textId="648EDD64" w:rsidR="002205E6" w:rsidRPr="00027F0A" w:rsidRDefault="002205E6" w:rsidP="00B850C2">
      <w:pPr>
        <w:spacing w:after="0" w:line="240" w:lineRule="auto"/>
        <w:jc w:val="both"/>
        <w:rPr>
          <w:rFonts w:eastAsia="Times New Roman" w:cs="Arial"/>
          <w:i/>
          <w:color w:val="000000"/>
        </w:rPr>
      </w:pPr>
      <w:r w:rsidRPr="00027F0A">
        <w:rPr>
          <w:i/>
          <w:color w:val="000000"/>
        </w:rPr>
        <w:t>Географічне охоплення:</w:t>
      </w:r>
    </w:p>
    <w:p w14:paraId="6774C403" w14:textId="791F0077" w:rsidR="002205E6" w:rsidRPr="00027F0A" w:rsidRDefault="002205E6" w:rsidP="00B850C2">
      <w:pPr>
        <w:spacing w:after="0" w:line="240" w:lineRule="auto"/>
        <w:jc w:val="both"/>
        <w:rPr>
          <w:rFonts w:eastAsia="Arial Unicode MS" w:cs="Arial"/>
          <w:u w:val="single"/>
        </w:rPr>
      </w:pPr>
      <w:r w:rsidRPr="00027F0A">
        <w:rPr>
          <w:color w:val="000000"/>
        </w:rPr>
        <w:t>Лот 1:</w:t>
      </w:r>
      <w:r w:rsidRPr="00027F0A">
        <w:rPr>
          <w:color w:val="000000"/>
        </w:rPr>
        <w:tab/>
      </w:r>
      <w:r w:rsidRPr="00027F0A">
        <w:rPr>
          <w:u w:val="single"/>
        </w:rPr>
        <w:t>Київ та Київська область, Одеса та Одеська область, Харків та Харківська область, Ужгород та Закарпатська область, Львів та Львівська область.</w:t>
      </w:r>
    </w:p>
    <w:p w14:paraId="6A37C8CB" w14:textId="6E0954BB" w:rsidR="00470AF7" w:rsidRPr="00027F0A" w:rsidRDefault="00470AF7" w:rsidP="00B850C2">
      <w:pPr>
        <w:spacing w:after="0" w:line="240" w:lineRule="auto"/>
        <w:jc w:val="both"/>
        <w:rPr>
          <w:rFonts w:eastAsia="Arial Unicode MS" w:cs="Arial"/>
          <w:u w:val="single"/>
        </w:rPr>
      </w:pPr>
      <w:r w:rsidRPr="00027F0A">
        <w:rPr>
          <w:u w:val="single"/>
        </w:rPr>
        <w:t>Лот 2:</w:t>
      </w:r>
      <w:r w:rsidRPr="00027F0A">
        <w:rPr>
          <w:u w:val="single"/>
        </w:rPr>
        <w:tab/>
        <w:t xml:space="preserve">Вся Україна. Райони відповідно до Лоту 1, а також всі районні центри підконтрольної Уряду частини України. </w:t>
      </w:r>
    </w:p>
    <w:p w14:paraId="154655DF" w14:textId="15A451F8" w:rsidR="002205E6" w:rsidRPr="00027F0A" w:rsidRDefault="002205E6" w:rsidP="00B850C2">
      <w:pPr>
        <w:spacing w:after="0" w:line="240" w:lineRule="auto"/>
        <w:jc w:val="both"/>
        <w:rPr>
          <w:rFonts w:eastAsia="Times New Roman" w:cs="Arial"/>
          <w:color w:val="000000"/>
        </w:rPr>
      </w:pPr>
      <w:r w:rsidRPr="00027F0A">
        <w:rPr>
          <w:color w:val="000000"/>
        </w:rPr>
        <w:t>УВКБ ООН визнає, що, можливо, ПФП не може охопити всі необхідні географічні райони. </w:t>
      </w:r>
      <w:r w:rsidRPr="00027F0A">
        <w:t>Вашій компанії пропонується подати пропозицію для 1 або більшої кількості лотів, які найкраще відповідають вашим можливостям.</w:t>
      </w:r>
      <w:r w:rsidRPr="00027F0A">
        <w:rPr>
          <w:color w:val="000000"/>
        </w:rPr>
        <w:t> Однак, всі пропозиці</w:t>
      </w:r>
      <w:r w:rsidR="00441B01" w:rsidRPr="00027F0A">
        <w:rPr>
          <w:color w:val="000000"/>
        </w:rPr>
        <w:t>ї мають бути здатні</w:t>
      </w:r>
      <w:r w:rsidRPr="00027F0A">
        <w:rPr>
          <w:color w:val="000000"/>
        </w:rPr>
        <w:t xml:space="preserve"> охоп</w:t>
      </w:r>
      <w:r w:rsidR="00441B01" w:rsidRPr="00027F0A">
        <w:rPr>
          <w:color w:val="000000"/>
        </w:rPr>
        <w:t>ити</w:t>
      </w:r>
      <w:r w:rsidRPr="00027F0A">
        <w:rPr>
          <w:color w:val="000000"/>
        </w:rPr>
        <w:t xml:space="preserve"> всі </w:t>
      </w:r>
      <w:r w:rsidR="0029244A">
        <w:rPr>
          <w:color w:val="000000"/>
        </w:rPr>
        <w:t>регіони</w:t>
      </w:r>
      <w:r w:rsidRPr="00027F0A">
        <w:rPr>
          <w:color w:val="000000"/>
        </w:rPr>
        <w:t xml:space="preserve">, зазначені у лоті, щодо якого вони подаються.  </w:t>
      </w:r>
    </w:p>
    <w:p w14:paraId="4659018C" w14:textId="39F74668" w:rsidR="002205E6" w:rsidRPr="00027F0A" w:rsidRDefault="002205E6" w:rsidP="00B850C2">
      <w:pPr>
        <w:spacing w:after="0" w:line="240" w:lineRule="auto"/>
        <w:jc w:val="both"/>
        <w:rPr>
          <w:rFonts w:eastAsia="Times New Roman" w:cs="Arial"/>
          <w:color w:val="000000"/>
        </w:rPr>
      </w:pPr>
      <w:r w:rsidRPr="00027F0A">
        <w:rPr>
          <w:color w:val="000000"/>
        </w:rPr>
        <w:t>Якщо на даний момент в деяких місцях ПФП не має оперативн</w:t>
      </w:r>
      <w:r w:rsidR="00441B01">
        <w:rPr>
          <w:color w:val="000000"/>
        </w:rPr>
        <w:t>их можливостей</w:t>
      </w:r>
      <w:r w:rsidRPr="00027F0A">
        <w:rPr>
          <w:color w:val="000000"/>
        </w:rPr>
        <w:t>, це слід зазначити, вказавши максимальн</w:t>
      </w:r>
      <w:r w:rsidR="000C6339" w:rsidRPr="00027F0A">
        <w:rPr>
          <w:color w:val="000000"/>
        </w:rPr>
        <w:t>і строки</w:t>
      </w:r>
      <w:r w:rsidRPr="00027F0A">
        <w:rPr>
          <w:color w:val="000000"/>
        </w:rPr>
        <w:t>, впродовж як</w:t>
      </w:r>
      <w:r w:rsidR="000C6339" w:rsidRPr="00027F0A">
        <w:rPr>
          <w:color w:val="000000"/>
        </w:rPr>
        <w:t>их</w:t>
      </w:r>
      <w:r w:rsidRPr="00027F0A">
        <w:rPr>
          <w:color w:val="000000"/>
        </w:rPr>
        <w:t xml:space="preserve"> буде створена така оперативна спроможність. </w:t>
      </w:r>
      <w:r w:rsidR="00203B35" w:rsidRPr="00027F0A">
        <w:rPr>
          <w:color w:val="000000"/>
        </w:rPr>
        <w:t xml:space="preserve">Крім того, ПФП повинні надати інформацію щодо будь-яких партнерів/субпідрядників, </w:t>
      </w:r>
      <w:r w:rsidR="00203B35">
        <w:rPr>
          <w:color w:val="000000"/>
        </w:rPr>
        <w:t>якщо</w:t>
      </w:r>
      <w:r w:rsidR="00203B35" w:rsidRPr="00027F0A">
        <w:rPr>
          <w:color w:val="000000"/>
        </w:rPr>
        <w:t xml:space="preserve"> вони </w:t>
      </w:r>
      <w:r w:rsidR="00203B35">
        <w:rPr>
          <w:color w:val="000000"/>
        </w:rPr>
        <w:t>мають намір</w:t>
      </w:r>
      <w:r w:rsidR="00203B35" w:rsidRPr="00027F0A">
        <w:rPr>
          <w:color w:val="000000"/>
        </w:rPr>
        <w:t xml:space="preserve"> залучати </w:t>
      </w:r>
      <w:r w:rsidR="00203B35">
        <w:rPr>
          <w:color w:val="000000"/>
        </w:rPr>
        <w:t xml:space="preserve">їх </w:t>
      </w:r>
      <w:r w:rsidR="00203B35" w:rsidRPr="00027F0A">
        <w:rPr>
          <w:color w:val="000000"/>
        </w:rPr>
        <w:t>для розширення району надання послуг</w:t>
      </w:r>
      <w:r w:rsidRPr="00027F0A">
        <w:rPr>
          <w:color w:val="000000"/>
        </w:rPr>
        <w:t>.</w:t>
      </w:r>
    </w:p>
    <w:p w14:paraId="58C42EB2" w14:textId="77777777" w:rsidR="002205E6" w:rsidRPr="00027F0A" w:rsidRDefault="002205E6" w:rsidP="00B850C2">
      <w:pPr>
        <w:spacing w:after="0" w:line="240" w:lineRule="auto"/>
        <w:jc w:val="both"/>
        <w:rPr>
          <w:rFonts w:eastAsia="Times New Roman" w:cs="Arial"/>
          <w:color w:val="000000"/>
          <w:lang w:eastAsia="en-GB"/>
        </w:rPr>
      </w:pPr>
    </w:p>
    <w:p w14:paraId="204D921C" w14:textId="77777777" w:rsidR="00E60310" w:rsidRPr="00027F0A" w:rsidRDefault="00E60310" w:rsidP="00B850C2">
      <w:pPr>
        <w:spacing w:after="0" w:line="240" w:lineRule="auto"/>
        <w:jc w:val="both"/>
        <w:rPr>
          <w:rFonts w:eastAsia="Times New Roman" w:cs="Arial"/>
          <w:color w:val="000000"/>
          <w:lang w:eastAsia="en-GB"/>
        </w:rPr>
      </w:pPr>
    </w:p>
    <w:p w14:paraId="5E002166" w14:textId="3A7D21BA" w:rsidR="00196DE6" w:rsidRPr="00027F0A" w:rsidRDefault="00F503DA" w:rsidP="00B850C2">
      <w:pPr>
        <w:spacing w:after="0" w:line="240" w:lineRule="auto"/>
        <w:jc w:val="both"/>
        <w:rPr>
          <w:rFonts w:eastAsia="Times New Roman" w:cs="Arial"/>
          <w:color w:val="000000"/>
        </w:rPr>
      </w:pPr>
      <w:r w:rsidRPr="00027F0A">
        <w:rPr>
          <w:b/>
          <w:bCs/>
          <w:color w:val="000000"/>
        </w:rPr>
        <w:t>III.1. Обсяг та механізм переказів та виплат</w:t>
      </w:r>
    </w:p>
    <w:p w14:paraId="7CA63894" w14:textId="007FB58A" w:rsidR="005C0E68" w:rsidRPr="00027F0A" w:rsidRDefault="005C0E68" w:rsidP="00B850C2">
      <w:pPr>
        <w:spacing w:after="0" w:line="240" w:lineRule="auto"/>
        <w:jc w:val="both"/>
        <w:rPr>
          <w:rFonts w:cs="Arial"/>
        </w:rPr>
      </w:pPr>
      <w:r w:rsidRPr="00027F0A">
        <w:t>Щорічний загальний обсяг переказів, пов'язаних з цим ЗОП, за оцінками, становить від 350 000 до 500 000 доларів США в гривневому еквіваленті.</w:t>
      </w:r>
    </w:p>
    <w:p w14:paraId="25C40737" w14:textId="7BA30B84" w:rsidR="008748EB" w:rsidRPr="00027F0A" w:rsidRDefault="004F22AD" w:rsidP="00B850C2">
      <w:pPr>
        <w:spacing w:after="0" w:line="240" w:lineRule="auto"/>
        <w:jc w:val="both"/>
        <w:rPr>
          <w:rFonts w:cs="Arial"/>
        </w:rPr>
      </w:pPr>
      <w:r w:rsidRPr="00027F0A">
        <w:t>Клієнту має бути надан</w:t>
      </w:r>
      <w:r>
        <w:t>ий</w:t>
      </w:r>
      <w:r w:rsidRPr="00027F0A">
        <w:t xml:space="preserve"> основн</w:t>
      </w:r>
      <w:r>
        <w:t>ий</w:t>
      </w:r>
      <w:r w:rsidRPr="00027F0A">
        <w:t xml:space="preserve"> банківськ</w:t>
      </w:r>
      <w:r>
        <w:t>ий</w:t>
      </w:r>
      <w:r w:rsidRPr="00027F0A">
        <w:t xml:space="preserve"> рахун</w:t>
      </w:r>
      <w:r>
        <w:t>ок</w:t>
      </w:r>
      <w:r w:rsidRPr="00027F0A">
        <w:t xml:space="preserve">, а також до 4 000 </w:t>
      </w:r>
      <w:r>
        <w:t xml:space="preserve">прив’язаних до субрахунків </w:t>
      </w:r>
      <w:r w:rsidRPr="00027F0A">
        <w:t>готових до використання дебетових карток, як зазначено в III.2. Зберігання дебетових карток</w:t>
      </w:r>
      <w:r>
        <w:t xml:space="preserve"> і ПІН-кодів</w:t>
      </w:r>
      <w:r w:rsidRPr="00027F0A">
        <w:t xml:space="preserve"> та розпорядження ними здійснює клієнт (УВКБ ООН)</w:t>
      </w:r>
      <w:r w:rsidR="00C976E1" w:rsidRPr="00027F0A">
        <w:t>.</w:t>
      </w:r>
    </w:p>
    <w:p w14:paraId="7A754F23" w14:textId="6A719890" w:rsidR="00F330F3" w:rsidRPr="00027F0A" w:rsidRDefault="00F330F3" w:rsidP="00B850C2">
      <w:pPr>
        <w:spacing w:after="0" w:line="240" w:lineRule="auto"/>
        <w:jc w:val="both"/>
        <w:rPr>
          <w:rFonts w:cs="Arial"/>
        </w:rPr>
      </w:pPr>
      <w:r w:rsidRPr="00027F0A">
        <w:t xml:space="preserve">Кількість активних субрахунків та дебетових карток, за оцінками, становить приблизно </w:t>
      </w:r>
      <w:r w:rsidR="007C6230">
        <w:t>1,3</w:t>
      </w:r>
      <w:r w:rsidRPr="00027F0A">
        <w:t xml:space="preserve">00 одиниць на рік. Перша партія з </w:t>
      </w:r>
      <w:r w:rsidR="004F22AD">
        <w:t>1,300</w:t>
      </w:r>
      <w:r w:rsidRPr="00027F0A">
        <w:t xml:space="preserve"> готових до використання дебетових карток повинна бути доставлена клієнту протягом одного місяця від початку контракту. </w:t>
      </w:r>
    </w:p>
    <w:p w14:paraId="64168B48" w14:textId="6429C86E" w:rsidR="005C0E68" w:rsidRPr="00027F0A" w:rsidRDefault="005C0E68" w:rsidP="00B850C2">
      <w:pPr>
        <w:spacing w:after="0" w:line="240" w:lineRule="auto"/>
        <w:jc w:val="both"/>
        <w:rPr>
          <w:rFonts w:cs="Arial"/>
        </w:rPr>
      </w:pPr>
      <w:r w:rsidRPr="00027F0A">
        <w:t xml:space="preserve">Максимальна сума списання коштів з однієї картки не повинна перевищувати 145 000 гривень за одне зняття/переказ та на день. </w:t>
      </w:r>
    </w:p>
    <w:p w14:paraId="4D5BCC5A" w14:textId="4B3DC6FC" w:rsidR="00F330F3" w:rsidRPr="00027F0A" w:rsidRDefault="0029244A" w:rsidP="00B850C2">
      <w:pPr>
        <w:spacing w:after="0" w:line="240" w:lineRule="auto"/>
        <w:jc w:val="both"/>
        <w:rPr>
          <w:rFonts w:cs="Arial"/>
        </w:rPr>
      </w:pPr>
      <w:r>
        <w:t>Прогнозована ч</w:t>
      </w:r>
      <w:r w:rsidR="008B0CEF" w:rsidRPr="00027F0A">
        <w:t>астота поповнення УВКБ ООН основного рахунку звичайним банківським переказом</w:t>
      </w:r>
      <w:r>
        <w:t xml:space="preserve"> </w:t>
      </w:r>
      <w:r w:rsidR="008B0CEF" w:rsidRPr="00027F0A">
        <w:t xml:space="preserve">становить раз </w:t>
      </w:r>
      <w:r>
        <w:t xml:space="preserve">на </w:t>
      </w:r>
      <w:r w:rsidR="008B0CEF" w:rsidRPr="00027F0A">
        <w:t xml:space="preserve">місяць. </w:t>
      </w:r>
    </w:p>
    <w:p w14:paraId="252C2A99" w14:textId="3288DAF3" w:rsidR="005C0E68" w:rsidRPr="00027F0A" w:rsidRDefault="00FD2CE4" w:rsidP="00B850C2">
      <w:pPr>
        <w:spacing w:after="0" w:line="240" w:lineRule="auto"/>
        <w:jc w:val="both"/>
        <w:rPr>
          <w:rFonts w:cs="Arial"/>
        </w:rPr>
      </w:pPr>
      <w:r>
        <w:t>Прогнозована ч</w:t>
      </w:r>
      <w:r w:rsidRPr="00027F0A">
        <w:t>астота поповнення с</w:t>
      </w:r>
      <w:r>
        <w:t>убрахунків з основного рахунку</w:t>
      </w:r>
      <w:r w:rsidRPr="00027F0A">
        <w:t xml:space="preserve"> становить раз на місяць або рідше. Поповнення субрахунків буде здійснюватися за допомогою завантаження </w:t>
      </w:r>
      <w:r w:rsidRPr="00582BBC">
        <w:t xml:space="preserve">файлу, який передається за захищеним каналом </w:t>
      </w:r>
      <w:r>
        <w:t>УВКБ ООН</w:t>
      </w:r>
      <w:r w:rsidRPr="00582BBC">
        <w:t xml:space="preserve"> або, на прохання </w:t>
      </w:r>
      <w:r>
        <w:t>УВКБ ООН</w:t>
      </w:r>
      <w:r w:rsidRPr="00582BBC">
        <w:t>, менеджером ПФП за рахунком</w:t>
      </w:r>
      <w:r w:rsidR="005C0E68" w:rsidRPr="00027F0A">
        <w:t xml:space="preserve">. </w:t>
      </w:r>
    </w:p>
    <w:p w14:paraId="3F45977D" w14:textId="62ED46D4" w:rsidR="009D353C" w:rsidRPr="00027F0A" w:rsidRDefault="004B620E" w:rsidP="00B850C2">
      <w:pPr>
        <w:spacing w:after="0" w:line="240" w:lineRule="auto"/>
        <w:jc w:val="both"/>
        <w:rPr>
          <w:rFonts w:cs="Arial"/>
        </w:rPr>
      </w:pPr>
      <w:r w:rsidRPr="00027F0A">
        <w:t xml:space="preserve">У клієнта має бути можливість встановлення відкритого або обмеженого періоду зняття коштів для кожного субрахунку після поповнення, із забезпеченням багаторазового зняття часткових сум. Будь-який залишок коштів на субрахунку після завершення періоду зняття коштів має бути зараховано </w:t>
      </w:r>
      <w:r w:rsidR="00AD3C45">
        <w:t xml:space="preserve">зворотно </w:t>
      </w:r>
      <w:r w:rsidRPr="00027F0A">
        <w:t xml:space="preserve">на основний рахунок. </w:t>
      </w:r>
    </w:p>
    <w:p w14:paraId="5BA1265F" w14:textId="76E67ED4" w:rsidR="009D353C" w:rsidRPr="00027F0A" w:rsidRDefault="00DC0D17" w:rsidP="00B850C2">
      <w:pPr>
        <w:spacing w:after="0" w:line="240" w:lineRule="auto"/>
        <w:jc w:val="both"/>
        <w:rPr>
          <w:rFonts w:cs="Arial"/>
        </w:rPr>
      </w:pPr>
      <w:r w:rsidRPr="00027F0A">
        <w:t xml:space="preserve">Будь-який залишок коштів на субрахунку, прив'язаному до анульованої картки (крадіжка/втрата), має бути </w:t>
      </w:r>
      <w:r w:rsidR="0016134E">
        <w:t>повернений</w:t>
      </w:r>
      <w:r w:rsidR="00AD3C45">
        <w:t xml:space="preserve"> </w:t>
      </w:r>
      <w:r w:rsidRPr="00027F0A">
        <w:t xml:space="preserve">на основний рахунок, а відповідний субрахунок остаточно закритий. </w:t>
      </w:r>
    </w:p>
    <w:p w14:paraId="4E9AF96C" w14:textId="1CADC833" w:rsidR="000F40BE" w:rsidRPr="00027F0A" w:rsidRDefault="00EF702C" w:rsidP="00B850C2">
      <w:pPr>
        <w:spacing w:after="0" w:line="240" w:lineRule="auto"/>
        <w:jc w:val="both"/>
        <w:rPr>
          <w:rFonts w:eastAsia="Times New Roman" w:cs="Arial"/>
          <w:color w:val="000000"/>
        </w:rPr>
      </w:pPr>
      <w:r w:rsidRPr="00027F0A">
        <w:lastRenderedPageBreak/>
        <w:t xml:space="preserve">Можливість списання залишків за субрахунками та їх зарахування на основний рахунок </w:t>
      </w:r>
      <w:r w:rsidRPr="00582BBC">
        <w:t>двічі протягом календарного року (в середині/наприкінці року)</w:t>
      </w:r>
      <w:r w:rsidR="001742F8" w:rsidRPr="00027F0A">
        <w:t xml:space="preserve">. </w:t>
      </w:r>
    </w:p>
    <w:p w14:paraId="0D2070CE" w14:textId="765F9302" w:rsidR="00196DE6" w:rsidRPr="00027F0A" w:rsidRDefault="00196DE6" w:rsidP="00B850C2">
      <w:pPr>
        <w:spacing w:after="0" w:line="240" w:lineRule="auto"/>
        <w:jc w:val="both"/>
        <w:rPr>
          <w:rFonts w:eastAsia="Times New Roman" w:cs="Arial"/>
          <w:color w:val="000000"/>
        </w:rPr>
      </w:pPr>
      <w:r w:rsidRPr="00027F0A">
        <w:rPr>
          <w:color w:val="000000"/>
        </w:rPr>
        <w:t>Потенційні учасники тендеру повинні навести приклади ефективності своїх послуг, особливо у вищезгаданих географічних районах. Крім того, учасники тендеру повинні описати, як за допомогою їхньої системи переказу коштів буде проводитись поповнення субрахунків, робота з одноразовими переказами готівки та звичайними переказами (щомісячно або з іншою частотою). На додачу, ПФП повинні навести деталі щодо своєї доступності, наприклад наявність телекомунікаційної мережі або наявність представників/відділень/</w:t>
      </w:r>
      <w:r w:rsidR="00853DE7">
        <w:rPr>
          <w:color w:val="000000"/>
        </w:rPr>
        <w:t>банкоматів</w:t>
      </w:r>
      <w:r w:rsidR="00853DE7" w:rsidRPr="00027F0A">
        <w:rPr>
          <w:color w:val="000000"/>
        </w:rPr>
        <w:t xml:space="preserve"> </w:t>
      </w:r>
      <w:r w:rsidRPr="00027F0A">
        <w:rPr>
          <w:color w:val="000000"/>
        </w:rPr>
        <w:t xml:space="preserve">з достатнім рівнем ліквідності для здійснення виплат, виходячи з необхідних обсягів. В пропозиції повинен бути чітко представлений та деталізований механізм(и) переказу коштів. </w:t>
      </w:r>
    </w:p>
    <w:p w14:paraId="6E1B0DDD" w14:textId="77777777" w:rsidR="002205E6" w:rsidRPr="00027F0A" w:rsidRDefault="002205E6" w:rsidP="00B850C2">
      <w:pPr>
        <w:spacing w:after="0" w:line="240" w:lineRule="auto"/>
        <w:jc w:val="both"/>
        <w:rPr>
          <w:rFonts w:eastAsia="Times New Roman" w:cs="Arial"/>
          <w:color w:val="000000"/>
          <w:lang w:eastAsia="en-GB"/>
        </w:rPr>
      </w:pPr>
    </w:p>
    <w:p w14:paraId="011D5B49" w14:textId="77777777" w:rsidR="005D27EC" w:rsidRPr="00027F0A" w:rsidRDefault="005D27EC" w:rsidP="00B850C2">
      <w:pPr>
        <w:spacing w:after="0" w:line="240" w:lineRule="auto"/>
        <w:jc w:val="both"/>
        <w:rPr>
          <w:rFonts w:eastAsia="Times New Roman" w:cs="Arial"/>
          <w:color w:val="000000"/>
          <w:lang w:eastAsia="en-GB"/>
        </w:rPr>
      </w:pPr>
    </w:p>
    <w:p w14:paraId="309451AC" w14:textId="04EE281F" w:rsidR="00196DE6" w:rsidRPr="00027F0A" w:rsidRDefault="00196DE6" w:rsidP="00B850C2">
      <w:pPr>
        <w:spacing w:after="0" w:line="240" w:lineRule="auto"/>
        <w:jc w:val="both"/>
        <w:rPr>
          <w:rFonts w:eastAsia="Times New Roman" w:cs="Arial"/>
          <w:color w:val="000000"/>
        </w:rPr>
      </w:pPr>
      <w:r w:rsidRPr="00027F0A">
        <w:rPr>
          <w:b/>
          <w:bCs/>
          <w:color w:val="000000"/>
        </w:rPr>
        <w:t>III.2. Типи механізмів переказу та виплати коштів:</w:t>
      </w:r>
    </w:p>
    <w:p w14:paraId="450E0E39" w14:textId="6B1B0F5B" w:rsidR="00196DE6" w:rsidRPr="00027F0A" w:rsidRDefault="00196DE6" w:rsidP="00B850C2">
      <w:pPr>
        <w:spacing w:after="0" w:line="240" w:lineRule="auto"/>
        <w:jc w:val="both"/>
        <w:rPr>
          <w:rFonts w:eastAsia="Times New Roman" w:cs="Arial"/>
          <w:color w:val="000000"/>
        </w:rPr>
      </w:pPr>
      <w:r w:rsidRPr="00027F0A">
        <w:rPr>
          <w:color w:val="000000"/>
        </w:rPr>
        <w:t xml:space="preserve">Типи </w:t>
      </w:r>
      <w:r w:rsidR="00DB4492" w:rsidRPr="00027F0A">
        <w:rPr>
          <w:color w:val="000000"/>
        </w:rPr>
        <w:t xml:space="preserve">механізмів </w:t>
      </w:r>
      <w:r w:rsidRPr="00027F0A">
        <w:rPr>
          <w:color w:val="000000"/>
        </w:rPr>
        <w:t>переказу та виплати коштів, які розглядаються, включають:</w:t>
      </w:r>
    </w:p>
    <w:p w14:paraId="28ED40BB" w14:textId="4B367D00" w:rsidR="00196DE6" w:rsidRPr="00027F0A" w:rsidRDefault="00196DE6" w:rsidP="00B850C2">
      <w:pPr>
        <w:pStyle w:val="ListParagraph"/>
        <w:numPr>
          <w:ilvl w:val="0"/>
          <w:numId w:val="8"/>
        </w:numPr>
        <w:spacing w:before="0" w:beforeAutospacing="0" w:after="0" w:afterAutospacing="0"/>
        <w:jc w:val="both"/>
        <w:rPr>
          <w:rFonts w:asciiTheme="minorHAnsi" w:hAnsiTheme="minorHAnsi" w:cs="Arial"/>
          <w:color w:val="000000"/>
          <w:sz w:val="22"/>
          <w:szCs w:val="22"/>
        </w:rPr>
      </w:pPr>
      <w:r w:rsidRPr="00027F0A">
        <w:rPr>
          <w:rFonts w:asciiTheme="minorHAnsi" w:hAnsiTheme="minorHAnsi"/>
          <w:color w:val="000000"/>
          <w:sz w:val="22"/>
          <w:szCs w:val="22"/>
        </w:rPr>
        <w:t>Дебетові картки.</w:t>
      </w:r>
    </w:p>
    <w:p w14:paraId="11CA4631" w14:textId="77777777" w:rsidR="007662EF" w:rsidRPr="00027F0A" w:rsidRDefault="007662EF" w:rsidP="00B850C2">
      <w:pPr>
        <w:spacing w:after="0" w:line="240" w:lineRule="auto"/>
        <w:jc w:val="both"/>
        <w:rPr>
          <w:rFonts w:cs="Arial"/>
          <w:color w:val="000000"/>
        </w:rPr>
      </w:pPr>
    </w:p>
    <w:tbl>
      <w:tblPr>
        <w:tblW w:w="9209" w:type="dxa"/>
        <w:tblCellMar>
          <w:left w:w="0" w:type="dxa"/>
          <w:right w:w="0" w:type="dxa"/>
        </w:tblCellMar>
        <w:tblLook w:val="04A0" w:firstRow="1" w:lastRow="0" w:firstColumn="1" w:lastColumn="0" w:noHBand="0" w:noVBand="1"/>
      </w:tblPr>
      <w:tblGrid>
        <w:gridCol w:w="1970"/>
        <w:gridCol w:w="7239"/>
      </w:tblGrid>
      <w:tr w:rsidR="00196DE6" w:rsidRPr="00027F0A" w14:paraId="0A54F333" w14:textId="77777777" w:rsidTr="00B850C2">
        <w:tc>
          <w:tcPr>
            <w:tcW w:w="197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2A1DC735" w14:textId="082917EA" w:rsidR="00196DE6" w:rsidRPr="00027F0A" w:rsidRDefault="00196DE6">
            <w:pPr>
              <w:spacing w:after="0" w:line="240" w:lineRule="auto"/>
              <w:jc w:val="both"/>
              <w:rPr>
                <w:rFonts w:eastAsia="Times New Roman" w:cs="Arial"/>
              </w:rPr>
            </w:pPr>
            <w:r w:rsidRPr="00027F0A">
              <w:rPr>
                <w:b/>
                <w:bCs/>
                <w:color w:val="000000"/>
              </w:rPr>
              <w:t xml:space="preserve"> Механізм переказу коштів / механізм </w:t>
            </w:r>
            <w:r w:rsidR="00DB4492" w:rsidRPr="00027F0A">
              <w:rPr>
                <w:b/>
                <w:bCs/>
                <w:color w:val="000000"/>
              </w:rPr>
              <w:t>здійснення</w:t>
            </w:r>
          </w:p>
        </w:tc>
        <w:tc>
          <w:tcPr>
            <w:tcW w:w="7239"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536FFD4A" w14:textId="787431D8" w:rsidR="00196DE6" w:rsidRPr="00027F0A" w:rsidRDefault="00196DE6" w:rsidP="00B850C2">
            <w:pPr>
              <w:spacing w:after="0" w:line="240" w:lineRule="auto"/>
              <w:jc w:val="both"/>
              <w:rPr>
                <w:rFonts w:eastAsia="Times New Roman" w:cs="Arial"/>
              </w:rPr>
            </w:pPr>
            <w:r w:rsidRPr="00027F0A">
              <w:t xml:space="preserve">Мінімальні стандарти </w:t>
            </w:r>
          </w:p>
        </w:tc>
      </w:tr>
      <w:tr w:rsidR="00221FC3" w:rsidRPr="00027F0A" w14:paraId="27284099" w14:textId="77777777" w:rsidTr="004751EE">
        <w:tc>
          <w:tcPr>
            <w:tcW w:w="1970" w:type="dxa"/>
            <w:tcBorders>
              <w:top w:val="nil"/>
              <w:left w:val="single" w:sz="8" w:space="0" w:color="auto"/>
              <w:bottom w:val="nil"/>
              <w:right w:val="single" w:sz="8" w:space="0" w:color="auto"/>
            </w:tcBorders>
            <w:tcMar>
              <w:top w:w="0" w:type="dxa"/>
              <w:left w:w="108" w:type="dxa"/>
              <w:bottom w:w="0" w:type="dxa"/>
              <w:right w:w="108" w:type="dxa"/>
            </w:tcMar>
            <w:hideMark/>
          </w:tcPr>
          <w:p w14:paraId="6C74670F" w14:textId="34D7CA7A" w:rsidR="00221FC3" w:rsidRPr="00027F0A" w:rsidRDefault="00356B1D" w:rsidP="00B850C2">
            <w:pPr>
              <w:spacing w:after="0" w:line="240" w:lineRule="auto"/>
              <w:jc w:val="both"/>
              <w:rPr>
                <w:rFonts w:eastAsia="Times New Roman" w:cs="Arial"/>
              </w:rPr>
            </w:pPr>
            <w:r w:rsidRPr="00027F0A">
              <w:rPr>
                <w:color w:val="000000"/>
              </w:rPr>
              <w:t>Дебетові картки</w:t>
            </w:r>
          </w:p>
          <w:p w14:paraId="48A2A75B" w14:textId="77777777" w:rsidR="00221FC3" w:rsidRPr="00027F0A" w:rsidRDefault="00221FC3" w:rsidP="00B850C2">
            <w:pPr>
              <w:spacing w:after="0" w:line="240" w:lineRule="auto"/>
              <w:jc w:val="both"/>
              <w:rPr>
                <w:rFonts w:eastAsia="Times New Roman" w:cs="Arial"/>
              </w:rPr>
            </w:pPr>
            <w:r w:rsidRPr="00027F0A">
              <w:rPr>
                <w:b/>
                <w:bCs/>
                <w:color w:val="000000"/>
              </w:rPr>
              <w:t> </w:t>
            </w:r>
          </w:p>
        </w:tc>
        <w:tc>
          <w:tcPr>
            <w:tcW w:w="7239" w:type="dxa"/>
            <w:tcBorders>
              <w:top w:val="nil"/>
              <w:left w:val="nil"/>
              <w:bottom w:val="single" w:sz="4" w:space="0" w:color="auto"/>
              <w:right w:val="single" w:sz="8" w:space="0" w:color="auto"/>
            </w:tcBorders>
            <w:tcMar>
              <w:top w:w="0" w:type="dxa"/>
              <w:left w:w="108" w:type="dxa"/>
              <w:bottom w:w="0" w:type="dxa"/>
              <w:right w:w="108" w:type="dxa"/>
            </w:tcMar>
            <w:hideMark/>
          </w:tcPr>
          <w:p w14:paraId="08E6FEE7" w14:textId="51E6059F" w:rsidR="008F2B55" w:rsidRPr="000B2BD8" w:rsidRDefault="00356B1D" w:rsidP="004751EE">
            <w:pPr>
              <w:spacing w:after="0" w:line="240" w:lineRule="auto"/>
              <w:ind w:left="342" w:hanging="342"/>
              <w:jc w:val="both"/>
              <w:rPr>
                <w:rFonts w:eastAsia="Times New Roman" w:cs="Arial"/>
                <w:color w:val="000000"/>
              </w:rPr>
            </w:pPr>
            <w:r w:rsidRPr="00027F0A">
              <w:rPr>
                <w:color w:val="000000"/>
              </w:rPr>
              <w:t xml:space="preserve">Дебетові картки для здійснення зняття коштів </w:t>
            </w:r>
            <w:r w:rsidR="001D6042">
              <w:rPr>
                <w:color w:val="000000"/>
              </w:rPr>
              <w:t xml:space="preserve">без комісії за зняття </w:t>
            </w:r>
            <w:r w:rsidR="00EF702C">
              <w:rPr>
                <w:color w:val="000000"/>
              </w:rPr>
              <w:t xml:space="preserve">коштів </w:t>
            </w:r>
            <w:r w:rsidRPr="00027F0A">
              <w:rPr>
                <w:color w:val="000000"/>
              </w:rPr>
              <w:t>у власних пунктах зняття коштів ПФП (</w:t>
            </w:r>
            <w:r w:rsidR="00853DE7">
              <w:rPr>
                <w:color w:val="000000"/>
              </w:rPr>
              <w:t>банкоматах</w:t>
            </w:r>
            <w:r w:rsidRPr="00027F0A">
              <w:rPr>
                <w:color w:val="000000"/>
              </w:rPr>
              <w:t>);</w:t>
            </w:r>
          </w:p>
          <w:p w14:paraId="1F6B2E66" w14:textId="153D8A74" w:rsidR="00764A31" w:rsidRPr="00027F0A" w:rsidRDefault="006E2354" w:rsidP="004751EE">
            <w:pPr>
              <w:spacing w:after="0" w:line="240" w:lineRule="auto"/>
              <w:ind w:left="342" w:hanging="342"/>
              <w:jc w:val="both"/>
              <w:rPr>
                <w:rFonts w:eastAsia="Times New Roman" w:cs="Arial"/>
                <w:color w:val="000000"/>
              </w:rPr>
            </w:pPr>
            <w:r w:rsidRPr="00027F0A">
              <w:rPr>
                <w:color w:val="000000"/>
              </w:rPr>
              <w:t xml:space="preserve">Сумісність карток з пунктами зняття коштів </w:t>
            </w:r>
            <w:r w:rsidR="00853DE7" w:rsidRPr="00EA31B0">
              <w:rPr>
                <w:color w:val="000000"/>
              </w:rPr>
              <w:t>(</w:t>
            </w:r>
            <w:r w:rsidR="00853DE7">
              <w:rPr>
                <w:color w:val="000000"/>
              </w:rPr>
              <w:t>банкоматами</w:t>
            </w:r>
            <w:r w:rsidR="00853DE7" w:rsidRPr="00EA31B0">
              <w:rPr>
                <w:color w:val="000000"/>
              </w:rPr>
              <w:t>)</w:t>
            </w:r>
            <w:r w:rsidR="00853DE7">
              <w:rPr>
                <w:color w:val="000000"/>
              </w:rPr>
              <w:t xml:space="preserve"> </w:t>
            </w:r>
            <w:r w:rsidRPr="00027F0A">
              <w:rPr>
                <w:color w:val="000000"/>
              </w:rPr>
              <w:t>іншої мережі;</w:t>
            </w:r>
          </w:p>
          <w:p w14:paraId="22FB201B" w14:textId="3C3571DB" w:rsidR="00221FC3" w:rsidRPr="00027F0A" w:rsidRDefault="008F2B55" w:rsidP="004751EE">
            <w:pPr>
              <w:spacing w:after="0" w:line="240" w:lineRule="auto"/>
              <w:ind w:left="342" w:hanging="342"/>
              <w:jc w:val="both"/>
              <w:rPr>
                <w:rFonts w:eastAsia="Times New Roman" w:cs="Arial"/>
              </w:rPr>
            </w:pPr>
            <w:r w:rsidRPr="00027F0A">
              <w:rPr>
                <w:color w:val="000000"/>
              </w:rPr>
              <w:t>Сумісність карток з POS-терміналами (функція оплати);</w:t>
            </w:r>
          </w:p>
          <w:p w14:paraId="2F7AA9D5" w14:textId="2B87173E" w:rsidR="00221FC3" w:rsidRPr="00027F0A" w:rsidRDefault="00221FC3" w:rsidP="004751EE">
            <w:pPr>
              <w:spacing w:after="0" w:line="240" w:lineRule="auto"/>
              <w:ind w:left="342" w:hanging="342"/>
              <w:jc w:val="both"/>
              <w:rPr>
                <w:rFonts w:eastAsia="Times New Roman" w:cs="Arial"/>
              </w:rPr>
            </w:pPr>
            <w:r w:rsidRPr="00027F0A">
              <w:rPr>
                <w:color w:val="000000"/>
              </w:rPr>
              <w:t xml:space="preserve">Дизайн та конфігурація карток визначається у тісному співробітництві з УВКБ ООН з метою визначення елементів, які </w:t>
            </w:r>
            <w:r w:rsidR="00DB4492" w:rsidRPr="00027F0A">
              <w:rPr>
                <w:color w:val="000000"/>
              </w:rPr>
              <w:t xml:space="preserve">є видимими </w:t>
            </w:r>
            <w:r w:rsidRPr="00027F0A">
              <w:rPr>
                <w:color w:val="000000"/>
              </w:rPr>
              <w:t>на кожній картці, наприклад колір, логотипи клієнта та ПФП, зображення номеру рахунку та/або штрих-коду;</w:t>
            </w:r>
          </w:p>
          <w:p w14:paraId="0FD21E02" w14:textId="66B43AC8" w:rsidR="00221FC3" w:rsidRPr="00027F0A" w:rsidRDefault="00221FC3" w:rsidP="004751EE">
            <w:pPr>
              <w:spacing w:after="0" w:line="240" w:lineRule="auto"/>
              <w:ind w:left="342" w:hanging="342"/>
              <w:jc w:val="both"/>
              <w:rPr>
                <w:rFonts w:eastAsia="Times New Roman" w:cs="Arial"/>
                <w:color w:val="000000"/>
              </w:rPr>
            </w:pPr>
            <w:r w:rsidRPr="00027F0A">
              <w:rPr>
                <w:color w:val="000000"/>
              </w:rPr>
              <w:t xml:space="preserve">Кожна картка прив'язана до унікального ідентифікаційного коду / ПІН-коду, </w:t>
            </w:r>
            <w:r w:rsidR="00DB4492" w:rsidRPr="00027F0A">
              <w:rPr>
                <w:color w:val="000000"/>
              </w:rPr>
              <w:t xml:space="preserve">цей </w:t>
            </w:r>
            <w:r w:rsidRPr="00027F0A">
              <w:rPr>
                <w:color w:val="000000"/>
              </w:rPr>
              <w:t>ПІН-код доставляється клієнту у запечатаному конверті разом з карткою;</w:t>
            </w:r>
          </w:p>
          <w:p w14:paraId="051269DA" w14:textId="58BD9436" w:rsidR="000F40BE" w:rsidRPr="00027F0A" w:rsidRDefault="000F40BE" w:rsidP="004751EE">
            <w:pPr>
              <w:spacing w:after="0" w:line="240" w:lineRule="auto"/>
              <w:ind w:left="342" w:hanging="342"/>
              <w:jc w:val="both"/>
              <w:rPr>
                <w:rFonts w:eastAsia="Times New Roman" w:cs="Arial"/>
                <w:color w:val="000000"/>
              </w:rPr>
            </w:pPr>
            <w:r w:rsidRPr="00027F0A">
              <w:rPr>
                <w:color w:val="000000"/>
              </w:rPr>
              <w:t xml:space="preserve">Кожна картка прив'язана до унікального субрахунку; </w:t>
            </w:r>
          </w:p>
          <w:p w14:paraId="05CFC321" w14:textId="6D83A15A" w:rsidR="00FA1DBF" w:rsidRPr="00027F0A" w:rsidRDefault="00FA1DBF" w:rsidP="004751EE">
            <w:pPr>
              <w:spacing w:after="0" w:line="240" w:lineRule="auto"/>
              <w:ind w:left="342" w:hanging="342"/>
              <w:jc w:val="both"/>
              <w:rPr>
                <w:rFonts w:eastAsia="Times New Roman" w:cs="Arial"/>
                <w:color w:val="000000"/>
              </w:rPr>
            </w:pPr>
            <w:r w:rsidRPr="00027F0A">
              <w:rPr>
                <w:color w:val="000000"/>
              </w:rPr>
              <w:t xml:space="preserve">На кожну картку нанесений штрих-код у відповідності до міжнародного протоколу (UPC, GS1 або </w:t>
            </w:r>
            <w:proofErr w:type="spellStart"/>
            <w:r w:rsidRPr="00027F0A">
              <w:rPr>
                <w:color w:val="000000"/>
              </w:rPr>
              <w:t>Code</w:t>
            </w:r>
            <w:proofErr w:type="spellEnd"/>
            <w:r w:rsidRPr="00027F0A">
              <w:rPr>
                <w:color w:val="000000"/>
              </w:rPr>
              <w:t xml:space="preserve"> 39), який дозволяє сканування клієнтом для її записів;</w:t>
            </w:r>
          </w:p>
          <w:p w14:paraId="49E09513" w14:textId="0730D2AD" w:rsidR="00C976E1" w:rsidRPr="00027F0A" w:rsidRDefault="00C976E1" w:rsidP="004751EE">
            <w:pPr>
              <w:spacing w:after="0" w:line="240" w:lineRule="auto"/>
              <w:ind w:left="342" w:hanging="342"/>
              <w:jc w:val="both"/>
              <w:rPr>
                <w:rFonts w:eastAsia="Times New Roman" w:cs="Arial"/>
              </w:rPr>
            </w:pPr>
            <w:r w:rsidRPr="00027F0A">
              <w:rPr>
                <w:color w:val="000000"/>
              </w:rPr>
              <w:t xml:space="preserve">Кожна картка повинна бути дійсна по меншій мірі 2 роки з дати випуску/доставки клієнту. </w:t>
            </w:r>
          </w:p>
          <w:p w14:paraId="6FE0FF76" w14:textId="6B894B57" w:rsidR="00DC0D17" w:rsidRPr="00027F0A" w:rsidRDefault="001979B2" w:rsidP="004751EE">
            <w:pPr>
              <w:spacing w:after="0" w:line="240" w:lineRule="auto"/>
              <w:ind w:left="342" w:hanging="342"/>
              <w:jc w:val="both"/>
              <w:rPr>
                <w:rFonts w:eastAsia="Times New Roman" w:cs="Arial"/>
                <w:color w:val="000000"/>
              </w:rPr>
            </w:pPr>
            <w:r w:rsidRPr="00027F0A">
              <w:rPr>
                <w:color w:val="000000"/>
              </w:rPr>
              <w:t>Картки можуть бути швидко анульовані, на прохання УВКБ ООН, а відповідні субрахунки заблоковані для запобігання зняттю коштів;</w:t>
            </w:r>
          </w:p>
          <w:p w14:paraId="047C2D46" w14:textId="74F53EBB" w:rsidR="00221FC3" w:rsidRPr="00027F0A" w:rsidRDefault="00221FC3" w:rsidP="004751EE">
            <w:pPr>
              <w:spacing w:after="0" w:line="240" w:lineRule="auto"/>
              <w:ind w:left="342" w:hanging="342"/>
              <w:jc w:val="both"/>
              <w:rPr>
                <w:rFonts w:eastAsia="Times New Roman" w:cs="Arial"/>
              </w:rPr>
            </w:pPr>
            <w:r w:rsidRPr="00027F0A">
              <w:rPr>
                <w:color w:val="000000"/>
              </w:rPr>
              <w:t>ПФП надає детальний перелік пунктів зняття коштів та їх розташування в кожному районі;</w:t>
            </w:r>
          </w:p>
          <w:p w14:paraId="4A39D189" w14:textId="2CC7B961" w:rsidR="008F2B55" w:rsidRPr="00027F0A" w:rsidRDefault="00221FC3" w:rsidP="004751EE">
            <w:pPr>
              <w:spacing w:after="0" w:line="240" w:lineRule="auto"/>
              <w:ind w:left="342" w:hanging="342"/>
              <w:jc w:val="both"/>
              <w:rPr>
                <w:rFonts w:eastAsia="Times New Roman" w:cs="Arial"/>
              </w:rPr>
            </w:pPr>
            <w:r w:rsidRPr="00027F0A">
              <w:rPr>
                <w:color w:val="000000"/>
              </w:rPr>
              <w:t>ПФП гарантує наявність необхідних обсягів ліквідних коштів у пунктах зняття коштів ПФП;</w:t>
            </w:r>
          </w:p>
        </w:tc>
      </w:tr>
      <w:tr w:rsidR="004751EE" w:rsidRPr="00027F0A" w14:paraId="333A6F7E" w14:textId="77777777" w:rsidTr="004751EE">
        <w:tc>
          <w:tcPr>
            <w:tcW w:w="1970" w:type="dxa"/>
            <w:tcBorders>
              <w:top w:val="nil"/>
              <w:left w:val="single" w:sz="8" w:space="0" w:color="auto"/>
              <w:bottom w:val="nil"/>
              <w:right w:val="single" w:sz="8" w:space="0" w:color="auto"/>
            </w:tcBorders>
            <w:tcMar>
              <w:top w:w="0" w:type="dxa"/>
              <w:left w:w="108" w:type="dxa"/>
              <w:bottom w:w="0" w:type="dxa"/>
              <w:right w:w="108" w:type="dxa"/>
            </w:tcMar>
          </w:tcPr>
          <w:p w14:paraId="080EFF20" w14:textId="77777777" w:rsidR="004751EE" w:rsidRPr="00027F0A" w:rsidRDefault="004751EE" w:rsidP="00B850C2">
            <w:pPr>
              <w:spacing w:after="0" w:line="240" w:lineRule="auto"/>
              <w:jc w:val="both"/>
              <w:rPr>
                <w:rFonts w:eastAsia="Times New Roman" w:cs="Arial"/>
                <w:color w:val="000000"/>
                <w:lang w:eastAsia="en-GB"/>
              </w:rPr>
            </w:pPr>
          </w:p>
        </w:tc>
        <w:tc>
          <w:tcPr>
            <w:tcW w:w="7239"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425E3595" w14:textId="591C29EA" w:rsidR="004751EE" w:rsidRPr="00027F0A" w:rsidRDefault="004751EE" w:rsidP="004751EE">
            <w:pPr>
              <w:spacing w:after="0" w:line="240" w:lineRule="auto"/>
              <w:ind w:left="342" w:hanging="342"/>
              <w:jc w:val="both"/>
              <w:rPr>
                <w:rFonts w:eastAsia="Times New Roman" w:cs="Arial"/>
                <w:color w:val="000000"/>
              </w:rPr>
            </w:pPr>
            <w:r w:rsidRPr="00027F0A">
              <w:rPr>
                <w:color w:val="000000"/>
              </w:rPr>
              <w:t>Факультативні стандарти</w:t>
            </w:r>
          </w:p>
        </w:tc>
      </w:tr>
      <w:tr w:rsidR="004751EE" w:rsidRPr="00027F0A" w14:paraId="134EA4F2" w14:textId="77777777" w:rsidTr="004751EE">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8157DD" w14:textId="77777777" w:rsidR="004751EE" w:rsidRPr="00027F0A" w:rsidRDefault="004751EE" w:rsidP="00B850C2">
            <w:pPr>
              <w:spacing w:after="0" w:line="240" w:lineRule="auto"/>
              <w:jc w:val="both"/>
              <w:rPr>
                <w:rFonts w:eastAsia="Times New Roman" w:cs="Arial"/>
                <w:color w:val="000000"/>
                <w:lang w:eastAsia="en-GB"/>
              </w:rPr>
            </w:pPr>
          </w:p>
        </w:tc>
        <w:tc>
          <w:tcPr>
            <w:tcW w:w="723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272279E" w14:textId="7F748DC8" w:rsidR="004751EE" w:rsidRPr="00027F0A" w:rsidRDefault="004751EE" w:rsidP="004751EE">
            <w:pPr>
              <w:spacing w:after="0" w:line="240" w:lineRule="auto"/>
              <w:ind w:left="342" w:hanging="342"/>
              <w:jc w:val="both"/>
              <w:rPr>
                <w:rFonts w:eastAsia="Times New Roman" w:cs="Arial"/>
              </w:rPr>
            </w:pPr>
            <w:r w:rsidRPr="00027F0A">
              <w:t>У випадку зняття готівки в пунктах зняття коштів (</w:t>
            </w:r>
            <w:r w:rsidR="00853DE7">
              <w:t>банкоматах</w:t>
            </w:r>
            <w:r w:rsidRPr="00027F0A">
              <w:t>) іншої мережі, комісія за зняття повинна не вираховуватися із суми знятих коштів, а відноситись на рахунок клієнта.</w:t>
            </w:r>
          </w:p>
          <w:p w14:paraId="3F1492C0" w14:textId="3B4216CC" w:rsidR="004751EE" w:rsidRPr="00027F0A" w:rsidRDefault="004751EE" w:rsidP="00CF2E92">
            <w:pPr>
              <w:spacing w:after="0" w:line="240" w:lineRule="auto"/>
              <w:ind w:left="342" w:hanging="342"/>
              <w:jc w:val="both"/>
              <w:rPr>
                <w:rFonts w:eastAsia="Times New Roman" w:cs="Arial"/>
              </w:rPr>
            </w:pPr>
            <w:r w:rsidRPr="00027F0A">
              <w:rPr>
                <w:color w:val="000000"/>
              </w:rPr>
              <w:t xml:space="preserve">Можливість мати кілька портфелів (декілька гаманців) індивідуальних карт/субрахунків може бути </w:t>
            </w:r>
            <w:r w:rsidR="00CF2E92">
              <w:rPr>
                <w:color w:val="000000"/>
              </w:rPr>
              <w:t>додатковою перевагою</w:t>
            </w:r>
            <w:r w:rsidRPr="00027F0A">
              <w:rPr>
                <w:color w:val="000000"/>
              </w:rPr>
              <w:t>;</w:t>
            </w:r>
          </w:p>
        </w:tc>
      </w:tr>
    </w:tbl>
    <w:p w14:paraId="09CBCB28" w14:textId="77777777" w:rsidR="00BB405A" w:rsidRPr="00027F0A" w:rsidRDefault="00BB405A" w:rsidP="00B850C2">
      <w:pPr>
        <w:spacing w:after="0" w:line="240" w:lineRule="auto"/>
        <w:jc w:val="both"/>
        <w:rPr>
          <w:rFonts w:eastAsia="Times New Roman" w:cs="Arial"/>
          <w:bCs/>
          <w:color w:val="000000"/>
          <w:lang w:eastAsia="en-GB"/>
        </w:rPr>
      </w:pPr>
    </w:p>
    <w:p w14:paraId="5AEAFA5D" w14:textId="77777777" w:rsidR="00E60310" w:rsidRPr="00027F0A" w:rsidRDefault="00E60310" w:rsidP="00B850C2">
      <w:pPr>
        <w:spacing w:after="0" w:line="240" w:lineRule="auto"/>
        <w:jc w:val="both"/>
        <w:rPr>
          <w:rFonts w:eastAsia="Times New Roman" w:cs="Arial"/>
          <w:bCs/>
          <w:color w:val="000000"/>
          <w:lang w:eastAsia="en-GB"/>
        </w:rPr>
      </w:pPr>
    </w:p>
    <w:p w14:paraId="61505CFF" w14:textId="3570299E" w:rsidR="002E0681" w:rsidRPr="00027F0A" w:rsidRDefault="004C5B28" w:rsidP="00B850C2">
      <w:pPr>
        <w:spacing w:after="0" w:line="240" w:lineRule="auto"/>
        <w:jc w:val="both"/>
        <w:rPr>
          <w:rFonts w:eastAsia="Times New Roman" w:cs="Arial"/>
          <w:b/>
          <w:bCs/>
          <w:u w:val="single"/>
        </w:rPr>
      </w:pPr>
      <w:r w:rsidRPr="00027F0A">
        <w:rPr>
          <w:b/>
          <w:bCs/>
          <w:u w:val="single"/>
        </w:rPr>
        <w:lastRenderedPageBreak/>
        <w:t>III.3. Персональний менеджер за рахунком та гаряча лінія обслуговування клієнтів</w:t>
      </w:r>
    </w:p>
    <w:p w14:paraId="6A3D7E44" w14:textId="6CEA4FCD" w:rsidR="00196DE6" w:rsidRPr="00027F0A" w:rsidRDefault="002E0681" w:rsidP="00B850C2">
      <w:pPr>
        <w:spacing w:after="0" w:line="240" w:lineRule="auto"/>
        <w:jc w:val="both"/>
        <w:rPr>
          <w:rFonts w:eastAsia="Times New Roman" w:cs="Arial"/>
          <w:color w:val="1F4E79" w:themeColor="accent1" w:themeShade="80"/>
          <w:u w:val="single"/>
        </w:rPr>
      </w:pPr>
      <w:r w:rsidRPr="00027F0A">
        <w:t>Очікується, що ПФП виконає наведені нижче вимоги щодо обслуговування клієнта / управління рахунком:</w:t>
      </w:r>
      <w:r w:rsidRPr="00027F0A">
        <w:rPr>
          <w:b/>
          <w:bCs/>
          <w:color w:val="1F4E79" w:themeColor="accent1" w:themeShade="80"/>
          <w:u w:val="single"/>
        </w:rPr>
        <w:t xml:space="preserve"> </w:t>
      </w:r>
    </w:p>
    <w:p w14:paraId="5421F482" w14:textId="700ECD84" w:rsidR="00196DE6" w:rsidRPr="00027F0A" w:rsidRDefault="00196DE6" w:rsidP="00B850C2">
      <w:pPr>
        <w:pStyle w:val="ListParagraph"/>
        <w:numPr>
          <w:ilvl w:val="0"/>
          <w:numId w:val="12"/>
        </w:numPr>
        <w:spacing w:before="0" w:beforeAutospacing="0" w:after="0" w:afterAutospacing="0"/>
        <w:jc w:val="both"/>
        <w:rPr>
          <w:rFonts w:asciiTheme="minorHAnsi" w:hAnsiTheme="minorHAnsi" w:cs="Arial"/>
          <w:color w:val="000000"/>
          <w:sz w:val="22"/>
          <w:szCs w:val="22"/>
        </w:rPr>
      </w:pPr>
      <w:r w:rsidRPr="00027F0A">
        <w:rPr>
          <w:rFonts w:asciiTheme="minorHAnsi" w:hAnsiTheme="minorHAnsi"/>
          <w:color w:val="000000"/>
          <w:sz w:val="22"/>
          <w:szCs w:val="22"/>
        </w:rPr>
        <w:t xml:space="preserve">ПФП повинен бути в змозі забезпечити УВКБ ООН персональне обслуговування, в тому числі надання </w:t>
      </w:r>
      <w:r w:rsidR="00CF2E92">
        <w:rPr>
          <w:rFonts w:asciiTheme="minorHAnsi" w:hAnsiTheme="minorHAnsi"/>
          <w:color w:val="000000"/>
          <w:sz w:val="22"/>
          <w:szCs w:val="22"/>
        </w:rPr>
        <w:t>відділення</w:t>
      </w:r>
      <w:r w:rsidRPr="00027F0A">
        <w:rPr>
          <w:rFonts w:asciiTheme="minorHAnsi" w:hAnsiTheme="minorHAnsi"/>
          <w:color w:val="000000"/>
          <w:sz w:val="22"/>
          <w:szCs w:val="22"/>
        </w:rPr>
        <w:t xml:space="preserve"> або координа</w:t>
      </w:r>
      <w:r w:rsidR="000B2BD8" w:rsidRPr="00027F0A">
        <w:rPr>
          <w:rFonts w:asciiTheme="minorHAnsi" w:hAnsiTheme="minorHAnsi"/>
          <w:color w:val="000000"/>
          <w:sz w:val="22"/>
          <w:szCs w:val="22"/>
        </w:rPr>
        <w:t>тора</w:t>
      </w:r>
      <w:r w:rsidRPr="00027F0A">
        <w:rPr>
          <w:rFonts w:asciiTheme="minorHAnsi" w:hAnsiTheme="minorHAnsi"/>
          <w:color w:val="000000"/>
          <w:sz w:val="22"/>
          <w:szCs w:val="22"/>
        </w:rPr>
        <w:t>, спеціально призначених для управління рахунком, відповідей на запитання та розв'язання будь-яких операційних проблем в розумний проміжок часу.</w:t>
      </w:r>
    </w:p>
    <w:p w14:paraId="35ADF818" w14:textId="59B51A40" w:rsidR="00196DE6" w:rsidRPr="00027F0A" w:rsidRDefault="00196DE6" w:rsidP="00B850C2">
      <w:pPr>
        <w:pStyle w:val="ListParagraph"/>
        <w:numPr>
          <w:ilvl w:val="0"/>
          <w:numId w:val="12"/>
        </w:numPr>
        <w:spacing w:before="0" w:beforeAutospacing="0" w:after="0" w:afterAutospacing="0"/>
        <w:jc w:val="both"/>
        <w:rPr>
          <w:rFonts w:asciiTheme="minorHAnsi" w:hAnsiTheme="minorHAnsi" w:cs="Arial"/>
          <w:color w:val="000000"/>
          <w:sz w:val="22"/>
          <w:szCs w:val="22"/>
        </w:rPr>
      </w:pPr>
      <w:r w:rsidRPr="00027F0A">
        <w:rPr>
          <w:rFonts w:asciiTheme="minorHAnsi" w:hAnsiTheme="minorHAnsi"/>
          <w:sz w:val="22"/>
          <w:szCs w:val="22"/>
        </w:rPr>
        <w:t>ПФП має бути доступним для надання такої підтримки протягом звичайного робочого часу з понеділка по п'ятницю. Для забезпечення ефективного вирішення питань повинні бути встановлені канали комунікації та механізми звітування.</w:t>
      </w:r>
    </w:p>
    <w:p w14:paraId="37689834" w14:textId="29181864" w:rsidR="0076566E" w:rsidRPr="000F50F9" w:rsidRDefault="0076566E" w:rsidP="00B850C2">
      <w:pPr>
        <w:pStyle w:val="ListParagraph"/>
        <w:numPr>
          <w:ilvl w:val="0"/>
          <w:numId w:val="12"/>
        </w:numPr>
        <w:spacing w:before="0" w:beforeAutospacing="0" w:after="0" w:afterAutospacing="0"/>
        <w:jc w:val="both"/>
        <w:rPr>
          <w:rFonts w:asciiTheme="minorHAnsi" w:hAnsiTheme="minorHAnsi" w:cs="Arial"/>
          <w:color w:val="000000"/>
          <w:sz w:val="22"/>
          <w:szCs w:val="22"/>
        </w:rPr>
      </w:pPr>
      <w:r w:rsidRPr="00027F0A">
        <w:rPr>
          <w:rFonts w:asciiTheme="minorHAnsi" w:hAnsiTheme="minorHAnsi"/>
          <w:color w:val="000000"/>
          <w:sz w:val="22"/>
          <w:szCs w:val="22"/>
        </w:rPr>
        <w:t>ПФП повинен запропонувати загальн</w:t>
      </w:r>
      <w:r w:rsidR="000B2BD8">
        <w:rPr>
          <w:rFonts w:asciiTheme="minorHAnsi" w:hAnsiTheme="minorHAnsi"/>
          <w:color w:val="000000"/>
          <w:sz w:val="22"/>
          <w:szCs w:val="22"/>
        </w:rPr>
        <w:t>у</w:t>
      </w:r>
      <w:r w:rsidRPr="00027F0A">
        <w:rPr>
          <w:rFonts w:asciiTheme="minorHAnsi" w:hAnsiTheme="minorHAnsi"/>
          <w:color w:val="000000"/>
          <w:sz w:val="22"/>
          <w:szCs w:val="22"/>
        </w:rPr>
        <w:t xml:space="preserve"> </w:t>
      </w:r>
      <w:r w:rsidR="000B2BD8" w:rsidRPr="00027F0A">
        <w:rPr>
          <w:rFonts w:asciiTheme="minorHAnsi" w:hAnsiTheme="minorHAnsi"/>
          <w:color w:val="000000"/>
          <w:sz w:val="22"/>
          <w:szCs w:val="22"/>
        </w:rPr>
        <w:t>служб</w:t>
      </w:r>
      <w:r w:rsidR="000B2BD8">
        <w:rPr>
          <w:rFonts w:asciiTheme="minorHAnsi" w:hAnsiTheme="minorHAnsi"/>
          <w:color w:val="000000"/>
          <w:sz w:val="22"/>
          <w:szCs w:val="22"/>
        </w:rPr>
        <w:t>у</w:t>
      </w:r>
      <w:r w:rsidRPr="00027F0A">
        <w:rPr>
          <w:rFonts w:asciiTheme="minorHAnsi" w:hAnsiTheme="minorHAnsi"/>
          <w:color w:val="000000"/>
          <w:sz w:val="22"/>
          <w:szCs w:val="22"/>
        </w:rPr>
        <w:t xml:space="preserve"> надання технічної допомоги або обслуговування клієнтів, доступ</w:t>
      </w:r>
      <w:r w:rsidR="000B2BD8">
        <w:rPr>
          <w:rFonts w:asciiTheme="minorHAnsi" w:hAnsiTheme="minorHAnsi"/>
          <w:color w:val="000000"/>
          <w:sz w:val="22"/>
          <w:szCs w:val="22"/>
        </w:rPr>
        <w:t>ну</w:t>
      </w:r>
      <w:r w:rsidRPr="00027F0A">
        <w:rPr>
          <w:rFonts w:asciiTheme="minorHAnsi" w:hAnsiTheme="minorHAnsi"/>
          <w:color w:val="000000"/>
          <w:sz w:val="22"/>
          <w:szCs w:val="22"/>
        </w:rPr>
        <w:t xml:space="preserve"> за телефоном та/або електронною поштою в неробочий час (вечори/вихідні) для </w:t>
      </w:r>
      <w:r w:rsidR="000B2BD8">
        <w:rPr>
          <w:rFonts w:asciiTheme="minorHAnsi" w:hAnsiTheme="minorHAnsi"/>
          <w:color w:val="000000"/>
          <w:sz w:val="22"/>
          <w:szCs w:val="22"/>
        </w:rPr>
        <w:t xml:space="preserve">вирішення </w:t>
      </w:r>
      <w:r w:rsidRPr="00027F0A">
        <w:rPr>
          <w:rFonts w:asciiTheme="minorHAnsi" w:hAnsiTheme="minorHAnsi"/>
          <w:color w:val="000000"/>
          <w:sz w:val="22"/>
          <w:szCs w:val="22"/>
        </w:rPr>
        <w:t xml:space="preserve">проблем із програмним забезпеченням та інших технічних проблем. </w:t>
      </w:r>
    </w:p>
    <w:p w14:paraId="318CAB1A" w14:textId="0AA6DA66" w:rsidR="000F50F9" w:rsidRPr="00027F0A" w:rsidRDefault="00B029D3" w:rsidP="000F50F9">
      <w:pPr>
        <w:pStyle w:val="ListParagraph"/>
        <w:numPr>
          <w:ilvl w:val="0"/>
          <w:numId w:val="12"/>
        </w:numPr>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Мають бути запропоновані н</w:t>
      </w:r>
      <w:r w:rsidRPr="00582BBC">
        <w:rPr>
          <w:rFonts w:asciiTheme="minorHAnsi" w:hAnsiTheme="minorHAnsi" w:cs="Arial"/>
          <w:color w:val="000000"/>
          <w:sz w:val="22"/>
          <w:szCs w:val="22"/>
        </w:rPr>
        <w:t xml:space="preserve">авчальна продукція або керівництво, що дасть можливість УВКБ ООН належним чином користуватися </w:t>
      </w:r>
      <w:r>
        <w:rPr>
          <w:rFonts w:asciiTheme="minorHAnsi" w:hAnsiTheme="minorHAnsi" w:cs="Arial"/>
          <w:color w:val="000000"/>
          <w:sz w:val="22"/>
          <w:szCs w:val="22"/>
        </w:rPr>
        <w:t xml:space="preserve">відповідною </w:t>
      </w:r>
      <w:r w:rsidRPr="00582BBC">
        <w:rPr>
          <w:rFonts w:asciiTheme="minorHAnsi" w:hAnsiTheme="minorHAnsi" w:cs="Arial"/>
          <w:color w:val="000000"/>
          <w:sz w:val="22"/>
          <w:szCs w:val="22"/>
        </w:rPr>
        <w:t>послугою</w:t>
      </w:r>
      <w:r w:rsidR="000F50F9" w:rsidRPr="000F50F9">
        <w:rPr>
          <w:rFonts w:asciiTheme="minorHAnsi" w:hAnsiTheme="minorHAnsi" w:cs="Arial"/>
          <w:color w:val="000000"/>
          <w:sz w:val="22"/>
          <w:szCs w:val="22"/>
        </w:rPr>
        <w:t>.</w:t>
      </w:r>
    </w:p>
    <w:p w14:paraId="2661F47E" w14:textId="77777777" w:rsidR="00B850C2" w:rsidRPr="00027F0A" w:rsidRDefault="00B850C2" w:rsidP="00B850C2">
      <w:pPr>
        <w:spacing w:after="0"/>
        <w:jc w:val="both"/>
        <w:rPr>
          <w:rFonts w:cs="Arial"/>
          <w:color w:val="000000"/>
        </w:rPr>
      </w:pPr>
    </w:p>
    <w:p w14:paraId="0393A97D" w14:textId="77777777" w:rsidR="00E60310" w:rsidRPr="00027F0A" w:rsidRDefault="00E60310" w:rsidP="00B850C2">
      <w:pPr>
        <w:spacing w:after="0"/>
        <w:jc w:val="both"/>
        <w:rPr>
          <w:rFonts w:cs="Arial"/>
          <w:color w:val="000000"/>
        </w:rPr>
      </w:pPr>
    </w:p>
    <w:p w14:paraId="7B6A47A4" w14:textId="16781C9F" w:rsidR="00196DE6" w:rsidRPr="00027F0A" w:rsidRDefault="00BA0EC4" w:rsidP="00B850C2">
      <w:pPr>
        <w:spacing w:after="0" w:line="240" w:lineRule="auto"/>
        <w:jc w:val="both"/>
        <w:rPr>
          <w:rFonts w:eastAsia="Times New Roman" w:cs="Arial"/>
          <w:u w:val="single"/>
        </w:rPr>
      </w:pPr>
      <w:r w:rsidRPr="00027F0A">
        <w:rPr>
          <w:b/>
          <w:bCs/>
          <w:u w:val="single"/>
        </w:rPr>
        <w:t xml:space="preserve">III.4 Захист даних </w:t>
      </w:r>
    </w:p>
    <w:p w14:paraId="374B4E4C" w14:textId="4693D360" w:rsidR="00196DE6" w:rsidRPr="00027F0A" w:rsidRDefault="00196DE6" w:rsidP="00B850C2">
      <w:pPr>
        <w:spacing w:after="0" w:line="240" w:lineRule="auto"/>
        <w:jc w:val="both"/>
        <w:rPr>
          <w:rFonts w:eastAsia="Times New Roman" w:cs="Arial"/>
          <w:color w:val="000000"/>
        </w:rPr>
      </w:pPr>
      <w:r w:rsidRPr="00027F0A">
        <w:rPr>
          <w:color w:val="000000"/>
        </w:rPr>
        <w:t xml:space="preserve">Це найважливіша вимога УВКБ ООН - забезпечити конфіденційність та безпеку </w:t>
      </w:r>
      <w:r w:rsidR="00483191">
        <w:rPr>
          <w:color w:val="000000"/>
        </w:rPr>
        <w:t>персональних даних</w:t>
      </w:r>
      <w:r w:rsidRPr="00027F0A">
        <w:rPr>
          <w:color w:val="000000"/>
        </w:rPr>
        <w:t>. </w:t>
      </w:r>
    </w:p>
    <w:p w14:paraId="5F078CDA" w14:textId="77777777" w:rsidR="00196DE6" w:rsidRPr="00027F0A" w:rsidRDefault="00196DE6" w:rsidP="00B850C2">
      <w:pPr>
        <w:spacing w:after="0" w:line="240" w:lineRule="auto"/>
        <w:jc w:val="both"/>
        <w:rPr>
          <w:rFonts w:eastAsia="Times New Roman" w:cs="Arial"/>
          <w:color w:val="000000"/>
        </w:rPr>
      </w:pPr>
      <w:r w:rsidRPr="00027F0A">
        <w:rPr>
          <w:color w:val="000000"/>
        </w:rPr>
        <w:t>ПФП повинен застосовувати належну політику захисту даних або бути здатним ввести відповідну політику, в тому числі:</w:t>
      </w:r>
    </w:p>
    <w:p w14:paraId="3FB37FD5" w14:textId="3537AC94" w:rsidR="00196DE6" w:rsidRPr="00027F0A" w:rsidRDefault="00461233" w:rsidP="00B850C2">
      <w:pPr>
        <w:pStyle w:val="ListParagraph"/>
        <w:numPr>
          <w:ilvl w:val="0"/>
          <w:numId w:val="16"/>
        </w:numPr>
        <w:spacing w:before="0" w:beforeAutospacing="0" w:after="0" w:afterAutospacing="0"/>
        <w:ind w:left="720"/>
        <w:jc w:val="both"/>
        <w:rPr>
          <w:rFonts w:asciiTheme="minorHAnsi" w:hAnsiTheme="minorHAnsi" w:cs="Arial"/>
          <w:color w:val="000000"/>
          <w:sz w:val="22"/>
          <w:szCs w:val="22"/>
        </w:rPr>
      </w:pPr>
      <w:r w:rsidRPr="00027F0A">
        <w:rPr>
          <w:rFonts w:asciiTheme="minorHAnsi" w:hAnsiTheme="minorHAnsi"/>
          <w:color w:val="000000"/>
          <w:sz w:val="22"/>
          <w:szCs w:val="22"/>
        </w:rPr>
        <w:t>Шифрування будь-якої інформації щодо бази даних або рахунків;</w:t>
      </w:r>
    </w:p>
    <w:p w14:paraId="643BD2C9" w14:textId="365352B2" w:rsidR="00196DE6" w:rsidRPr="00027F0A" w:rsidRDefault="00461233" w:rsidP="00B850C2">
      <w:pPr>
        <w:pStyle w:val="ListParagraph"/>
        <w:numPr>
          <w:ilvl w:val="0"/>
          <w:numId w:val="16"/>
        </w:numPr>
        <w:spacing w:before="0" w:beforeAutospacing="0" w:after="0" w:afterAutospacing="0"/>
        <w:ind w:left="720"/>
        <w:jc w:val="both"/>
        <w:rPr>
          <w:rFonts w:asciiTheme="minorHAnsi" w:hAnsiTheme="minorHAnsi" w:cs="Arial"/>
          <w:color w:val="000000"/>
          <w:sz w:val="22"/>
          <w:szCs w:val="22"/>
        </w:rPr>
      </w:pPr>
      <w:r w:rsidRPr="00027F0A">
        <w:rPr>
          <w:rFonts w:asciiTheme="minorHAnsi" w:hAnsiTheme="minorHAnsi"/>
          <w:color w:val="000000"/>
          <w:sz w:val="22"/>
          <w:szCs w:val="22"/>
        </w:rPr>
        <w:t>Політика обробки даних клієнта та управління ними.</w:t>
      </w:r>
    </w:p>
    <w:p w14:paraId="57C70493" w14:textId="7852D12B" w:rsidR="003C1B9C" w:rsidRPr="00027F0A" w:rsidRDefault="00196DE6" w:rsidP="00B850C2">
      <w:pPr>
        <w:pStyle w:val="ListParagraph"/>
        <w:numPr>
          <w:ilvl w:val="0"/>
          <w:numId w:val="16"/>
        </w:numPr>
        <w:spacing w:before="0" w:beforeAutospacing="0" w:after="0" w:afterAutospacing="0"/>
        <w:ind w:left="720"/>
        <w:jc w:val="both"/>
        <w:rPr>
          <w:rFonts w:asciiTheme="minorHAnsi" w:hAnsiTheme="minorHAnsi" w:cs="Arial"/>
          <w:color w:val="000000"/>
          <w:sz w:val="22"/>
          <w:szCs w:val="22"/>
        </w:rPr>
      </w:pPr>
      <w:r w:rsidRPr="00027F0A">
        <w:rPr>
          <w:rFonts w:asciiTheme="minorHAnsi" w:hAnsiTheme="minorHAnsi"/>
          <w:color w:val="000000"/>
          <w:sz w:val="22"/>
          <w:szCs w:val="22"/>
        </w:rPr>
        <w:t xml:space="preserve">У випадку укладання постачальником послуг контракту на субпідряд з третьою стороною щодо надання його послуг, ця третя сторона також буде </w:t>
      </w:r>
      <w:r w:rsidR="00AA0968" w:rsidRPr="00027F0A">
        <w:rPr>
          <w:rFonts w:asciiTheme="minorHAnsi" w:hAnsiTheme="minorHAnsi"/>
          <w:color w:val="000000"/>
          <w:sz w:val="22"/>
          <w:szCs w:val="22"/>
        </w:rPr>
        <w:t xml:space="preserve">нести відповідальність </w:t>
      </w:r>
      <w:r w:rsidRPr="00027F0A">
        <w:rPr>
          <w:rFonts w:asciiTheme="minorHAnsi" w:hAnsiTheme="minorHAnsi"/>
          <w:color w:val="000000"/>
          <w:sz w:val="22"/>
          <w:szCs w:val="22"/>
        </w:rPr>
        <w:t>за тим самим стандартом захисту даних. </w:t>
      </w:r>
      <w:r w:rsidRPr="00027F0A">
        <w:rPr>
          <w:rFonts w:asciiTheme="minorHAnsi" w:hAnsiTheme="minorHAnsi"/>
          <w:sz w:val="22"/>
          <w:szCs w:val="22"/>
        </w:rPr>
        <w:t>Тому ПФП повинен зазначити в своїй пропозиції, якщо йому знадобиться передавати конфіденційні дані субпідряднику, в разі чого будуть застосовуватися відповідні положення Додаткової угоди, в тому числі вимоги щодо схвалення субпідрядника УВКБ ООН, підписання ПФП Угоди про захист даних із субпідрядником, а також щодо збереження відповідальності ПФП за</w:t>
      </w:r>
      <w:r w:rsidR="000B2BD8">
        <w:rPr>
          <w:rFonts w:asciiTheme="minorHAnsi" w:hAnsiTheme="minorHAnsi"/>
          <w:sz w:val="22"/>
          <w:szCs w:val="22"/>
        </w:rPr>
        <w:t xml:space="preserve"> її</w:t>
      </w:r>
      <w:r w:rsidRPr="00027F0A">
        <w:rPr>
          <w:rFonts w:asciiTheme="minorHAnsi" w:hAnsiTheme="minorHAnsi"/>
          <w:sz w:val="22"/>
          <w:szCs w:val="22"/>
        </w:rPr>
        <w:t xml:space="preserve"> дотримання.</w:t>
      </w:r>
    </w:p>
    <w:p w14:paraId="49FA7A0D" w14:textId="77777777" w:rsidR="00B850C2" w:rsidRPr="00027F0A" w:rsidRDefault="00B850C2" w:rsidP="00B850C2">
      <w:pPr>
        <w:spacing w:after="0"/>
        <w:jc w:val="both"/>
        <w:rPr>
          <w:rFonts w:cs="Arial"/>
          <w:color w:val="000000"/>
        </w:rPr>
      </w:pPr>
    </w:p>
    <w:p w14:paraId="52D9E2DF" w14:textId="77777777" w:rsidR="00E60310" w:rsidRPr="00027F0A" w:rsidRDefault="00E60310" w:rsidP="00B850C2">
      <w:pPr>
        <w:spacing w:after="0"/>
        <w:jc w:val="both"/>
        <w:rPr>
          <w:rFonts w:cs="Arial"/>
          <w:color w:val="000000"/>
        </w:rPr>
      </w:pPr>
    </w:p>
    <w:p w14:paraId="6FAAEAB3" w14:textId="32AD2CA6" w:rsidR="00196DE6" w:rsidRPr="00027F0A" w:rsidRDefault="00BA0EC4" w:rsidP="00B850C2">
      <w:pPr>
        <w:spacing w:after="0" w:line="240" w:lineRule="auto"/>
        <w:jc w:val="both"/>
        <w:rPr>
          <w:rFonts w:eastAsia="Times New Roman" w:cs="Arial"/>
          <w:u w:val="single"/>
        </w:rPr>
      </w:pPr>
      <w:r w:rsidRPr="00027F0A">
        <w:rPr>
          <w:b/>
          <w:bCs/>
          <w:u w:val="single"/>
        </w:rPr>
        <w:t>III.5. Механізми внутрішнього контролю та управління ризиками</w:t>
      </w:r>
    </w:p>
    <w:p w14:paraId="0AFAD0E3" w14:textId="77777777" w:rsidR="00196DE6" w:rsidRPr="00027F0A" w:rsidRDefault="00196DE6" w:rsidP="00B850C2">
      <w:pPr>
        <w:spacing w:after="0" w:line="240" w:lineRule="auto"/>
        <w:jc w:val="both"/>
        <w:rPr>
          <w:rFonts w:eastAsia="Times New Roman" w:cs="Arial"/>
          <w:color w:val="000000"/>
        </w:rPr>
      </w:pPr>
      <w:r w:rsidRPr="00027F0A">
        <w:rPr>
          <w:color w:val="000000"/>
        </w:rPr>
        <w:t>ПФП буде забезпечувати роботу належних механізмів внутрішнього контролю та запобігання шахрайству. Хоча такі механізми можуть бути різними в залежності від типу ПФП, передбачені механізми внутрішнього контролю повинні бути чітко зазначені у пропозиції. У поданих документах мають бути наведені деталі Плану забезпечення безперервності діяльності компанії, заходи з моніторингу та регулярної перевірки систем безпеки, а також процедури та механізми моніторингу, виявлення та реагування в режимі реального часу на технічні проблеми та потенційне шахрайство.</w:t>
      </w:r>
    </w:p>
    <w:p w14:paraId="532C51AE" w14:textId="72B540F4" w:rsidR="00196DE6" w:rsidRPr="00027F0A" w:rsidRDefault="00196DE6" w:rsidP="00B850C2">
      <w:pPr>
        <w:spacing w:after="0" w:line="240" w:lineRule="auto"/>
        <w:jc w:val="both"/>
        <w:rPr>
          <w:rFonts w:eastAsia="Times New Roman" w:cs="Arial"/>
          <w:color w:val="000000"/>
        </w:rPr>
      </w:pPr>
      <w:r w:rsidRPr="00027F0A">
        <w:rPr>
          <w:color w:val="000000"/>
        </w:rPr>
        <w:t xml:space="preserve">ПФП відкриє для УВКБ ООН спеціальний рахунок, який буде поповнюватися УВКБ ООН та використовуватися для здійснення переказів на субрахунки. Програмне забезпечення електронного </w:t>
      </w:r>
      <w:proofErr w:type="spellStart"/>
      <w:r w:rsidRPr="00027F0A">
        <w:rPr>
          <w:color w:val="000000"/>
        </w:rPr>
        <w:t>банкінгу</w:t>
      </w:r>
      <w:proofErr w:type="spellEnd"/>
      <w:r w:rsidRPr="00027F0A">
        <w:rPr>
          <w:color w:val="000000"/>
        </w:rPr>
        <w:t xml:space="preserve"> повинно забезпечувати диференційовані рівні доступу клієнта та прав доступу користувачів (введення даних, функції перегляду та затвердження, подвійний підпис). Постачальник послуг повинен забезпечити повне відокремлення коштів та можливість їх відстеження до моменту їх зняття/виплати.</w:t>
      </w:r>
    </w:p>
    <w:p w14:paraId="66466969" w14:textId="09642366" w:rsidR="005F6F7E" w:rsidRPr="00027F0A" w:rsidRDefault="00196DE6" w:rsidP="00B850C2">
      <w:pPr>
        <w:spacing w:after="0" w:line="240" w:lineRule="auto"/>
        <w:jc w:val="both"/>
        <w:rPr>
          <w:rFonts w:eastAsia="Times New Roman" w:cs="Arial"/>
          <w:color w:val="000000"/>
        </w:rPr>
      </w:pPr>
      <w:r w:rsidRPr="00027F0A">
        <w:rPr>
          <w:color w:val="000000"/>
        </w:rPr>
        <w:t>ПФП повинен повернути на основний рахунок УВКБ ООН будь-який не</w:t>
      </w:r>
      <w:r w:rsidR="00AA0968" w:rsidRPr="00027F0A">
        <w:rPr>
          <w:color w:val="000000"/>
        </w:rPr>
        <w:t xml:space="preserve"> </w:t>
      </w:r>
      <w:r w:rsidRPr="00027F0A">
        <w:rPr>
          <w:color w:val="000000"/>
        </w:rPr>
        <w:t xml:space="preserve">знятий залишок коштів на будь-якому субрахунку, у відповідності до умов, які будуть зазначені УВКБ ООН в контракті.  </w:t>
      </w:r>
    </w:p>
    <w:p w14:paraId="3646BBE2" w14:textId="25DACDFB" w:rsidR="00196DE6" w:rsidRPr="00027F0A" w:rsidRDefault="00196DE6" w:rsidP="00B850C2">
      <w:pPr>
        <w:spacing w:after="0" w:line="240" w:lineRule="auto"/>
        <w:jc w:val="both"/>
        <w:rPr>
          <w:rFonts w:eastAsia="Times New Roman" w:cs="Arial"/>
          <w:color w:val="000000"/>
        </w:rPr>
      </w:pPr>
      <w:r w:rsidRPr="00027F0A">
        <w:rPr>
          <w:color w:val="000000"/>
        </w:rPr>
        <w:lastRenderedPageBreak/>
        <w:t>ПФП повинен підтримувати сучасну політику інформаційної безпеки стосовно захисту даних клієнта.</w:t>
      </w:r>
    </w:p>
    <w:p w14:paraId="52A2A5AA" w14:textId="5B82AC62" w:rsidR="00196DE6" w:rsidRPr="00027F0A" w:rsidRDefault="00196DE6" w:rsidP="00B850C2">
      <w:pPr>
        <w:spacing w:after="0" w:line="240" w:lineRule="auto"/>
        <w:jc w:val="both"/>
        <w:rPr>
          <w:rFonts w:eastAsia="Times New Roman" w:cs="Arial"/>
          <w:color w:val="000000"/>
        </w:rPr>
      </w:pPr>
      <w:r w:rsidRPr="00027F0A">
        <w:rPr>
          <w:color w:val="000000"/>
        </w:rPr>
        <w:t>ПФП повинен забезпечити вжиття заходів з контролю фізичного або віртуального доступу до системи,</w:t>
      </w:r>
      <w:r w:rsidR="00B029D3">
        <w:rPr>
          <w:color w:val="000000"/>
        </w:rPr>
        <w:t xml:space="preserve"> в тому числі</w:t>
      </w:r>
      <w:r w:rsidRPr="00027F0A">
        <w:rPr>
          <w:color w:val="000000"/>
        </w:rPr>
        <w:t xml:space="preserve"> обмеження доступу до даних клієнта та за рахунком, а також моніторингу доступу.</w:t>
      </w:r>
    </w:p>
    <w:p w14:paraId="24C34FF2" w14:textId="77777777" w:rsidR="00C87676" w:rsidRPr="00027F0A" w:rsidRDefault="00C87676" w:rsidP="00B850C2">
      <w:pPr>
        <w:spacing w:after="0" w:line="240" w:lineRule="auto"/>
        <w:ind w:left="720" w:hanging="360"/>
        <w:jc w:val="both"/>
        <w:rPr>
          <w:rFonts w:eastAsia="Times New Roman" w:cs="Arial"/>
          <w:color w:val="000000"/>
          <w:lang w:eastAsia="en-GB"/>
        </w:rPr>
      </w:pPr>
    </w:p>
    <w:p w14:paraId="0BE16346" w14:textId="77777777" w:rsidR="00E60310" w:rsidRPr="00027F0A" w:rsidRDefault="00E60310" w:rsidP="00B850C2">
      <w:pPr>
        <w:spacing w:after="0" w:line="240" w:lineRule="auto"/>
        <w:ind w:left="720" w:hanging="360"/>
        <w:jc w:val="both"/>
        <w:rPr>
          <w:rFonts w:eastAsia="Times New Roman" w:cs="Arial"/>
          <w:color w:val="000000"/>
          <w:lang w:eastAsia="en-GB"/>
        </w:rPr>
      </w:pPr>
    </w:p>
    <w:p w14:paraId="73DEB254" w14:textId="5EBB74CE" w:rsidR="00196DE6" w:rsidRPr="00027F0A" w:rsidRDefault="00BA0EC4" w:rsidP="00B850C2">
      <w:pPr>
        <w:spacing w:after="0" w:line="240" w:lineRule="auto"/>
        <w:jc w:val="both"/>
        <w:rPr>
          <w:rFonts w:eastAsia="Times New Roman" w:cs="Arial"/>
          <w:b/>
        </w:rPr>
      </w:pPr>
      <w:r w:rsidRPr="00027F0A">
        <w:rPr>
          <w:b/>
          <w:u w:val="single"/>
        </w:rPr>
        <w:t>II</w:t>
      </w:r>
      <w:r w:rsidRPr="00027F0A">
        <w:rPr>
          <w:b/>
          <w:bCs/>
          <w:u w:val="single"/>
        </w:rPr>
        <w:t>I.6. Засоби передачі даних, здійснення платежів/зняття коштів, інфраструктура та мережа</w:t>
      </w:r>
    </w:p>
    <w:p w14:paraId="416C424B" w14:textId="7BB63C36" w:rsidR="008B175C" w:rsidRPr="00027F0A" w:rsidRDefault="00461455" w:rsidP="00B850C2">
      <w:pPr>
        <w:spacing w:after="0" w:line="240" w:lineRule="auto"/>
        <w:jc w:val="both"/>
        <w:rPr>
          <w:rFonts w:eastAsia="Times New Roman" w:cs="Arial"/>
          <w:color w:val="000000"/>
        </w:rPr>
      </w:pPr>
      <w:r w:rsidRPr="00027F0A">
        <w:rPr>
          <w:color w:val="000000"/>
        </w:rPr>
        <w:t xml:space="preserve">В своєму поданні ПФП </w:t>
      </w:r>
      <w:r w:rsidR="0009571A" w:rsidRPr="00027F0A">
        <w:rPr>
          <w:color w:val="000000"/>
        </w:rPr>
        <w:t xml:space="preserve">повинен зазначити </w:t>
      </w:r>
      <w:r w:rsidRPr="00027F0A">
        <w:rPr>
          <w:color w:val="000000"/>
        </w:rPr>
        <w:t>засоби для індивідуального здійснення платежів/зняття коштів, в тому числі інформацію про інфраструктуру та комунікаційну мережу, які використовуються для надання цієї послуги. </w:t>
      </w:r>
    </w:p>
    <w:p w14:paraId="713801CC" w14:textId="1C6C6EDA" w:rsidR="00196DE6" w:rsidRPr="00027F0A" w:rsidRDefault="00196DE6" w:rsidP="00B850C2">
      <w:pPr>
        <w:spacing w:after="0" w:line="240" w:lineRule="auto"/>
        <w:jc w:val="both"/>
        <w:rPr>
          <w:rFonts w:eastAsia="Times New Roman" w:cs="Arial"/>
          <w:color w:val="000000"/>
        </w:rPr>
      </w:pPr>
      <w:r w:rsidRPr="00027F0A">
        <w:rPr>
          <w:color w:val="000000"/>
        </w:rPr>
        <w:t>У пропозиції має бути наведена детальна інформація щодо точного географічного розміщення пунктів здійснення платежів/зняття коштів (</w:t>
      </w:r>
      <w:r w:rsidR="00853DE7" w:rsidRPr="00027F0A">
        <w:rPr>
          <w:color w:val="000000"/>
        </w:rPr>
        <w:t>банкомат</w:t>
      </w:r>
      <w:r w:rsidR="00027F0A">
        <w:rPr>
          <w:color w:val="000000"/>
        </w:rPr>
        <w:t>ів</w:t>
      </w:r>
      <w:r w:rsidRPr="00027F0A">
        <w:rPr>
          <w:color w:val="000000"/>
        </w:rPr>
        <w:t>), їх тип та кількість в кожному географічному районі. </w:t>
      </w:r>
    </w:p>
    <w:p w14:paraId="0CA9E50D" w14:textId="6D5F6C71" w:rsidR="00196DE6" w:rsidRPr="00027F0A" w:rsidRDefault="00196DE6" w:rsidP="00B850C2">
      <w:pPr>
        <w:spacing w:after="0" w:line="240" w:lineRule="auto"/>
        <w:jc w:val="both"/>
        <w:rPr>
          <w:rFonts w:eastAsia="Times New Roman" w:cs="Arial"/>
          <w:color w:val="000000"/>
        </w:rPr>
      </w:pPr>
      <w:r w:rsidRPr="00027F0A">
        <w:rPr>
          <w:color w:val="000000"/>
        </w:rPr>
        <w:t xml:space="preserve">Механізм та час реагування для анулювання або блокування зняття коштів в разі втрати чи крадіжки дебетової картки, про які повідомив клієнт.  </w:t>
      </w:r>
    </w:p>
    <w:p w14:paraId="6CC4D399" w14:textId="00D00A5D" w:rsidR="00196DE6" w:rsidRPr="00027F0A" w:rsidRDefault="00196DE6" w:rsidP="00B850C2">
      <w:pPr>
        <w:spacing w:after="0" w:line="240" w:lineRule="auto"/>
        <w:jc w:val="both"/>
        <w:rPr>
          <w:rFonts w:eastAsia="Times New Roman" w:cs="Arial"/>
          <w:color w:val="000000"/>
        </w:rPr>
      </w:pPr>
      <w:r w:rsidRPr="00027F0A">
        <w:t>ПФП несе відповідальність за забезпечення того, аби процедури анулювання/блокування реалізовувалися в узгоджений проміжок часу, а також бере на себе фінансову відповідальність за відшкодування УВКБ ООН будь-яких фінансових збитків в результаті затримки в обробці з боку ПФП.</w:t>
      </w:r>
    </w:p>
    <w:p w14:paraId="78203A15" w14:textId="2A91A071" w:rsidR="001742F8" w:rsidRPr="00027F0A" w:rsidRDefault="00196DE6" w:rsidP="00B850C2">
      <w:pPr>
        <w:spacing w:after="0" w:line="240" w:lineRule="auto"/>
        <w:jc w:val="both"/>
        <w:rPr>
          <w:rFonts w:eastAsia="Times New Roman" w:cs="Arial"/>
          <w:color w:val="000000"/>
        </w:rPr>
      </w:pPr>
      <w:r w:rsidRPr="00027F0A">
        <w:rPr>
          <w:color w:val="000000"/>
        </w:rPr>
        <w:t>Коли інфраструктура та/або мережа, що використовуються для послуги переказу, не належить ПФП або не підтримується ним, у пропозиції має бути зазначено механізми, за допомогою яких ПФП буде забезпечувати їх</w:t>
      </w:r>
      <w:r w:rsidR="0009571A" w:rsidRPr="00027F0A">
        <w:rPr>
          <w:color w:val="000000"/>
        </w:rPr>
        <w:t>ню</w:t>
      </w:r>
      <w:r w:rsidRPr="00027F0A">
        <w:rPr>
          <w:color w:val="000000"/>
        </w:rPr>
        <w:t xml:space="preserve"> якість та ефективність для надання послуги переказу. </w:t>
      </w:r>
    </w:p>
    <w:p w14:paraId="5E1337D6" w14:textId="26220557" w:rsidR="00D21811" w:rsidRPr="00027F0A" w:rsidRDefault="008F2B55" w:rsidP="00B850C2">
      <w:pPr>
        <w:spacing w:after="0" w:line="240" w:lineRule="auto"/>
        <w:jc w:val="both"/>
        <w:rPr>
          <w:rFonts w:eastAsia="Times New Roman" w:cs="Arial"/>
          <w:color w:val="000000"/>
        </w:rPr>
      </w:pPr>
      <w:r w:rsidRPr="00027F0A">
        <w:rPr>
          <w:color w:val="000000"/>
        </w:rPr>
        <w:t xml:space="preserve">ПФП повинен зазначити орієнтовну комісію за зняття коштів у % до суми готівки, виданої в </w:t>
      </w:r>
      <w:r w:rsidR="00853DE7">
        <w:rPr>
          <w:color w:val="000000"/>
        </w:rPr>
        <w:t>банкоматі</w:t>
      </w:r>
      <w:r w:rsidRPr="00027F0A">
        <w:rPr>
          <w:color w:val="000000"/>
        </w:rPr>
        <w:t xml:space="preserve">, що не відноситься до власної мережі </w:t>
      </w:r>
      <w:r w:rsidR="00853DE7">
        <w:rPr>
          <w:color w:val="000000"/>
        </w:rPr>
        <w:t>банкоматів</w:t>
      </w:r>
      <w:r w:rsidR="00853DE7" w:rsidRPr="00027F0A">
        <w:rPr>
          <w:color w:val="000000"/>
        </w:rPr>
        <w:t xml:space="preserve"> </w:t>
      </w:r>
      <w:r w:rsidRPr="00027F0A">
        <w:rPr>
          <w:color w:val="000000"/>
        </w:rPr>
        <w:t>ПФП.</w:t>
      </w:r>
    </w:p>
    <w:p w14:paraId="3401521A" w14:textId="530D93E6" w:rsidR="00D21811" w:rsidRPr="00027F0A" w:rsidRDefault="00D21811" w:rsidP="00B850C2">
      <w:pPr>
        <w:spacing w:after="0" w:line="240" w:lineRule="auto"/>
        <w:jc w:val="both"/>
        <w:rPr>
          <w:rFonts w:eastAsia="Times New Roman" w:cs="Arial"/>
          <w:color w:val="000000"/>
        </w:rPr>
      </w:pPr>
      <w:r w:rsidRPr="00027F0A">
        <w:t xml:space="preserve">Поповнення субрахунків з основного рахунку здійснюється за допомогою зашифрованого файлу даних, який Клієнт надає для завантаження менеджеру за рахунком ПФП, або через пряме завантаження Клієнтом. </w:t>
      </w:r>
      <w:r w:rsidRPr="00027F0A">
        <w:rPr>
          <w:color w:val="000000"/>
        </w:rPr>
        <w:t xml:space="preserve"> Цей файл </w:t>
      </w:r>
      <w:r w:rsidR="005A0CB8" w:rsidRPr="00027F0A">
        <w:rPr>
          <w:color w:val="000000"/>
        </w:rPr>
        <w:t xml:space="preserve">буде включати </w:t>
      </w:r>
      <w:r w:rsidRPr="00027F0A">
        <w:rPr>
          <w:color w:val="000000"/>
        </w:rPr>
        <w:t>ідентифікаційні номери, прив'язані до субрахунків, сум</w:t>
      </w:r>
      <w:r w:rsidR="005A0CB8" w:rsidRPr="00027F0A">
        <w:rPr>
          <w:color w:val="000000"/>
        </w:rPr>
        <w:t>у</w:t>
      </w:r>
      <w:r w:rsidRPr="00027F0A">
        <w:rPr>
          <w:color w:val="000000"/>
        </w:rPr>
        <w:t xml:space="preserve"> із зазначенням валюти та періодичн</w:t>
      </w:r>
      <w:r w:rsidR="005A0CB8" w:rsidRPr="00027F0A">
        <w:rPr>
          <w:color w:val="000000"/>
        </w:rPr>
        <w:t>і</w:t>
      </w:r>
      <w:r w:rsidRPr="00027F0A">
        <w:rPr>
          <w:color w:val="000000"/>
        </w:rPr>
        <w:t>ст</w:t>
      </w:r>
      <w:r w:rsidR="005A0CB8" w:rsidRPr="00027F0A">
        <w:rPr>
          <w:color w:val="000000"/>
        </w:rPr>
        <w:t>ь</w:t>
      </w:r>
      <w:r w:rsidRPr="00027F0A">
        <w:rPr>
          <w:color w:val="000000"/>
        </w:rPr>
        <w:t xml:space="preserve"> переказу. Після отримання цього файлу ПФП буде здійснювати поповнення субрахунків. </w:t>
      </w:r>
    </w:p>
    <w:p w14:paraId="31B7823E" w14:textId="4AEFBA44" w:rsidR="00D21811" w:rsidRPr="00027F0A" w:rsidRDefault="00D21811" w:rsidP="00B850C2">
      <w:pPr>
        <w:spacing w:after="0" w:line="240" w:lineRule="auto"/>
        <w:jc w:val="both"/>
        <w:rPr>
          <w:rFonts w:eastAsia="Times New Roman" w:cs="Arial"/>
          <w:color w:val="000000"/>
        </w:rPr>
      </w:pPr>
      <w:r w:rsidRPr="00027F0A">
        <w:rPr>
          <w:color w:val="000000"/>
        </w:rPr>
        <w:t xml:space="preserve">Вся передача даних між ПФП та Клієнтом має бути зашифрована, включати перевірки цілісності, а також відбуватися за захищеними лініями з використанням таких протоколів, як SFTP. Разом з пропозицією </w:t>
      </w:r>
      <w:r w:rsidR="005A0CB8" w:rsidRPr="00027F0A">
        <w:rPr>
          <w:color w:val="000000"/>
        </w:rPr>
        <w:t xml:space="preserve">постачальник </w:t>
      </w:r>
      <w:r w:rsidRPr="00027F0A">
        <w:rPr>
          <w:color w:val="000000"/>
        </w:rPr>
        <w:t>повинен подати детальну інформацію щодо заходів безпеки.</w:t>
      </w:r>
    </w:p>
    <w:p w14:paraId="33FFF906" w14:textId="3C854D57" w:rsidR="00687B3B" w:rsidRPr="00027F0A" w:rsidRDefault="00687B3B" w:rsidP="00B850C2">
      <w:pPr>
        <w:spacing w:after="0" w:line="240" w:lineRule="auto"/>
        <w:jc w:val="both"/>
        <w:rPr>
          <w:rFonts w:eastAsia="Times New Roman" w:cs="Arial"/>
          <w:color w:val="000000"/>
        </w:rPr>
      </w:pPr>
      <w:r w:rsidRPr="00027F0A">
        <w:rPr>
          <w:color w:val="000000"/>
        </w:rPr>
        <w:t>Для інтегр</w:t>
      </w:r>
      <w:r w:rsidR="00147E5D">
        <w:rPr>
          <w:color w:val="000000"/>
        </w:rPr>
        <w:t>ації</w:t>
      </w:r>
      <w:r w:rsidRPr="00027F0A">
        <w:rPr>
          <w:color w:val="000000"/>
        </w:rPr>
        <w:t xml:space="preserve"> виплати коштів до власної системи розрахунку платежів Клієнта програмне забезпечення та інфраструктура ПФП для цього проекту мають бути сумісні (інтерфейс) з протоколом інтеграції АРІ. ПФП повинен зазначити у пропозиції т</w:t>
      </w:r>
      <w:r w:rsidR="007B7040">
        <w:rPr>
          <w:color w:val="000000"/>
        </w:rPr>
        <w:t>ип використовуваного інтерфейсу</w:t>
      </w:r>
      <w:r w:rsidRPr="00027F0A">
        <w:rPr>
          <w:color w:val="000000"/>
        </w:rPr>
        <w:t xml:space="preserve"> з деталями</w:t>
      </w:r>
      <w:r w:rsidR="007B7040">
        <w:rPr>
          <w:color w:val="000000"/>
        </w:rPr>
        <w:t>,</w:t>
      </w:r>
      <w:r w:rsidRPr="00027F0A">
        <w:rPr>
          <w:color w:val="000000"/>
        </w:rPr>
        <w:t xml:space="preserve"> стосовно даних, що запитуються, та даних, що повертаються (точні поля даних будуть визначені клієнтом та ПФП на стадії </w:t>
      </w:r>
      <w:r w:rsidR="00853DE7" w:rsidRPr="00027F0A">
        <w:rPr>
          <w:color w:val="000000"/>
        </w:rPr>
        <w:t xml:space="preserve">укладення </w:t>
      </w:r>
      <w:r w:rsidRPr="00027F0A">
        <w:rPr>
          <w:color w:val="000000"/>
        </w:rPr>
        <w:t xml:space="preserve">контракту). Крім того, </w:t>
      </w:r>
      <w:r w:rsidR="00853DE7">
        <w:rPr>
          <w:color w:val="000000"/>
        </w:rPr>
        <w:t xml:space="preserve">для </w:t>
      </w:r>
      <w:r w:rsidR="00CF2E92">
        <w:rPr>
          <w:color w:val="000000"/>
        </w:rPr>
        <w:t xml:space="preserve">забезпечення </w:t>
      </w:r>
      <w:r w:rsidR="00853DE7" w:rsidRPr="00027F0A">
        <w:rPr>
          <w:color w:val="000000"/>
        </w:rPr>
        <w:t xml:space="preserve">безпеки проміжного/тестового інтеграційного серверу, а також робочого серверу </w:t>
      </w:r>
      <w:r w:rsidR="00147E5D">
        <w:rPr>
          <w:color w:val="000000"/>
        </w:rPr>
        <w:t xml:space="preserve">обов’язково </w:t>
      </w:r>
      <w:r w:rsidRPr="00027F0A">
        <w:rPr>
          <w:color w:val="000000"/>
        </w:rPr>
        <w:t xml:space="preserve">необхідні </w:t>
      </w:r>
      <w:r w:rsidR="00CF2E92" w:rsidRPr="00B029D3">
        <w:rPr>
          <w:color w:val="000000"/>
        </w:rPr>
        <w:t>посвідчення</w:t>
      </w:r>
      <w:r w:rsidRPr="00027F0A">
        <w:rPr>
          <w:color w:val="000000"/>
        </w:rPr>
        <w:t xml:space="preserve">. </w:t>
      </w:r>
    </w:p>
    <w:p w14:paraId="59C21108" w14:textId="77777777" w:rsidR="00D21811" w:rsidRPr="00027F0A" w:rsidRDefault="00D21811" w:rsidP="00B850C2">
      <w:pPr>
        <w:spacing w:after="0" w:line="240" w:lineRule="auto"/>
        <w:jc w:val="both"/>
        <w:rPr>
          <w:rFonts w:eastAsia="Times New Roman" w:cs="Arial"/>
          <w:color w:val="000000"/>
          <w:lang w:eastAsia="en-GB"/>
        </w:rPr>
      </w:pPr>
    </w:p>
    <w:p w14:paraId="60AA3B3C" w14:textId="77777777" w:rsidR="00E60310" w:rsidRPr="00027F0A" w:rsidRDefault="00E60310" w:rsidP="00B850C2">
      <w:pPr>
        <w:spacing w:after="0" w:line="240" w:lineRule="auto"/>
        <w:jc w:val="both"/>
        <w:rPr>
          <w:rFonts w:eastAsia="Times New Roman" w:cs="Arial"/>
          <w:color w:val="000000"/>
          <w:lang w:eastAsia="en-GB"/>
        </w:rPr>
      </w:pPr>
    </w:p>
    <w:p w14:paraId="00D2A32D" w14:textId="1C83AD1D" w:rsidR="00D767AB" w:rsidRPr="00027F0A" w:rsidRDefault="00D767AB" w:rsidP="00B850C2">
      <w:pPr>
        <w:spacing w:after="0" w:line="240" w:lineRule="auto"/>
        <w:jc w:val="both"/>
        <w:rPr>
          <w:rFonts w:eastAsia="Times New Roman" w:cs="Arial"/>
          <w:u w:val="single"/>
        </w:rPr>
      </w:pPr>
      <w:r w:rsidRPr="00027F0A">
        <w:rPr>
          <w:b/>
          <w:bCs/>
          <w:u w:val="single"/>
        </w:rPr>
        <w:t>III.7. Звітування та звірка</w:t>
      </w:r>
    </w:p>
    <w:p w14:paraId="5DCC342D" w14:textId="4A5A4D3B" w:rsidR="00D767AB" w:rsidRDefault="00B029D3" w:rsidP="00B850C2">
      <w:pPr>
        <w:spacing w:after="0" w:line="240" w:lineRule="auto"/>
        <w:jc w:val="both"/>
        <w:rPr>
          <w:color w:val="000000"/>
        </w:rPr>
      </w:pPr>
      <w:r w:rsidRPr="00F13457">
        <w:rPr>
          <w:rFonts w:eastAsia="Times New Roman" w:cs="Arial"/>
          <w:color w:val="000000"/>
          <w:lang w:eastAsia="en-GB"/>
        </w:rPr>
        <w:t>З дозволу УВКБ ООН та за узгодженням з постачальником фінансових послуг, інші гуманітарні суб’єкти повинні мати можливість вносити обмежену або необмежену кількість грошових коштів / ваучерів на рахунок (за допомогою картки). У постачальника фінансових послуг має бути потенціал для чіткого відокремлення коштів, отриманих від різних гуманітарних суб’єктів, з метою їх відстеження – через можливіст</w:t>
      </w:r>
      <w:r w:rsidR="00770B5E">
        <w:rPr>
          <w:rFonts w:eastAsia="Times New Roman" w:cs="Arial"/>
          <w:color w:val="000000"/>
          <w:lang w:eastAsia="en-GB"/>
        </w:rPr>
        <w:t>ь обліку за методом FIFO (перше надійшло</w:t>
      </w:r>
      <w:r w:rsidRPr="00F13457">
        <w:rPr>
          <w:rFonts w:eastAsia="Times New Roman" w:cs="Arial"/>
          <w:color w:val="000000"/>
          <w:lang w:eastAsia="en-GB"/>
        </w:rPr>
        <w:t>/перш</w:t>
      </w:r>
      <w:r w:rsidR="00770B5E">
        <w:rPr>
          <w:rFonts w:eastAsia="Times New Roman" w:cs="Arial"/>
          <w:color w:val="000000"/>
          <w:lang w:eastAsia="en-GB"/>
        </w:rPr>
        <w:t>е видано</w:t>
      </w:r>
      <w:r w:rsidRPr="00F13457">
        <w:rPr>
          <w:rFonts w:eastAsia="Times New Roman" w:cs="Arial"/>
          <w:color w:val="000000"/>
          <w:lang w:eastAsia="en-GB"/>
        </w:rPr>
        <w:t xml:space="preserve">) та/або за допомогою декількох гаманців. </w:t>
      </w:r>
      <w:r>
        <w:rPr>
          <w:rFonts w:eastAsia="Times New Roman" w:cs="Arial"/>
          <w:color w:val="000000"/>
          <w:lang w:eastAsia="en-GB"/>
        </w:rPr>
        <w:t>З г</w:t>
      </w:r>
      <w:r w:rsidRPr="00F13457">
        <w:rPr>
          <w:rFonts w:eastAsia="Times New Roman" w:cs="Arial"/>
          <w:color w:val="000000"/>
          <w:lang w:eastAsia="en-GB"/>
        </w:rPr>
        <w:t>уманітарн</w:t>
      </w:r>
      <w:r>
        <w:rPr>
          <w:rFonts w:eastAsia="Times New Roman" w:cs="Arial"/>
          <w:color w:val="000000"/>
          <w:lang w:eastAsia="en-GB"/>
        </w:rPr>
        <w:t>их</w:t>
      </w:r>
      <w:r w:rsidRPr="00F13457">
        <w:rPr>
          <w:rFonts w:eastAsia="Times New Roman" w:cs="Arial"/>
          <w:color w:val="000000"/>
          <w:lang w:eastAsia="en-GB"/>
        </w:rPr>
        <w:t xml:space="preserve"> суб’єкт</w:t>
      </w:r>
      <w:r>
        <w:rPr>
          <w:rFonts w:eastAsia="Times New Roman" w:cs="Arial"/>
          <w:color w:val="000000"/>
          <w:lang w:eastAsia="en-GB"/>
        </w:rPr>
        <w:t>ів</w:t>
      </w:r>
      <w:r w:rsidRPr="00F13457">
        <w:rPr>
          <w:rFonts w:eastAsia="Times New Roman" w:cs="Arial"/>
          <w:color w:val="000000"/>
          <w:lang w:eastAsia="en-GB"/>
        </w:rPr>
        <w:t xml:space="preserve">, які користуються цією функціональною можливістю, </w:t>
      </w:r>
      <w:r>
        <w:rPr>
          <w:rFonts w:eastAsia="Times New Roman" w:cs="Arial"/>
          <w:color w:val="000000"/>
          <w:lang w:eastAsia="en-GB"/>
        </w:rPr>
        <w:t>має стягуватися</w:t>
      </w:r>
      <w:r w:rsidRPr="00F13457">
        <w:rPr>
          <w:rFonts w:eastAsia="Times New Roman" w:cs="Arial"/>
          <w:color w:val="000000"/>
          <w:lang w:eastAsia="en-GB"/>
        </w:rPr>
        <w:t xml:space="preserve"> т</w:t>
      </w:r>
      <w:r>
        <w:rPr>
          <w:rFonts w:eastAsia="Times New Roman" w:cs="Arial"/>
          <w:color w:val="000000"/>
          <w:lang w:eastAsia="en-GB"/>
        </w:rPr>
        <w:t>а</w:t>
      </w:r>
      <w:r w:rsidRPr="00F13457">
        <w:rPr>
          <w:rFonts w:eastAsia="Times New Roman" w:cs="Arial"/>
          <w:color w:val="000000"/>
          <w:lang w:eastAsia="en-GB"/>
        </w:rPr>
        <w:t xml:space="preserve"> сам</w:t>
      </w:r>
      <w:r>
        <w:rPr>
          <w:rFonts w:eastAsia="Times New Roman" w:cs="Arial"/>
          <w:color w:val="000000"/>
          <w:lang w:eastAsia="en-GB"/>
        </w:rPr>
        <w:t>а</w:t>
      </w:r>
      <w:r w:rsidRPr="00F13457">
        <w:rPr>
          <w:rFonts w:eastAsia="Times New Roman" w:cs="Arial"/>
          <w:color w:val="000000"/>
          <w:lang w:eastAsia="en-GB"/>
        </w:rPr>
        <w:t xml:space="preserve"> комісі</w:t>
      </w:r>
      <w:r>
        <w:rPr>
          <w:rFonts w:eastAsia="Times New Roman" w:cs="Arial"/>
          <w:color w:val="000000"/>
          <w:lang w:eastAsia="en-GB"/>
        </w:rPr>
        <w:t>я</w:t>
      </w:r>
      <w:r w:rsidRPr="00F13457">
        <w:rPr>
          <w:rFonts w:eastAsia="Times New Roman" w:cs="Arial"/>
          <w:color w:val="000000"/>
          <w:lang w:eastAsia="en-GB"/>
        </w:rPr>
        <w:t xml:space="preserve"> за транзакції</w:t>
      </w:r>
      <w:r>
        <w:rPr>
          <w:rFonts w:eastAsia="Times New Roman" w:cs="Arial"/>
          <w:color w:val="000000"/>
          <w:lang w:eastAsia="en-GB"/>
        </w:rPr>
        <w:t>, і вони повинні</w:t>
      </w:r>
      <w:r w:rsidRPr="00F13457">
        <w:rPr>
          <w:rFonts w:eastAsia="Times New Roman" w:cs="Arial"/>
          <w:color w:val="000000"/>
          <w:lang w:eastAsia="en-GB"/>
        </w:rPr>
        <w:t xml:space="preserve"> </w:t>
      </w:r>
      <w:r w:rsidRPr="00F13457">
        <w:rPr>
          <w:rFonts w:eastAsia="Times New Roman" w:cs="Arial"/>
          <w:color w:val="000000"/>
          <w:lang w:eastAsia="en-GB"/>
        </w:rPr>
        <w:lastRenderedPageBreak/>
        <w:t>користуватися тими самими процедурами, положеннями і умовами, які узгоджені постачальником послуг та УВКБ ООН.</w:t>
      </w:r>
    </w:p>
    <w:p w14:paraId="0742BCC1" w14:textId="77777777" w:rsidR="00E91404" w:rsidRDefault="00E91404" w:rsidP="00B850C2">
      <w:pPr>
        <w:spacing w:after="0" w:line="240" w:lineRule="auto"/>
        <w:jc w:val="both"/>
        <w:rPr>
          <w:color w:val="000000"/>
        </w:rPr>
      </w:pPr>
    </w:p>
    <w:p w14:paraId="264FE167" w14:textId="77777777" w:rsidR="00E91404" w:rsidRDefault="00E91404" w:rsidP="00B850C2">
      <w:pPr>
        <w:spacing w:after="0" w:line="240" w:lineRule="auto"/>
        <w:jc w:val="both"/>
        <w:rPr>
          <w:color w:val="000000"/>
        </w:rPr>
      </w:pPr>
    </w:p>
    <w:p w14:paraId="6186E31D" w14:textId="77777777" w:rsidR="00E91404" w:rsidRDefault="00E91404" w:rsidP="00B850C2">
      <w:pPr>
        <w:spacing w:after="0" w:line="240" w:lineRule="auto"/>
        <w:jc w:val="both"/>
        <w:rPr>
          <w:color w:val="000000"/>
        </w:rPr>
      </w:pPr>
    </w:p>
    <w:p w14:paraId="3EBEC55F" w14:textId="4D5E1EC7" w:rsidR="00A15DAB" w:rsidRPr="00A15DAB" w:rsidRDefault="00A664CE" w:rsidP="00B850C2">
      <w:pPr>
        <w:spacing w:after="0" w:line="240" w:lineRule="auto"/>
        <w:jc w:val="both"/>
        <w:rPr>
          <w:b/>
          <w:color w:val="000000"/>
          <w:u w:val="single"/>
          <w:lang w:val="ru-RU"/>
        </w:rPr>
      </w:pPr>
      <w:r w:rsidRPr="00A15DAB">
        <w:rPr>
          <w:b/>
          <w:color w:val="000000"/>
          <w:u w:val="single"/>
          <w:lang w:val="en-US"/>
        </w:rPr>
        <w:t>III</w:t>
      </w:r>
      <w:r w:rsidRPr="00A15DAB">
        <w:rPr>
          <w:b/>
          <w:color w:val="000000"/>
          <w:u w:val="single"/>
          <w:lang w:val="ru-RU"/>
        </w:rPr>
        <w:t xml:space="preserve">.8. </w:t>
      </w:r>
      <w:proofErr w:type="spellStart"/>
      <w:r w:rsidRPr="00A15DAB">
        <w:rPr>
          <w:b/>
          <w:color w:val="000000"/>
          <w:u w:val="single"/>
          <w:lang w:val="ru-RU"/>
        </w:rPr>
        <w:t>Інтеграція</w:t>
      </w:r>
      <w:proofErr w:type="spellEnd"/>
      <w:r w:rsidRPr="00A15DAB">
        <w:rPr>
          <w:b/>
          <w:color w:val="000000"/>
          <w:u w:val="single"/>
          <w:lang w:val="ru-RU"/>
        </w:rPr>
        <w:t xml:space="preserve"> з </w:t>
      </w:r>
      <w:r w:rsidRPr="00A15DAB">
        <w:rPr>
          <w:b/>
          <w:color w:val="000000"/>
          <w:u w:val="single"/>
          <w:lang w:val="en-US"/>
        </w:rPr>
        <w:t>ERP</w:t>
      </w:r>
      <w:r w:rsidR="00A15DAB" w:rsidRPr="00A15DAB">
        <w:rPr>
          <w:b/>
          <w:color w:val="000000"/>
          <w:u w:val="single"/>
          <w:lang w:val="ru-RU"/>
        </w:rPr>
        <w:t>-</w:t>
      </w:r>
      <w:r w:rsidRPr="00A15DAB">
        <w:rPr>
          <w:b/>
          <w:color w:val="000000"/>
          <w:u w:val="single"/>
          <w:lang w:val="ru-RU"/>
        </w:rPr>
        <w:t xml:space="preserve">системою УВКБ ООН для </w:t>
      </w:r>
      <w:proofErr w:type="spellStart"/>
      <w:r w:rsidRPr="00A15DAB">
        <w:rPr>
          <w:b/>
          <w:color w:val="000000"/>
          <w:u w:val="single"/>
          <w:lang w:val="ru-RU"/>
        </w:rPr>
        <w:t>подання</w:t>
      </w:r>
      <w:proofErr w:type="spellEnd"/>
      <w:r w:rsidRPr="00A15DAB">
        <w:rPr>
          <w:b/>
          <w:color w:val="000000"/>
          <w:u w:val="single"/>
          <w:lang w:val="ru-RU"/>
        </w:rPr>
        <w:t xml:space="preserve"> </w:t>
      </w:r>
      <w:proofErr w:type="spellStart"/>
      <w:r w:rsidRPr="00A15DAB">
        <w:rPr>
          <w:b/>
          <w:color w:val="000000"/>
          <w:u w:val="single"/>
          <w:lang w:val="ru-RU"/>
        </w:rPr>
        <w:t>платежів</w:t>
      </w:r>
      <w:proofErr w:type="spellEnd"/>
    </w:p>
    <w:p w14:paraId="7BFE5A60" w14:textId="40619485" w:rsidR="00D767AB" w:rsidRDefault="00770B5E" w:rsidP="00B850C2">
      <w:pPr>
        <w:spacing w:after="0" w:line="240" w:lineRule="auto"/>
        <w:jc w:val="both"/>
        <w:rPr>
          <w:rFonts w:cs="Arial"/>
        </w:rPr>
      </w:pPr>
      <w:r>
        <w:rPr>
          <w:rFonts w:eastAsia="Times New Roman" w:cs="Arial"/>
          <w:color w:val="000000"/>
          <w:lang w:eastAsia="en-GB"/>
        </w:rPr>
        <w:t xml:space="preserve">В разі прийняття рішення про використання </w:t>
      </w:r>
      <w:r>
        <w:rPr>
          <w:rFonts w:eastAsia="Times New Roman" w:cs="Arial"/>
          <w:color w:val="000000"/>
          <w:lang w:val="en-US" w:eastAsia="en-GB"/>
        </w:rPr>
        <w:t>ERP</w:t>
      </w:r>
      <w:r w:rsidRPr="00397334">
        <w:rPr>
          <w:rFonts w:eastAsia="Times New Roman" w:cs="Arial"/>
          <w:color w:val="000000"/>
          <w:lang w:eastAsia="en-GB"/>
        </w:rPr>
        <w:t>-</w:t>
      </w:r>
      <w:r>
        <w:rPr>
          <w:rFonts w:eastAsia="Times New Roman" w:cs="Arial"/>
          <w:color w:val="000000"/>
          <w:lang w:eastAsia="en-GB"/>
        </w:rPr>
        <w:t xml:space="preserve">системи УВКБ ООН або будь-якого іншого </w:t>
      </w:r>
      <w:proofErr w:type="spellStart"/>
      <w:r>
        <w:rPr>
          <w:rFonts w:eastAsia="Times New Roman" w:cs="Arial"/>
          <w:color w:val="000000"/>
          <w:lang w:eastAsia="en-GB"/>
        </w:rPr>
        <w:t>пропрієтарного</w:t>
      </w:r>
      <w:proofErr w:type="spellEnd"/>
      <w:r>
        <w:rPr>
          <w:rFonts w:eastAsia="Times New Roman" w:cs="Arial"/>
          <w:color w:val="000000"/>
          <w:lang w:eastAsia="en-GB"/>
        </w:rPr>
        <w:t xml:space="preserve"> додатку для розрахунку платежів, в цьому розділі деталізуються мінімальні вимоги щодо інтеграції систем Постачальника фінансових послуг (ПФП) та УВКБ ООН з допомогою двох базових методів взаємодії</w:t>
      </w:r>
      <w:r w:rsidR="00CB759B">
        <w:rPr>
          <w:rFonts w:cs="Arial"/>
        </w:rPr>
        <w:t>:</w:t>
      </w:r>
    </w:p>
    <w:p w14:paraId="02486F01" w14:textId="77777777" w:rsidR="00BE5F7B" w:rsidRDefault="00BE5F7B" w:rsidP="00B850C2">
      <w:pPr>
        <w:spacing w:after="0" w:line="240" w:lineRule="auto"/>
        <w:jc w:val="both"/>
        <w:rPr>
          <w:rFonts w:cs="Arial"/>
        </w:rPr>
      </w:pPr>
    </w:p>
    <w:p w14:paraId="7CADA6AB" w14:textId="3D78BA78" w:rsidR="00E91404" w:rsidRPr="00E91404" w:rsidRDefault="00E91404" w:rsidP="00E91404">
      <w:pPr>
        <w:spacing w:after="0" w:line="240" w:lineRule="auto"/>
        <w:jc w:val="both"/>
        <w:rPr>
          <w:rFonts w:cs="Arial"/>
          <w:b/>
        </w:rPr>
      </w:pPr>
      <w:r w:rsidRPr="00E91404">
        <w:rPr>
          <w:rFonts w:cs="Arial"/>
          <w:b/>
        </w:rPr>
        <w:t xml:space="preserve">1. Інтеграція </w:t>
      </w:r>
      <w:r w:rsidR="00CA3B11">
        <w:rPr>
          <w:rFonts w:cs="Arial"/>
          <w:b/>
        </w:rPr>
        <w:t xml:space="preserve">за допомогою </w:t>
      </w:r>
      <w:r w:rsidRPr="00E91404">
        <w:rPr>
          <w:rFonts w:cs="Arial"/>
          <w:b/>
        </w:rPr>
        <w:t>API</w:t>
      </w:r>
    </w:p>
    <w:p w14:paraId="2CDFF7D7" w14:textId="1AA5EBF3" w:rsidR="00E91404" w:rsidRDefault="00DC1B12" w:rsidP="00E91404">
      <w:pPr>
        <w:spacing w:after="0" w:line="240" w:lineRule="auto"/>
        <w:ind w:left="720"/>
        <w:jc w:val="both"/>
        <w:rPr>
          <w:rFonts w:cs="Arial"/>
        </w:rPr>
      </w:pPr>
      <w:r>
        <w:rPr>
          <w:rFonts w:cs="Arial"/>
        </w:rPr>
        <w:t xml:space="preserve">a. </w:t>
      </w:r>
      <w:r w:rsidR="00CA3B11">
        <w:rPr>
          <w:rFonts w:cs="Arial"/>
        </w:rPr>
        <w:t xml:space="preserve">УВКБ ООН необхідне чітке зазначення типу інтерфейсу, який буде використовуватись, всі деталі </w:t>
      </w:r>
      <w:r w:rsidR="00CA3B11" w:rsidRPr="00505E7E">
        <w:rPr>
          <w:rFonts w:cs="Arial"/>
        </w:rPr>
        <w:t>стосовно даних, що запитуються, та даних, що повертаються</w:t>
      </w:r>
      <w:r w:rsidR="00CA3B11">
        <w:rPr>
          <w:rFonts w:cs="Arial"/>
        </w:rPr>
        <w:t>. Т</w:t>
      </w:r>
      <w:r w:rsidR="00CA3B11" w:rsidRPr="00505E7E">
        <w:rPr>
          <w:rFonts w:cs="Arial"/>
        </w:rPr>
        <w:t xml:space="preserve">очні поля даних будуть визначені </w:t>
      </w:r>
      <w:r w:rsidR="00CA3B11">
        <w:rPr>
          <w:rFonts w:cs="Arial"/>
        </w:rPr>
        <w:t>у співробітництві з</w:t>
      </w:r>
      <w:r w:rsidR="00CA3B11" w:rsidRPr="00505E7E">
        <w:rPr>
          <w:rFonts w:cs="Arial"/>
        </w:rPr>
        <w:t xml:space="preserve"> ПФП на </w:t>
      </w:r>
      <w:r w:rsidR="00CA3B11">
        <w:rPr>
          <w:rFonts w:cs="Arial"/>
        </w:rPr>
        <w:t>момент інтеграції</w:t>
      </w:r>
      <w:r w:rsidR="00E91404" w:rsidRPr="00E91404">
        <w:rPr>
          <w:rFonts w:cs="Arial"/>
        </w:rPr>
        <w:t>.</w:t>
      </w:r>
    </w:p>
    <w:p w14:paraId="5B9661BD" w14:textId="77777777" w:rsidR="00CA3B11" w:rsidRPr="00E91404" w:rsidRDefault="00CA3B11" w:rsidP="00E91404">
      <w:pPr>
        <w:spacing w:after="0" w:line="240" w:lineRule="auto"/>
        <w:ind w:left="720"/>
        <w:jc w:val="both"/>
        <w:rPr>
          <w:rFonts w:cs="Arial"/>
        </w:rPr>
      </w:pPr>
    </w:p>
    <w:p w14:paraId="2733C78D" w14:textId="77777777" w:rsidR="00E91404" w:rsidRPr="00E91404" w:rsidRDefault="00E91404" w:rsidP="00E91404">
      <w:pPr>
        <w:spacing w:after="0" w:line="240" w:lineRule="auto"/>
        <w:jc w:val="both"/>
        <w:rPr>
          <w:rFonts w:cs="Arial"/>
          <w:b/>
        </w:rPr>
      </w:pPr>
      <w:r w:rsidRPr="00E91404">
        <w:rPr>
          <w:rFonts w:cs="Arial"/>
          <w:b/>
        </w:rPr>
        <w:t>2. Безпечний протокол передачі файлів</w:t>
      </w:r>
    </w:p>
    <w:p w14:paraId="08EAB45E" w14:textId="41B3E7E4" w:rsidR="00574894" w:rsidRPr="00574894" w:rsidRDefault="00574894" w:rsidP="00574894">
      <w:pPr>
        <w:pStyle w:val="ListParagraph"/>
        <w:numPr>
          <w:ilvl w:val="0"/>
          <w:numId w:val="23"/>
        </w:numPr>
        <w:spacing w:before="0" w:beforeAutospacing="0" w:after="0" w:afterAutospacing="0"/>
        <w:ind w:left="720"/>
        <w:jc w:val="both"/>
        <w:rPr>
          <w:rFonts w:asciiTheme="minorHAnsi" w:hAnsiTheme="minorHAnsi" w:cstheme="minorHAnsi"/>
          <w:sz w:val="22"/>
          <w:szCs w:val="22"/>
        </w:rPr>
      </w:pPr>
      <w:r w:rsidRPr="00574894">
        <w:rPr>
          <w:rFonts w:asciiTheme="minorHAnsi" w:hAnsiTheme="minorHAnsi" w:cstheme="minorHAnsi"/>
          <w:sz w:val="22"/>
          <w:szCs w:val="22"/>
        </w:rPr>
        <w:t xml:space="preserve">УВКБ ООН встановить зв’язок між двома </w:t>
      </w:r>
      <w:proofErr w:type="spellStart"/>
      <w:r w:rsidRPr="00574894">
        <w:rPr>
          <w:rFonts w:asciiTheme="minorHAnsi" w:hAnsiTheme="minorHAnsi" w:cstheme="minorHAnsi"/>
          <w:sz w:val="22"/>
          <w:szCs w:val="22"/>
        </w:rPr>
        <w:t>хостами</w:t>
      </w:r>
      <w:proofErr w:type="spellEnd"/>
      <w:r w:rsidRPr="00574894">
        <w:rPr>
          <w:rFonts w:asciiTheme="minorHAnsi" w:hAnsiTheme="minorHAnsi" w:cstheme="minorHAnsi"/>
          <w:sz w:val="22"/>
          <w:szCs w:val="22"/>
        </w:rPr>
        <w:t xml:space="preserve"> та надсилатиме файли платежів із своєї ERP-системи в електронній формі шляхом передачі файлів.</w:t>
      </w:r>
    </w:p>
    <w:p w14:paraId="2F164261" w14:textId="77777777" w:rsidR="00574894" w:rsidRDefault="00574894" w:rsidP="00574894">
      <w:pPr>
        <w:pStyle w:val="ListParagraph"/>
        <w:numPr>
          <w:ilvl w:val="0"/>
          <w:numId w:val="23"/>
        </w:numPr>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Зв'язок між </w:t>
      </w:r>
      <w:proofErr w:type="spellStart"/>
      <w:r>
        <w:rPr>
          <w:rFonts w:asciiTheme="minorHAnsi" w:hAnsiTheme="minorHAnsi" w:cstheme="minorHAnsi"/>
          <w:sz w:val="22"/>
          <w:szCs w:val="22"/>
        </w:rPr>
        <w:t>хостами</w:t>
      </w:r>
      <w:proofErr w:type="spellEnd"/>
      <w:r>
        <w:rPr>
          <w:rFonts w:asciiTheme="minorHAnsi" w:hAnsiTheme="minorHAnsi" w:cstheme="minorHAnsi"/>
          <w:sz w:val="22"/>
          <w:szCs w:val="22"/>
        </w:rPr>
        <w:t xml:space="preserve"> повинен бути встановлений безпечним чином, а файли мають шифруватися та надсилатися в </w:t>
      </w:r>
      <w:r w:rsidRPr="00574894">
        <w:rPr>
          <w:rFonts w:asciiTheme="minorHAnsi" w:hAnsiTheme="minorHAnsi" w:cstheme="minorHAnsi"/>
          <w:sz w:val="22"/>
          <w:szCs w:val="22"/>
        </w:rPr>
        <w:t>XML-</w:t>
      </w:r>
      <w:r>
        <w:rPr>
          <w:rFonts w:asciiTheme="minorHAnsi" w:hAnsiTheme="minorHAnsi" w:cstheme="minorHAnsi"/>
          <w:sz w:val="22"/>
          <w:szCs w:val="22"/>
        </w:rPr>
        <w:t>форматі.</w:t>
      </w:r>
    </w:p>
    <w:p w14:paraId="7A400B05" w14:textId="77777777" w:rsidR="00574894" w:rsidRPr="00574894" w:rsidRDefault="00574894" w:rsidP="00A336CB">
      <w:pPr>
        <w:pStyle w:val="ListParagraph"/>
        <w:numPr>
          <w:ilvl w:val="0"/>
          <w:numId w:val="23"/>
        </w:numPr>
        <w:spacing w:before="0" w:beforeAutospacing="0" w:after="0" w:afterAutospacing="0"/>
        <w:ind w:left="720"/>
        <w:jc w:val="both"/>
        <w:rPr>
          <w:rFonts w:cs="Arial"/>
        </w:rPr>
      </w:pPr>
      <w:r w:rsidRPr="00574894">
        <w:rPr>
          <w:rFonts w:asciiTheme="minorHAnsi" w:hAnsiTheme="minorHAnsi" w:cstheme="minorHAnsi"/>
          <w:sz w:val="22"/>
          <w:szCs w:val="22"/>
        </w:rPr>
        <w:t>УВКБ ООН очікуватиме також відповіді ПФП щодо статусу виконання.</w:t>
      </w:r>
    </w:p>
    <w:p w14:paraId="60464E70" w14:textId="05F3C11F" w:rsidR="00CB759B" w:rsidRPr="00574894" w:rsidRDefault="00574894" w:rsidP="00A336CB">
      <w:pPr>
        <w:pStyle w:val="ListParagraph"/>
        <w:numPr>
          <w:ilvl w:val="0"/>
          <w:numId w:val="23"/>
        </w:numPr>
        <w:spacing w:before="0" w:beforeAutospacing="0" w:after="0" w:afterAutospacing="0"/>
        <w:ind w:left="720"/>
        <w:jc w:val="both"/>
        <w:rPr>
          <w:rFonts w:cs="Arial"/>
        </w:rPr>
      </w:pPr>
      <w:r w:rsidRPr="00574894">
        <w:rPr>
          <w:rFonts w:asciiTheme="minorHAnsi" w:hAnsiTheme="minorHAnsi" w:cstheme="minorHAnsi"/>
          <w:sz w:val="22"/>
          <w:szCs w:val="22"/>
        </w:rPr>
        <w:t>Точні поля даних будуть визначені у співробітництві з ПФП на момент інтеграції</w:t>
      </w:r>
      <w:r w:rsidR="00E91404" w:rsidRPr="00574894">
        <w:rPr>
          <w:rFonts w:cs="Arial"/>
        </w:rPr>
        <w:t>.</w:t>
      </w:r>
    </w:p>
    <w:p w14:paraId="384EDED9" w14:textId="77777777" w:rsidR="00B850C2" w:rsidRDefault="00B850C2" w:rsidP="00B850C2">
      <w:pPr>
        <w:spacing w:after="0" w:line="240" w:lineRule="auto"/>
        <w:jc w:val="both"/>
        <w:rPr>
          <w:rFonts w:cs="Arial"/>
        </w:rPr>
      </w:pPr>
    </w:p>
    <w:p w14:paraId="56AA419A" w14:textId="75282881" w:rsidR="00BE5F7B" w:rsidRPr="00BE5F7B" w:rsidRDefault="00BE5F7B" w:rsidP="00BE5F7B">
      <w:pPr>
        <w:spacing w:after="0" w:line="240" w:lineRule="auto"/>
        <w:jc w:val="both"/>
        <w:rPr>
          <w:rFonts w:cs="Arial"/>
        </w:rPr>
      </w:pPr>
      <w:r w:rsidRPr="00BE5F7B">
        <w:rPr>
          <w:rFonts w:cs="Arial"/>
        </w:rPr>
        <w:t xml:space="preserve">Крім того, УВКБ ООН </w:t>
      </w:r>
      <w:r w:rsidR="00EF3146">
        <w:rPr>
          <w:rFonts w:cs="Arial"/>
        </w:rPr>
        <w:t>знадобиться наступне</w:t>
      </w:r>
      <w:r w:rsidRPr="00BE5F7B">
        <w:rPr>
          <w:rFonts w:cs="Arial"/>
        </w:rPr>
        <w:t>:</w:t>
      </w:r>
    </w:p>
    <w:p w14:paraId="34AFB8EB" w14:textId="77777777" w:rsidR="00EF3146" w:rsidRPr="00EF3146" w:rsidRDefault="00EF3146" w:rsidP="00EF3146">
      <w:pPr>
        <w:pStyle w:val="ListParagraph"/>
        <w:numPr>
          <w:ilvl w:val="0"/>
          <w:numId w:val="20"/>
        </w:numPr>
        <w:spacing w:after="0"/>
        <w:jc w:val="both"/>
        <w:rPr>
          <w:rFonts w:asciiTheme="minorHAnsi" w:hAnsiTheme="minorHAnsi" w:cs="Arial"/>
          <w:sz w:val="22"/>
        </w:rPr>
      </w:pPr>
      <w:r w:rsidRPr="00EF3146">
        <w:rPr>
          <w:rFonts w:asciiTheme="minorHAnsi" w:hAnsiTheme="minorHAnsi" w:cs="Arial"/>
          <w:sz w:val="22"/>
        </w:rPr>
        <w:t>Безпечний проміжний/тестовий інтеграційний сервер протягом тестового етапу, а згодом – безпечний робочий сервер на момент введення в експлуатацію.</w:t>
      </w:r>
    </w:p>
    <w:p w14:paraId="5455D9A0" w14:textId="77777777" w:rsidR="00EF3146" w:rsidRPr="00EF3146" w:rsidRDefault="00EF3146" w:rsidP="00EF3146">
      <w:pPr>
        <w:pStyle w:val="ListParagraph"/>
        <w:numPr>
          <w:ilvl w:val="0"/>
          <w:numId w:val="20"/>
        </w:numPr>
        <w:spacing w:after="0"/>
        <w:jc w:val="both"/>
        <w:rPr>
          <w:rFonts w:asciiTheme="minorHAnsi" w:hAnsiTheme="minorHAnsi" w:cs="Arial"/>
          <w:sz w:val="22"/>
        </w:rPr>
      </w:pPr>
      <w:r w:rsidRPr="00EF3146">
        <w:rPr>
          <w:rFonts w:asciiTheme="minorHAnsi" w:hAnsiTheme="minorHAnsi" w:cs="Arial"/>
          <w:sz w:val="22"/>
        </w:rPr>
        <w:t>ПФП має зазначити у своїх поданнях засоби інтеграції.</w:t>
      </w:r>
    </w:p>
    <w:p w14:paraId="7C8AA92F" w14:textId="77777777" w:rsidR="00EF3146" w:rsidRPr="00EF3146" w:rsidRDefault="00EF3146" w:rsidP="00EF3146">
      <w:pPr>
        <w:pStyle w:val="ListParagraph"/>
        <w:numPr>
          <w:ilvl w:val="0"/>
          <w:numId w:val="20"/>
        </w:numPr>
        <w:spacing w:after="0"/>
        <w:jc w:val="both"/>
        <w:rPr>
          <w:rFonts w:asciiTheme="minorHAnsi" w:hAnsiTheme="minorHAnsi" w:cs="Arial"/>
          <w:sz w:val="22"/>
        </w:rPr>
      </w:pPr>
      <w:r w:rsidRPr="00EF3146">
        <w:rPr>
          <w:rFonts w:asciiTheme="minorHAnsi" w:hAnsiTheme="minorHAnsi" w:cs="Arial"/>
          <w:sz w:val="22"/>
        </w:rPr>
        <w:t>За можливістю, УВКБ ООН очікує використання стандарту ISO 20022 для комунікації та обміну даними з ПФП.</w:t>
      </w:r>
    </w:p>
    <w:p w14:paraId="6E897D03" w14:textId="77777777" w:rsidR="00EF3146" w:rsidRPr="00EF3146" w:rsidRDefault="00EF3146" w:rsidP="00EF3146">
      <w:pPr>
        <w:pStyle w:val="ListParagraph"/>
        <w:numPr>
          <w:ilvl w:val="0"/>
          <w:numId w:val="20"/>
        </w:numPr>
        <w:spacing w:after="0"/>
        <w:jc w:val="both"/>
        <w:rPr>
          <w:rFonts w:asciiTheme="minorHAnsi" w:hAnsiTheme="minorHAnsi" w:cs="Arial"/>
          <w:sz w:val="22"/>
        </w:rPr>
      </w:pPr>
      <w:r w:rsidRPr="00EF3146">
        <w:rPr>
          <w:rFonts w:asciiTheme="minorHAnsi" w:hAnsiTheme="minorHAnsi" w:cs="Arial"/>
          <w:sz w:val="22"/>
        </w:rPr>
        <w:t>Альтернативи ISO 20022 розглядатимуться, але мають відповідати мінімальним вимогам УВКБ ООН щодо інтеграції (див. Додаток G).</w:t>
      </w:r>
    </w:p>
    <w:p w14:paraId="2B8DCF8E" w14:textId="77777777" w:rsidR="00EF3146" w:rsidRPr="00EF3146" w:rsidRDefault="00EF3146" w:rsidP="00EF3146">
      <w:pPr>
        <w:pStyle w:val="ListParagraph"/>
        <w:numPr>
          <w:ilvl w:val="0"/>
          <w:numId w:val="20"/>
        </w:numPr>
        <w:spacing w:after="0"/>
        <w:jc w:val="both"/>
        <w:rPr>
          <w:rFonts w:asciiTheme="minorHAnsi" w:hAnsiTheme="minorHAnsi" w:cs="Arial"/>
          <w:sz w:val="22"/>
        </w:rPr>
      </w:pPr>
      <w:r w:rsidRPr="00EF3146">
        <w:rPr>
          <w:rFonts w:asciiTheme="minorHAnsi" w:hAnsiTheme="minorHAnsi" w:cs="Arial"/>
          <w:sz w:val="22"/>
        </w:rPr>
        <w:t>Додаткова робота з розробки, необхідна для інтеграції з боку ПФП, покладається на Постачальника фінансових послуг.</w:t>
      </w:r>
    </w:p>
    <w:p w14:paraId="7EEFCF2E" w14:textId="7A6050FA" w:rsidR="00BE5F7B" w:rsidRDefault="00EF3146" w:rsidP="00EF3146">
      <w:pPr>
        <w:pStyle w:val="ListParagraph"/>
        <w:numPr>
          <w:ilvl w:val="0"/>
          <w:numId w:val="20"/>
        </w:numPr>
        <w:spacing w:after="0"/>
        <w:jc w:val="both"/>
        <w:rPr>
          <w:rFonts w:asciiTheme="minorHAnsi" w:hAnsiTheme="minorHAnsi" w:cs="Arial"/>
          <w:sz w:val="22"/>
        </w:rPr>
      </w:pPr>
      <w:r w:rsidRPr="00EF3146">
        <w:rPr>
          <w:rFonts w:asciiTheme="minorHAnsi" w:hAnsiTheme="minorHAnsi" w:cs="Arial"/>
          <w:sz w:val="22"/>
        </w:rPr>
        <w:t>УВКБ ООН розраховує співпрацювати виключно з ПФП безпосередньо для інтеграції систем УВКБ ООН та ПФП</w:t>
      </w:r>
      <w:r w:rsidR="00707313">
        <w:rPr>
          <w:rFonts w:asciiTheme="minorHAnsi" w:hAnsiTheme="minorHAnsi" w:cs="Arial"/>
          <w:sz w:val="22"/>
        </w:rPr>
        <w:t>.</w:t>
      </w:r>
    </w:p>
    <w:p w14:paraId="3137F8D8" w14:textId="2DF5D326" w:rsidR="002F2DF1" w:rsidRPr="002F2DF1" w:rsidRDefault="00EF3146" w:rsidP="002F2DF1">
      <w:pPr>
        <w:spacing w:after="0"/>
        <w:jc w:val="both"/>
        <w:rPr>
          <w:rFonts w:cs="Arial"/>
          <w:b/>
        </w:rPr>
      </w:pPr>
      <w:r w:rsidRPr="00EF3146">
        <w:rPr>
          <w:rFonts w:cs="Arial"/>
          <w:b/>
        </w:rPr>
        <w:t xml:space="preserve">Дистрибуція </w:t>
      </w:r>
      <w:r w:rsidR="002F2DF1" w:rsidRPr="002F2DF1">
        <w:rPr>
          <w:rFonts w:cs="Arial"/>
          <w:b/>
        </w:rPr>
        <w:t>передплачених карток</w:t>
      </w:r>
    </w:p>
    <w:p w14:paraId="7A0D4D7A" w14:textId="77777777" w:rsidR="00EF3146" w:rsidRDefault="00EF3146" w:rsidP="00EF3146">
      <w:pPr>
        <w:spacing w:after="0" w:line="240" w:lineRule="auto"/>
        <w:jc w:val="both"/>
        <w:rPr>
          <w:rFonts w:eastAsia="Times New Roman" w:cs="Arial"/>
          <w:color w:val="000000"/>
          <w:lang w:eastAsia="en-GB"/>
        </w:rPr>
      </w:pPr>
      <w:r>
        <w:rPr>
          <w:rFonts w:eastAsia="Times New Roman" w:cs="Arial"/>
          <w:color w:val="000000"/>
          <w:lang w:eastAsia="en-GB"/>
        </w:rPr>
        <w:t xml:space="preserve">Коли обраним механізмом здійснення є передплачені картки, важливо, аби на ці картки був нанесений штрих-код за одним із стандартних механізмів нанесення, наприклад </w:t>
      </w:r>
      <w:r w:rsidRPr="00603116">
        <w:rPr>
          <w:rFonts w:eastAsia="Times New Roman" w:cs="Arial"/>
          <w:color w:val="000000"/>
          <w:lang w:eastAsia="en-GB"/>
        </w:rPr>
        <w:t xml:space="preserve">UPC, GS1 або </w:t>
      </w:r>
      <w:proofErr w:type="spellStart"/>
      <w:r w:rsidRPr="00603116">
        <w:rPr>
          <w:rFonts w:eastAsia="Times New Roman" w:cs="Arial"/>
          <w:color w:val="000000"/>
          <w:lang w:eastAsia="en-GB"/>
        </w:rPr>
        <w:t>Code</w:t>
      </w:r>
      <w:proofErr w:type="spellEnd"/>
      <w:r w:rsidRPr="00603116">
        <w:rPr>
          <w:rFonts w:eastAsia="Times New Roman" w:cs="Arial"/>
          <w:color w:val="000000"/>
          <w:lang w:eastAsia="en-GB"/>
        </w:rPr>
        <w:t xml:space="preserve"> 39</w:t>
      </w:r>
      <w:r>
        <w:rPr>
          <w:rFonts w:eastAsia="Times New Roman" w:cs="Arial"/>
          <w:color w:val="000000"/>
          <w:lang w:eastAsia="en-GB"/>
        </w:rPr>
        <w:t>, з метою швидкого та точного обліку карток у системах розподілу карток УВКБ ООН.</w:t>
      </w:r>
    </w:p>
    <w:p w14:paraId="323691EA" w14:textId="77777777" w:rsidR="00EF3146" w:rsidRDefault="00EF3146" w:rsidP="00EF3146">
      <w:pPr>
        <w:spacing w:after="0" w:line="240" w:lineRule="auto"/>
        <w:jc w:val="both"/>
        <w:rPr>
          <w:rFonts w:eastAsia="Times New Roman" w:cs="Arial"/>
          <w:color w:val="000000"/>
          <w:lang w:eastAsia="en-GB"/>
        </w:rPr>
      </w:pPr>
      <w:r>
        <w:rPr>
          <w:rFonts w:eastAsia="Times New Roman" w:cs="Arial"/>
          <w:color w:val="000000"/>
          <w:lang w:eastAsia="en-GB"/>
        </w:rPr>
        <w:t>В ідеалі, штрих-коди мають бути видимими на зворотному боці пакунку/конверту, в якому містяться картки, з метою мінімізації можливості шахрайства.</w:t>
      </w:r>
    </w:p>
    <w:p w14:paraId="7E4B8B84" w14:textId="78A16644" w:rsidR="00707313" w:rsidRPr="00707313" w:rsidRDefault="00EF3146" w:rsidP="00EF3146">
      <w:pPr>
        <w:spacing w:after="0"/>
        <w:jc w:val="both"/>
        <w:rPr>
          <w:rFonts w:cs="Arial"/>
        </w:rPr>
      </w:pPr>
      <w:r>
        <w:rPr>
          <w:rFonts w:eastAsia="Times New Roman" w:cs="Arial"/>
          <w:color w:val="000000"/>
          <w:lang w:eastAsia="en-GB"/>
        </w:rPr>
        <w:t>Додаткові вимоги стосовно готівкових коштів можуть бути включені до будь-якої іншої частини цього ЗОП</w:t>
      </w:r>
      <w:r w:rsidR="002F2DF1" w:rsidRPr="002F2DF1">
        <w:rPr>
          <w:rFonts w:cs="Arial"/>
        </w:rPr>
        <w:t>.</w:t>
      </w:r>
    </w:p>
    <w:p w14:paraId="16DB87A7" w14:textId="77777777" w:rsidR="00BE5F7B" w:rsidRDefault="00BE5F7B" w:rsidP="00B850C2">
      <w:pPr>
        <w:spacing w:after="0" w:line="240" w:lineRule="auto"/>
        <w:jc w:val="both"/>
        <w:rPr>
          <w:rFonts w:cs="Arial"/>
        </w:rPr>
      </w:pPr>
    </w:p>
    <w:p w14:paraId="2E1CADD9" w14:textId="6E7C57BC" w:rsidR="00BE58CD" w:rsidRPr="002323E5" w:rsidRDefault="00BE58CD" w:rsidP="00B850C2">
      <w:pPr>
        <w:spacing w:after="0" w:line="240" w:lineRule="auto"/>
        <w:jc w:val="both"/>
        <w:rPr>
          <w:rFonts w:cs="Arial"/>
          <w:b/>
        </w:rPr>
      </w:pPr>
      <w:r w:rsidRPr="002323E5">
        <w:rPr>
          <w:rFonts w:cs="Arial"/>
          <w:b/>
          <w:lang w:val="en-US"/>
        </w:rPr>
        <w:t>III</w:t>
      </w:r>
      <w:r w:rsidRPr="00954138">
        <w:rPr>
          <w:rFonts w:cs="Arial"/>
          <w:b/>
        </w:rPr>
        <w:t xml:space="preserve">.9. </w:t>
      </w:r>
      <w:r w:rsidR="00E219FB" w:rsidRPr="00E219FB">
        <w:rPr>
          <w:rFonts w:cs="Arial"/>
          <w:b/>
        </w:rPr>
        <w:t xml:space="preserve">Звітування </w:t>
      </w:r>
      <w:r w:rsidR="002323E5" w:rsidRPr="002323E5">
        <w:rPr>
          <w:rFonts w:cs="Arial"/>
          <w:b/>
        </w:rPr>
        <w:t>та звірка даних</w:t>
      </w:r>
    </w:p>
    <w:p w14:paraId="1C8470E6" w14:textId="3621A63A" w:rsidR="00954138" w:rsidRPr="00954138" w:rsidRDefault="00954138" w:rsidP="00954138">
      <w:pPr>
        <w:spacing w:after="0" w:line="240" w:lineRule="auto"/>
        <w:jc w:val="both"/>
        <w:rPr>
          <w:rFonts w:cs="Arial"/>
        </w:rPr>
      </w:pPr>
      <w:r>
        <w:rPr>
          <w:rFonts w:cs="Arial"/>
        </w:rPr>
        <w:t>ПФП</w:t>
      </w:r>
      <w:r w:rsidRPr="00954138">
        <w:rPr>
          <w:rFonts w:cs="Arial"/>
        </w:rPr>
        <w:t xml:space="preserve"> надає регулярні банківські виписки та звіти для моніторингу, обліку та звітування про операції, включаючи надходження коштів клієнтом та докази вилучення/виплати коштів.</w:t>
      </w:r>
    </w:p>
    <w:p w14:paraId="1FEBF076" w14:textId="7EA16770" w:rsidR="00954138" w:rsidRPr="00954138" w:rsidRDefault="00954138" w:rsidP="00954138">
      <w:pPr>
        <w:spacing w:after="0" w:line="240" w:lineRule="auto"/>
        <w:jc w:val="both"/>
        <w:rPr>
          <w:rFonts w:cs="Arial"/>
        </w:rPr>
      </w:pPr>
      <w:r w:rsidRPr="0043533C">
        <w:rPr>
          <w:rFonts w:cs="Arial"/>
          <w:i/>
        </w:rPr>
        <w:t>Щомісячно</w:t>
      </w:r>
      <w:r w:rsidRPr="00954138">
        <w:rPr>
          <w:rFonts w:cs="Arial"/>
        </w:rPr>
        <w:t xml:space="preserve"> </w:t>
      </w:r>
      <w:r w:rsidR="000A3A36">
        <w:rPr>
          <w:rFonts w:cs="Arial"/>
        </w:rPr>
        <w:t>ПФП</w:t>
      </w:r>
      <w:r w:rsidRPr="00954138">
        <w:rPr>
          <w:rFonts w:cs="Arial"/>
        </w:rPr>
        <w:t xml:space="preserve"> надаватиме УВКБ ООН:</w:t>
      </w:r>
    </w:p>
    <w:p w14:paraId="3974AE97" w14:textId="6CA24811" w:rsidR="00954138" w:rsidRPr="00954138" w:rsidRDefault="00954138" w:rsidP="00954138">
      <w:pPr>
        <w:pStyle w:val="ListParagraph"/>
        <w:numPr>
          <w:ilvl w:val="0"/>
          <w:numId w:val="22"/>
        </w:numPr>
        <w:spacing w:after="0"/>
        <w:jc w:val="both"/>
        <w:rPr>
          <w:rFonts w:asciiTheme="minorHAnsi" w:hAnsiTheme="minorHAnsi" w:cs="Arial"/>
          <w:sz w:val="22"/>
        </w:rPr>
      </w:pPr>
      <w:r w:rsidRPr="00954138">
        <w:rPr>
          <w:rFonts w:asciiTheme="minorHAnsi" w:hAnsiTheme="minorHAnsi" w:cs="Arial"/>
          <w:sz w:val="22"/>
        </w:rPr>
        <w:lastRenderedPageBreak/>
        <w:t xml:space="preserve">Звіт з переліком активованих та </w:t>
      </w:r>
      <w:proofErr w:type="spellStart"/>
      <w:r w:rsidRPr="00954138">
        <w:rPr>
          <w:rFonts w:asciiTheme="minorHAnsi" w:hAnsiTheme="minorHAnsi" w:cs="Arial"/>
          <w:sz w:val="22"/>
        </w:rPr>
        <w:t>деактивованих</w:t>
      </w:r>
      <w:proofErr w:type="spellEnd"/>
      <w:r w:rsidRPr="00954138">
        <w:rPr>
          <w:rFonts w:asciiTheme="minorHAnsi" w:hAnsiTheme="minorHAnsi" w:cs="Arial"/>
          <w:sz w:val="22"/>
        </w:rPr>
        <w:t xml:space="preserve"> рахунків;</w:t>
      </w:r>
    </w:p>
    <w:p w14:paraId="4C5ABAE2" w14:textId="0A401D08" w:rsidR="00954138" w:rsidRPr="00954138" w:rsidRDefault="00954138" w:rsidP="00954138">
      <w:pPr>
        <w:pStyle w:val="ListParagraph"/>
        <w:numPr>
          <w:ilvl w:val="0"/>
          <w:numId w:val="22"/>
        </w:numPr>
        <w:spacing w:after="0"/>
        <w:jc w:val="both"/>
        <w:rPr>
          <w:rFonts w:asciiTheme="minorHAnsi" w:hAnsiTheme="minorHAnsi" w:cs="Arial"/>
          <w:sz w:val="22"/>
        </w:rPr>
      </w:pPr>
      <w:r w:rsidRPr="00954138">
        <w:rPr>
          <w:rFonts w:asciiTheme="minorHAnsi" w:hAnsiTheme="minorHAnsi" w:cs="Arial"/>
          <w:sz w:val="22"/>
        </w:rPr>
        <w:t>Звіт про переміщення за рахунком (</w:t>
      </w:r>
      <w:r w:rsidR="00E219FB" w:rsidRPr="00027F0A">
        <w:rPr>
          <w:rFonts w:asciiTheme="minorHAnsi" w:hAnsiTheme="minorHAnsi"/>
          <w:color w:val="000000"/>
          <w:sz w:val="22"/>
          <w:szCs w:val="22"/>
        </w:rPr>
        <w:t>рахунками</w:t>
      </w:r>
      <w:r w:rsidRPr="00954138">
        <w:rPr>
          <w:rFonts w:asciiTheme="minorHAnsi" w:hAnsiTheme="minorHAnsi" w:cs="Arial"/>
          <w:sz w:val="22"/>
        </w:rPr>
        <w:t xml:space="preserve">), </w:t>
      </w:r>
      <w:r w:rsidR="000A3A36">
        <w:rPr>
          <w:rFonts w:asciiTheme="minorHAnsi" w:hAnsiTheme="minorHAnsi" w:cs="Arial"/>
          <w:sz w:val="22"/>
        </w:rPr>
        <w:t>що належать</w:t>
      </w:r>
      <w:r w:rsidRPr="00954138">
        <w:rPr>
          <w:rFonts w:asciiTheme="minorHAnsi" w:hAnsiTheme="minorHAnsi" w:cs="Arial"/>
          <w:sz w:val="22"/>
        </w:rPr>
        <w:t xml:space="preserve"> УВКБ ООН;</w:t>
      </w:r>
    </w:p>
    <w:p w14:paraId="4FC05CBF" w14:textId="570CE847" w:rsidR="00954138" w:rsidRPr="00954138" w:rsidRDefault="00954138" w:rsidP="00954138">
      <w:pPr>
        <w:pStyle w:val="ListParagraph"/>
        <w:numPr>
          <w:ilvl w:val="0"/>
          <w:numId w:val="22"/>
        </w:numPr>
        <w:spacing w:after="0"/>
        <w:jc w:val="both"/>
        <w:rPr>
          <w:rFonts w:asciiTheme="minorHAnsi" w:hAnsiTheme="minorHAnsi" w:cs="Arial"/>
          <w:sz w:val="22"/>
        </w:rPr>
      </w:pPr>
      <w:r w:rsidRPr="00954138">
        <w:rPr>
          <w:rFonts w:asciiTheme="minorHAnsi" w:hAnsiTheme="minorHAnsi" w:cs="Arial"/>
          <w:sz w:val="22"/>
        </w:rPr>
        <w:t>Звіт, що деталізує</w:t>
      </w:r>
      <w:r w:rsidR="000A3A36">
        <w:rPr>
          <w:rFonts w:asciiTheme="minorHAnsi" w:hAnsiTheme="minorHAnsi" w:cs="Arial"/>
          <w:sz w:val="22"/>
        </w:rPr>
        <w:t xml:space="preserve"> для кожного субрахунку</w:t>
      </w:r>
      <w:r w:rsidRPr="00954138">
        <w:rPr>
          <w:rFonts w:asciiTheme="minorHAnsi" w:hAnsiTheme="minorHAnsi" w:cs="Arial"/>
          <w:sz w:val="22"/>
        </w:rPr>
        <w:t xml:space="preserve"> суми кредитування та вилучення;</w:t>
      </w:r>
    </w:p>
    <w:p w14:paraId="21B2F3C4" w14:textId="12FFB6B4" w:rsidR="00954138" w:rsidRPr="00954138" w:rsidRDefault="00954138" w:rsidP="00954138">
      <w:pPr>
        <w:pStyle w:val="ListParagraph"/>
        <w:numPr>
          <w:ilvl w:val="0"/>
          <w:numId w:val="22"/>
        </w:numPr>
        <w:spacing w:after="0"/>
        <w:jc w:val="both"/>
        <w:rPr>
          <w:rFonts w:asciiTheme="minorHAnsi" w:hAnsiTheme="minorHAnsi" w:cs="Arial"/>
          <w:sz w:val="22"/>
        </w:rPr>
      </w:pPr>
      <w:r w:rsidRPr="00954138">
        <w:rPr>
          <w:rFonts w:asciiTheme="minorHAnsi" w:hAnsiTheme="minorHAnsi" w:cs="Arial"/>
          <w:sz w:val="22"/>
        </w:rPr>
        <w:t>Звіт з переліком усіх спроб або випадків шахрайства або спроб вилучення після блокування;</w:t>
      </w:r>
    </w:p>
    <w:p w14:paraId="693E5AA7" w14:textId="7AF6E48C" w:rsidR="00954138" w:rsidRPr="00954138" w:rsidRDefault="00954138" w:rsidP="00954138">
      <w:pPr>
        <w:pStyle w:val="ListParagraph"/>
        <w:numPr>
          <w:ilvl w:val="0"/>
          <w:numId w:val="22"/>
        </w:numPr>
        <w:spacing w:after="0"/>
        <w:jc w:val="both"/>
        <w:rPr>
          <w:rFonts w:asciiTheme="minorHAnsi" w:hAnsiTheme="minorHAnsi" w:cs="Arial"/>
          <w:sz w:val="22"/>
        </w:rPr>
      </w:pPr>
      <w:r w:rsidRPr="00954138">
        <w:rPr>
          <w:rFonts w:asciiTheme="minorHAnsi" w:hAnsiTheme="minorHAnsi" w:cs="Arial"/>
          <w:sz w:val="22"/>
        </w:rPr>
        <w:t>Звіт з переліком усіх інцидентів та затримок з впровадженням послуги.</w:t>
      </w:r>
    </w:p>
    <w:p w14:paraId="18289834" w14:textId="47D38ECC" w:rsidR="00954138" w:rsidRPr="00954138" w:rsidRDefault="00954138" w:rsidP="00954138">
      <w:pPr>
        <w:spacing w:after="0" w:line="240" w:lineRule="auto"/>
        <w:jc w:val="both"/>
        <w:rPr>
          <w:rFonts w:cs="Arial"/>
        </w:rPr>
      </w:pPr>
      <w:r w:rsidRPr="00E70FDF">
        <w:rPr>
          <w:rFonts w:cs="Arial"/>
          <w:i/>
        </w:rPr>
        <w:t>Щорічно</w:t>
      </w:r>
      <w:r w:rsidRPr="00954138">
        <w:rPr>
          <w:rFonts w:cs="Arial"/>
        </w:rPr>
        <w:t xml:space="preserve"> </w:t>
      </w:r>
      <w:r w:rsidR="00E70FDF">
        <w:rPr>
          <w:rFonts w:cs="Arial"/>
        </w:rPr>
        <w:t>ПФП</w:t>
      </w:r>
      <w:r w:rsidRPr="00954138">
        <w:rPr>
          <w:rFonts w:cs="Arial"/>
        </w:rPr>
        <w:t xml:space="preserve"> надаватиме УВКБ ООН:</w:t>
      </w:r>
    </w:p>
    <w:p w14:paraId="6863CD11" w14:textId="26972B86" w:rsidR="00954138" w:rsidRPr="00E70FDF" w:rsidRDefault="00E70FDF" w:rsidP="00E70FDF">
      <w:pPr>
        <w:pStyle w:val="ListParagraph"/>
        <w:numPr>
          <w:ilvl w:val="0"/>
          <w:numId w:val="22"/>
        </w:numPr>
        <w:spacing w:after="0"/>
        <w:jc w:val="both"/>
        <w:rPr>
          <w:rFonts w:asciiTheme="minorHAnsi" w:hAnsiTheme="minorHAnsi" w:cs="Arial"/>
          <w:sz w:val="22"/>
        </w:rPr>
      </w:pPr>
      <w:r>
        <w:rPr>
          <w:rFonts w:asciiTheme="minorHAnsi" w:hAnsiTheme="minorHAnsi" w:cs="Arial"/>
          <w:sz w:val="22"/>
        </w:rPr>
        <w:t>ПФП</w:t>
      </w:r>
      <w:r w:rsidR="00954138" w:rsidRPr="00E70FDF">
        <w:rPr>
          <w:rFonts w:asciiTheme="minorHAnsi" w:hAnsiTheme="minorHAnsi" w:cs="Arial"/>
          <w:sz w:val="22"/>
        </w:rPr>
        <w:t xml:space="preserve"> </w:t>
      </w:r>
      <w:r w:rsidR="00E219FB" w:rsidRPr="00027F0A">
        <w:rPr>
          <w:rFonts w:asciiTheme="minorHAnsi" w:hAnsiTheme="minorHAnsi"/>
          <w:color w:val="000000"/>
          <w:sz w:val="22"/>
          <w:szCs w:val="22"/>
        </w:rPr>
        <w:t xml:space="preserve">буде надавати </w:t>
      </w:r>
      <w:r w:rsidR="00954138" w:rsidRPr="00E70FDF">
        <w:rPr>
          <w:rFonts w:asciiTheme="minorHAnsi" w:hAnsiTheme="minorHAnsi" w:cs="Arial"/>
          <w:sz w:val="22"/>
        </w:rPr>
        <w:t>офіційну річну фінансову звітність компанії Раді аудиторів ООН.</w:t>
      </w:r>
    </w:p>
    <w:p w14:paraId="30A19D4D" w14:textId="57BEFEA2" w:rsidR="002323E5" w:rsidRPr="002323E5" w:rsidRDefault="00954138" w:rsidP="00954138">
      <w:pPr>
        <w:spacing w:after="0" w:line="240" w:lineRule="auto"/>
        <w:jc w:val="both"/>
        <w:rPr>
          <w:rFonts w:cs="Arial"/>
        </w:rPr>
      </w:pPr>
      <w:r w:rsidRPr="00954138">
        <w:rPr>
          <w:rFonts w:cs="Arial"/>
        </w:rPr>
        <w:t>Система звітності сильно залежить від типу використовуваного механізму доставки. УВКБ ООН надає перевагу системі електронної звітності в режимі реального часу. Ця можливість буде вважатися активом для подання, включаючи цю послугу.</w:t>
      </w:r>
    </w:p>
    <w:p w14:paraId="1D46277D" w14:textId="77777777" w:rsidR="00BE58CD" w:rsidRDefault="00BE58CD" w:rsidP="00B850C2">
      <w:pPr>
        <w:spacing w:after="0" w:line="240" w:lineRule="auto"/>
        <w:jc w:val="both"/>
        <w:rPr>
          <w:rFonts w:cs="Arial"/>
        </w:rPr>
      </w:pPr>
    </w:p>
    <w:p w14:paraId="4A27F65F" w14:textId="7F4CE8B2" w:rsidR="00E05849" w:rsidRPr="00F26B83" w:rsidRDefault="00E05849" w:rsidP="00B850C2">
      <w:pPr>
        <w:spacing w:after="0" w:line="240" w:lineRule="auto"/>
        <w:jc w:val="both"/>
        <w:rPr>
          <w:rFonts w:cs="Arial"/>
          <w:u w:val="single"/>
        </w:rPr>
      </w:pPr>
      <w:r w:rsidRPr="00F26B83">
        <w:rPr>
          <w:rFonts w:cs="Arial"/>
          <w:u w:val="single"/>
        </w:rPr>
        <w:t>Звітування про потенційну інтеграцію з ERP-системою клієнта:</w:t>
      </w:r>
    </w:p>
    <w:p w14:paraId="511751E8" w14:textId="77777777" w:rsidR="00F26B83" w:rsidRDefault="00F26B83" w:rsidP="00B850C2">
      <w:pPr>
        <w:spacing w:after="0" w:line="240" w:lineRule="auto"/>
        <w:jc w:val="both"/>
        <w:rPr>
          <w:rFonts w:cs="Arial"/>
        </w:rPr>
      </w:pPr>
    </w:p>
    <w:p w14:paraId="419872DA" w14:textId="77777777" w:rsidR="002D42DD" w:rsidRDefault="002D42DD" w:rsidP="002D42DD">
      <w:pPr>
        <w:spacing w:after="0" w:line="240" w:lineRule="auto"/>
        <w:jc w:val="both"/>
        <w:rPr>
          <w:rFonts w:cs="Arial"/>
        </w:rPr>
      </w:pPr>
      <w:r>
        <w:rPr>
          <w:rFonts w:cs="Arial"/>
        </w:rPr>
        <w:t>Постачальник послуг повинен бути в змозі надати повністю відформатовані звіти щодо транзакцій, здійснених з рахунків УВКБ ООН, або принаймні необроблені дані для складання таких звітів. Необхідні наступні найбільш загальні звіти (або дані):</w:t>
      </w:r>
    </w:p>
    <w:p w14:paraId="107AF3FC" w14:textId="505BA030" w:rsidR="002D42DD" w:rsidRDefault="002D42DD" w:rsidP="002D42DD">
      <w:pPr>
        <w:pStyle w:val="ListParagraph"/>
        <w:numPr>
          <w:ilvl w:val="0"/>
          <w:numId w:val="14"/>
        </w:numPr>
        <w:spacing w:after="0"/>
        <w:jc w:val="both"/>
        <w:rPr>
          <w:rFonts w:cs="Arial"/>
        </w:rPr>
      </w:pPr>
      <w:r w:rsidRPr="00397334">
        <w:rPr>
          <w:rFonts w:asciiTheme="minorHAnsi" w:hAnsiTheme="minorHAnsi" w:cs="Arial"/>
          <w:sz w:val="22"/>
          <w:szCs w:val="22"/>
        </w:rPr>
        <w:t xml:space="preserve">Статус </w:t>
      </w:r>
      <w:r>
        <w:rPr>
          <w:rFonts w:asciiTheme="minorHAnsi" w:hAnsiTheme="minorHAnsi" w:cs="Arial"/>
          <w:sz w:val="22"/>
          <w:szCs w:val="22"/>
        </w:rPr>
        <w:t xml:space="preserve">транзакцій із вихідного файлу: для кожної транзакції із вихідного файлу ПФП повинен протягом 12 годин надати відповідь із зазначенням статусу, наприклад «Транзакція виконана успішно» або «Транзакція не виконана». Відповідь повинна надаватися </w:t>
      </w:r>
      <w:r w:rsidR="003F5652">
        <w:rPr>
          <w:rFonts w:asciiTheme="minorHAnsi" w:hAnsiTheme="minorHAnsi" w:cs="Arial"/>
          <w:sz w:val="22"/>
          <w:szCs w:val="22"/>
        </w:rPr>
        <w:t>в</w:t>
      </w:r>
      <w:r>
        <w:rPr>
          <w:rFonts w:asciiTheme="minorHAnsi" w:hAnsiTheme="minorHAnsi" w:cs="Arial"/>
          <w:sz w:val="22"/>
          <w:szCs w:val="22"/>
        </w:rPr>
        <w:t xml:space="preserve"> заздалегідь узгодженому з УВКБ ООН форматі.</w:t>
      </w:r>
    </w:p>
    <w:p w14:paraId="57EEB568" w14:textId="77777777" w:rsidR="002D42DD" w:rsidRPr="002F4998" w:rsidRDefault="002D42DD" w:rsidP="002D42DD">
      <w:pPr>
        <w:pStyle w:val="ListParagraph"/>
        <w:numPr>
          <w:ilvl w:val="0"/>
          <w:numId w:val="14"/>
        </w:numPr>
        <w:spacing w:after="0"/>
        <w:jc w:val="both"/>
        <w:rPr>
          <w:rFonts w:cs="Arial"/>
        </w:rPr>
      </w:pPr>
      <w:r>
        <w:rPr>
          <w:rFonts w:asciiTheme="minorHAnsi" w:hAnsiTheme="minorHAnsi" w:cs="Arial"/>
          <w:sz w:val="22"/>
          <w:szCs w:val="22"/>
        </w:rPr>
        <w:t xml:space="preserve">Зведені звіти за транзакціями, в яких наводиться загальна сума та кількість транзакцій для кожного статусу платежу протягом обраного платіжного періоду. Даний звіт повинен шифруватися та направлятися у </w:t>
      </w:r>
      <w:r>
        <w:rPr>
          <w:rFonts w:asciiTheme="minorHAnsi" w:hAnsiTheme="minorHAnsi" w:cs="Arial"/>
          <w:sz w:val="22"/>
          <w:szCs w:val="22"/>
          <w:lang w:val="en-US"/>
        </w:rPr>
        <w:t>XML-</w:t>
      </w:r>
      <w:r>
        <w:rPr>
          <w:rFonts w:asciiTheme="minorHAnsi" w:hAnsiTheme="minorHAnsi" w:cs="Arial"/>
          <w:sz w:val="22"/>
          <w:szCs w:val="22"/>
        </w:rPr>
        <w:t>форматі.</w:t>
      </w:r>
    </w:p>
    <w:p w14:paraId="06AE244D" w14:textId="7BB22CB8" w:rsidR="00F26B83" w:rsidRDefault="002D42DD" w:rsidP="002D42DD">
      <w:pPr>
        <w:spacing w:after="0" w:line="240" w:lineRule="auto"/>
        <w:jc w:val="both"/>
        <w:rPr>
          <w:rFonts w:cs="Arial"/>
        </w:rPr>
      </w:pPr>
      <w:r>
        <w:rPr>
          <w:rFonts w:cs="Arial"/>
        </w:rPr>
        <w:t>Для певної операції можуть бути додаткові вимоги щодо звітування; це - найбільш загальні вимоги, які є мінімальними</w:t>
      </w:r>
      <w:r w:rsidR="00DE2DAC" w:rsidRPr="00DE2DAC">
        <w:rPr>
          <w:rFonts w:cs="Arial"/>
        </w:rPr>
        <w:t>.</w:t>
      </w:r>
    </w:p>
    <w:p w14:paraId="7A23814F" w14:textId="77777777" w:rsidR="00E05849" w:rsidRPr="00027F0A" w:rsidRDefault="00E05849" w:rsidP="00B850C2">
      <w:pPr>
        <w:spacing w:after="0" w:line="240" w:lineRule="auto"/>
        <w:jc w:val="both"/>
        <w:rPr>
          <w:rFonts w:cs="Arial"/>
        </w:rPr>
      </w:pPr>
    </w:p>
    <w:p w14:paraId="5279C471" w14:textId="2724FE9D" w:rsidR="00196DE6" w:rsidRPr="00027F0A" w:rsidRDefault="00BA0EC4" w:rsidP="00B850C2">
      <w:pPr>
        <w:spacing w:after="0" w:line="240" w:lineRule="auto"/>
        <w:jc w:val="both"/>
        <w:rPr>
          <w:rFonts w:eastAsia="Times New Roman" w:cs="Arial"/>
        </w:rPr>
      </w:pPr>
      <w:r w:rsidRPr="00027F0A">
        <w:rPr>
          <w:b/>
          <w:bCs/>
        </w:rPr>
        <w:t>IV. Фінансовий потенціал та дотримання нормативних положень</w:t>
      </w:r>
    </w:p>
    <w:p w14:paraId="2471F254" w14:textId="736E799D" w:rsidR="00196DE6" w:rsidRPr="00027F0A" w:rsidRDefault="00083234" w:rsidP="00B850C2">
      <w:pPr>
        <w:spacing w:after="0" w:line="240" w:lineRule="auto"/>
        <w:jc w:val="both"/>
        <w:rPr>
          <w:rFonts w:eastAsia="Times New Roman" w:cs="Arial"/>
          <w:color w:val="000000"/>
        </w:rPr>
      </w:pPr>
      <w:r w:rsidRPr="00027F0A">
        <w:rPr>
          <w:color w:val="000000"/>
        </w:rPr>
        <w:t xml:space="preserve">Разом </w:t>
      </w:r>
      <w:r w:rsidR="00D9753A">
        <w:rPr>
          <w:color w:val="000000"/>
        </w:rPr>
        <w:t>і</w:t>
      </w:r>
      <w:r w:rsidRPr="00027F0A">
        <w:rPr>
          <w:color w:val="000000"/>
        </w:rPr>
        <w:t>з документами щодо технічної пропозиції ПФП повинен подати наступне:</w:t>
      </w:r>
    </w:p>
    <w:p w14:paraId="005C1D4F" w14:textId="51489DA9" w:rsidR="002C28C6" w:rsidRPr="00027F0A" w:rsidRDefault="008C3D77" w:rsidP="00B850C2">
      <w:pPr>
        <w:pStyle w:val="ListParagraph"/>
        <w:numPr>
          <w:ilvl w:val="0"/>
          <w:numId w:val="9"/>
        </w:numPr>
        <w:spacing w:before="0" w:beforeAutospacing="0" w:after="0" w:afterAutospacing="0"/>
        <w:jc w:val="both"/>
        <w:rPr>
          <w:rFonts w:asciiTheme="minorHAnsi" w:hAnsiTheme="minorHAnsi" w:cs="Arial"/>
          <w:color w:val="000000"/>
          <w:sz w:val="22"/>
          <w:szCs w:val="22"/>
        </w:rPr>
      </w:pPr>
      <w:r w:rsidRPr="00027F0A">
        <w:rPr>
          <w:rFonts w:asciiTheme="minorHAnsi" w:hAnsiTheme="minorHAnsi"/>
          <w:color w:val="000000"/>
          <w:sz w:val="22"/>
          <w:szCs w:val="22"/>
        </w:rPr>
        <w:t>Документ(и) про реєстрацію компанії у відповідних національних органах, при цьому рік заснування має бути мінімум на 3 роки раніше, ніж кінцевий термін тендеру.</w:t>
      </w:r>
    </w:p>
    <w:p w14:paraId="060CE1D1" w14:textId="1E0F8475" w:rsidR="002C28C6" w:rsidRPr="00027F0A" w:rsidRDefault="008C3D77" w:rsidP="00B850C2">
      <w:pPr>
        <w:pStyle w:val="ListParagraph"/>
        <w:numPr>
          <w:ilvl w:val="0"/>
          <w:numId w:val="9"/>
        </w:numPr>
        <w:spacing w:before="0" w:beforeAutospacing="0" w:after="0" w:afterAutospacing="0"/>
        <w:jc w:val="both"/>
        <w:rPr>
          <w:rFonts w:asciiTheme="minorHAnsi" w:hAnsiTheme="minorHAnsi"/>
          <w:color w:val="000000"/>
          <w:sz w:val="22"/>
          <w:szCs w:val="22"/>
        </w:rPr>
      </w:pPr>
      <w:r w:rsidRPr="00027F0A">
        <w:rPr>
          <w:rFonts w:asciiTheme="minorHAnsi" w:hAnsiTheme="minorHAnsi"/>
          <w:color w:val="000000"/>
          <w:sz w:val="22"/>
          <w:szCs w:val="22"/>
        </w:rPr>
        <w:t xml:space="preserve">Документ(и) про реєстрацію компанії у національних податкових службах. </w:t>
      </w:r>
      <w:r w:rsidR="00423355" w:rsidRPr="00027F0A">
        <w:rPr>
          <w:rFonts w:asciiTheme="minorHAnsi" w:hAnsiTheme="minorHAnsi"/>
          <w:color w:val="000000"/>
          <w:sz w:val="22"/>
          <w:szCs w:val="22"/>
        </w:rPr>
        <w:t xml:space="preserve">Завірену копію </w:t>
      </w:r>
      <w:r w:rsidRPr="00027F0A">
        <w:rPr>
          <w:rFonts w:asciiTheme="minorHAnsi" w:hAnsiTheme="minorHAnsi"/>
          <w:color w:val="000000"/>
          <w:sz w:val="22"/>
          <w:szCs w:val="22"/>
        </w:rPr>
        <w:t>ліцензії на надання послуг переказу коштів або банківської ліцензії, виданої відповідним державним органом (</w:t>
      </w:r>
      <w:r w:rsidRPr="00027F0A">
        <w:rPr>
          <w:rFonts w:asciiTheme="minorHAnsi" w:hAnsiTheme="minorHAnsi"/>
          <w:i/>
          <w:color w:val="000000"/>
          <w:sz w:val="22"/>
          <w:szCs w:val="22"/>
        </w:rPr>
        <w:t>Національним банком України</w:t>
      </w:r>
      <w:r w:rsidRPr="00027F0A">
        <w:rPr>
          <w:rFonts w:asciiTheme="minorHAnsi" w:hAnsiTheme="minorHAnsi"/>
          <w:color w:val="000000"/>
          <w:sz w:val="22"/>
          <w:szCs w:val="22"/>
        </w:rPr>
        <w:t>).</w:t>
      </w:r>
    </w:p>
    <w:p w14:paraId="33D08A7F" w14:textId="2F167791" w:rsidR="006334EB" w:rsidRPr="004D1868" w:rsidRDefault="00F93F29" w:rsidP="006334EB">
      <w:pPr>
        <w:pStyle w:val="ListParagraph"/>
        <w:numPr>
          <w:ilvl w:val="0"/>
          <w:numId w:val="9"/>
        </w:numPr>
        <w:spacing w:before="0" w:beforeAutospacing="0" w:after="0" w:afterAutospacing="0"/>
        <w:jc w:val="both"/>
        <w:rPr>
          <w:rFonts w:asciiTheme="minorHAnsi" w:hAnsiTheme="minorHAnsi" w:cs="Arial"/>
          <w:color w:val="000000"/>
          <w:sz w:val="22"/>
          <w:szCs w:val="22"/>
        </w:rPr>
      </w:pPr>
      <w:r>
        <w:rPr>
          <w:rFonts w:asciiTheme="minorHAnsi" w:hAnsiTheme="minorHAnsi"/>
          <w:color w:val="000000"/>
          <w:sz w:val="22"/>
          <w:szCs w:val="22"/>
        </w:rPr>
        <w:t>П</w:t>
      </w:r>
      <w:r w:rsidR="00853DE7">
        <w:rPr>
          <w:rFonts w:asciiTheme="minorHAnsi" w:hAnsiTheme="minorHAnsi"/>
          <w:color w:val="000000"/>
          <w:sz w:val="22"/>
          <w:szCs w:val="22"/>
        </w:rPr>
        <w:t>еревірену</w:t>
      </w:r>
      <w:r w:rsidR="00853DE7" w:rsidRPr="00027F0A">
        <w:rPr>
          <w:rFonts w:asciiTheme="minorHAnsi" w:hAnsiTheme="minorHAnsi"/>
          <w:color w:val="000000"/>
          <w:sz w:val="22"/>
          <w:szCs w:val="22"/>
        </w:rPr>
        <w:t xml:space="preserve"> </w:t>
      </w:r>
      <w:r w:rsidR="00853DE7">
        <w:rPr>
          <w:rFonts w:asciiTheme="minorHAnsi" w:hAnsiTheme="minorHAnsi"/>
          <w:color w:val="000000"/>
          <w:sz w:val="22"/>
          <w:szCs w:val="22"/>
        </w:rPr>
        <w:t xml:space="preserve">аудитором </w:t>
      </w:r>
      <w:r w:rsidR="00423355" w:rsidRPr="00027F0A">
        <w:rPr>
          <w:rFonts w:asciiTheme="minorHAnsi" w:hAnsiTheme="minorHAnsi"/>
          <w:color w:val="000000"/>
          <w:sz w:val="22"/>
          <w:szCs w:val="22"/>
        </w:rPr>
        <w:t xml:space="preserve">фінансову </w:t>
      </w:r>
      <w:r w:rsidR="006334EB" w:rsidRPr="00027F0A">
        <w:rPr>
          <w:rFonts w:asciiTheme="minorHAnsi" w:hAnsiTheme="minorHAnsi"/>
          <w:color w:val="000000"/>
          <w:sz w:val="22"/>
          <w:szCs w:val="22"/>
        </w:rPr>
        <w:t>звітність компанії, в тому числі Висновок аудитора</w:t>
      </w:r>
      <w:r>
        <w:rPr>
          <w:rFonts w:asciiTheme="minorHAnsi" w:hAnsiTheme="minorHAnsi"/>
          <w:color w:val="000000"/>
          <w:sz w:val="22"/>
          <w:szCs w:val="22"/>
        </w:rPr>
        <w:t xml:space="preserve"> щонайменше за 1 рік, рекомендовано за 3 роки</w:t>
      </w:r>
      <w:r w:rsidR="006334EB" w:rsidRPr="00027F0A">
        <w:rPr>
          <w:rFonts w:asciiTheme="minorHAnsi" w:hAnsiTheme="minorHAnsi"/>
          <w:color w:val="000000"/>
          <w:sz w:val="22"/>
          <w:szCs w:val="22"/>
        </w:rPr>
        <w:t>.</w:t>
      </w:r>
    </w:p>
    <w:p w14:paraId="790AC0ED" w14:textId="3A8BE0A8" w:rsidR="004D1868" w:rsidRPr="00027F0A" w:rsidRDefault="00E50432" w:rsidP="004D1868">
      <w:pPr>
        <w:pStyle w:val="ListParagraph"/>
        <w:numPr>
          <w:ilvl w:val="0"/>
          <w:numId w:val="9"/>
        </w:numPr>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 xml:space="preserve">У разі, якщо </w:t>
      </w:r>
      <w:r w:rsidR="004D1868" w:rsidRPr="004D1868">
        <w:rPr>
          <w:rFonts w:asciiTheme="minorHAnsi" w:hAnsiTheme="minorHAnsi" w:cs="Arial"/>
          <w:color w:val="000000"/>
          <w:sz w:val="22"/>
          <w:szCs w:val="22"/>
        </w:rPr>
        <w:t xml:space="preserve">постачальником фінансових послуг </w:t>
      </w:r>
      <w:r w:rsidR="004D1868">
        <w:rPr>
          <w:rFonts w:asciiTheme="minorHAnsi" w:hAnsiTheme="minorHAnsi" w:cs="Arial"/>
          <w:color w:val="000000"/>
          <w:sz w:val="22"/>
          <w:szCs w:val="22"/>
        </w:rPr>
        <w:t xml:space="preserve">є не банк, </w:t>
      </w:r>
      <w:r w:rsidR="004D1868" w:rsidRPr="004D1868">
        <w:rPr>
          <w:rFonts w:asciiTheme="minorHAnsi" w:hAnsiTheme="minorHAnsi" w:cs="Arial"/>
          <w:color w:val="000000"/>
          <w:sz w:val="22"/>
          <w:szCs w:val="22"/>
        </w:rPr>
        <w:t>нада</w:t>
      </w:r>
      <w:r w:rsidR="004D1868">
        <w:rPr>
          <w:rFonts w:asciiTheme="minorHAnsi" w:hAnsiTheme="minorHAnsi" w:cs="Arial"/>
          <w:color w:val="000000"/>
          <w:sz w:val="22"/>
          <w:szCs w:val="22"/>
        </w:rPr>
        <w:t>ється</w:t>
      </w:r>
      <w:r w:rsidR="004D1868" w:rsidRPr="004D1868">
        <w:rPr>
          <w:rFonts w:asciiTheme="minorHAnsi" w:hAnsiTheme="minorHAnsi" w:cs="Arial"/>
          <w:color w:val="000000"/>
          <w:sz w:val="22"/>
          <w:szCs w:val="22"/>
        </w:rPr>
        <w:t xml:space="preserve"> інформаці</w:t>
      </w:r>
      <w:r w:rsidR="004D1868">
        <w:rPr>
          <w:rFonts w:asciiTheme="minorHAnsi" w:hAnsiTheme="minorHAnsi" w:cs="Arial"/>
          <w:color w:val="000000"/>
          <w:sz w:val="22"/>
          <w:szCs w:val="22"/>
        </w:rPr>
        <w:t>я</w:t>
      </w:r>
      <w:r w:rsidR="004D1868" w:rsidRPr="004D1868">
        <w:rPr>
          <w:rFonts w:asciiTheme="minorHAnsi" w:hAnsiTheme="minorHAnsi" w:cs="Arial"/>
          <w:color w:val="000000"/>
          <w:sz w:val="22"/>
          <w:szCs w:val="22"/>
        </w:rPr>
        <w:t xml:space="preserve"> про </w:t>
      </w:r>
      <w:r w:rsidR="004D1868" w:rsidRPr="006919AA">
        <w:rPr>
          <w:rFonts w:asciiTheme="minorHAnsi" w:hAnsiTheme="minorHAnsi" w:cs="Arial"/>
          <w:b/>
          <w:color w:val="000000"/>
          <w:sz w:val="22"/>
          <w:szCs w:val="22"/>
        </w:rPr>
        <w:t xml:space="preserve">наявність </w:t>
      </w:r>
      <w:r w:rsidR="006919AA" w:rsidRPr="006919AA">
        <w:rPr>
          <w:rFonts w:asciiTheme="minorHAnsi" w:hAnsiTheme="minorHAnsi" w:cs="Arial"/>
          <w:b/>
          <w:color w:val="000000"/>
          <w:sz w:val="22"/>
          <w:szCs w:val="22"/>
        </w:rPr>
        <w:t>Гарантій виконання</w:t>
      </w:r>
      <w:r w:rsidR="004D1868" w:rsidRPr="004D1868">
        <w:rPr>
          <w:rFonts w:asciiTheme="minorHAnsi" w:hAnsiTheme="minorHAnsi" w:cs="Arial"/>
          <w:color w:val="000000"/>
          <w:sz w:val="22"/>
          <w:szCs w:val="22"/>
        </w:rPr>
        <w:t>.</w:t>
      </w:r>
    </w:p>
    <w:p w14:paraId="72CCDD00" w14:textId="77777777" w:rsidR="00B850C2" w:rsidRPr="00027F0A" w:rsidRDefault="00B850C2" w:rsidP="00B850C2">
      <w:pPr>
        <w:spacing w:after="0" w:line="240" w:lineRule="auto"/>
        <w:jc w:val="both"/>
        <w:rPr>
          <w:rFonts w:cs="Arial"/>
        </w:rPr>
      </w:pPr>
      <w:bookmarkStart w:id="0" w:name="_GoBack"/>
      <w:bookmarkEnd w:id="0"/>
    </w:p>
    <w:p w14:paraId="2D4C17D2" w14:textId="77777777" w:rsidR="00196DE6" w:rsidRPr="00027F0A" w:rsidRDefault="004C5B28" w:rsidP="00B850C2">
      <w:pPr>
        <w:spacing w:after="0" w:line="240" w:lineRule="auto"/>
        <w:jc w:val="both"/>
        <w:rPr>
          <w:rFonts w:eastAsia="Times New Roman" w:cs="Arial"/>
        </w:rPr>
      </w:pPr>
      <w:r w:rsidRPr="00027F0A">
        <w:rPr>
          <w:b/>
          <w:bCs/>
        </w:rPr>
        <w:t>V. Страхування</w:t>
      </w:r>
    </w:p>
    <w:p w14:paraId="71FA2039" w14:textId="3D45F607" w:rsidR="00083234" w:rsidRPr="00027F0A" w:rsidRDefault="00196DE6" w:rsidP="00B850C2">
      <w:pPr>
        <w:spacing w:after="0" w:line="240" w:lineRule="auto"/>
        <w:jc w:val="both"/>
        <w:rPr>
          <w:rFonts w:eastAsia="Times New Roman" w:cs="Arial"/>
          <w:color w:val="000000"/>
        </w:rPr>
      </w:pPr>
      <w:r w:rsidRPr="00027F0A">
        <w:rPr>
          <w:color w:val="000000"/>
        </w:rPr>
        <w:t>ПФП повинен зазначити механізм страхування, який діє або який планується впровадити з метою забезпечення необхідних фінансових гарантій у випадках шахрайства, розкрадання або втрати коштів</w:t>
      </w:r>
      <w:r w:rsidR="00147E5D">
        <w:rPr>
          <w:color w:val="000000"/>
        </w:rPr>
        <w:t>, виділених</w:t>
      </w:r>
      <w:r w:rsidRPr="00027F0A">
        <w:rPr>
          <w:color w:val="000000"/>
        </w:rPr>
        <w:t xml:space="preserve"> </w:t>
      </w:r>
      <w:r w:rsidR="00147E5D">
        <w:rPr>
          <w:color w:val="000000"/>
        </w:rPr>
        <w:t>на</w:t>
      </w:r>
      <w:r w:rsidR="00423355" w:rsidRPr="00027F0A">
        <w:rPr>
          <w:color w:val="000000"/>
        </w:rPr>
        <w:t xml:space="preserve"> </w:t>
      </w:r>
      <w:r w:rsidRPr="00027F0A">
        <w:rPr>
          <w:color w:val="000000"/>
        </w:rPr>
        <w:t>ц</w:t>
      </w:r>
      <w:r w:rsidR="00147E5D">
        <w:rPr>
          <w:color w:val="000000"/>
        </w:rPr>
        <w:t>ей</w:t>
      </w:r>
      <w:r w:rsidRPr="00027F0A">
        <w:rPr>
          <w:color w:val="000000"/>
        </w:rPr>
        <w:t xml:space="preserve"> проект, </w:t>
      </w:r>
      <w:r w:rsidR="00147E5D">
        <w:rPr>
          <w:color w:val="000000"/>
        </w:rPr>
        <w:t>за які</w:t>
      </w:r>
      <w:r w:rsidRPr="00027F0A">
        <w:rPr>
          <w:color w:val="000000"/>
        </w:rPr>
        <w:t xml:space="preserve"> відповіда</w:t>
      </w:r>
      <w:r w:rsidR="00147E5D">
        <w:rPr>
          <w:color w:val="000000"/>
        </w:rPr>
        <w:t>є</w:t>
      </w:r>
      <w:r w:rsidRPr="00027F0A">
        <w:rPr>
          <w:color w:val="000000"/>
        </w:rPr>
        <w:t xml:space="preserve"> ПФП, зокрема початкового переказу коштів УВКБ ООН на спеціальний рахунок ПФП та наступного розподілу за субрахунками та прив'язки до дебетових карток.</w:t>
      </w:r>
    </w:p>
    <w:p w14:paraId="6108A48D" w14:textId="77777777" w:rsidR="00B850C2" w:rsidRPr="00027F0A" w:rsidRDefault="00B850C2" w:rsidP="00B850C2">
      <w:pPr>
        <w:spacing w:after="0" w:line="240" w:lineRule="auto"/>
        <w:jc w:val="both"/>
        <w:rPr>
          <w:rFonts w:eastAsia="Times New Roman" w:cs="Arial"/>
          <w:color w:val="000000"/>
          <w:lang w:eastAsia="en-GB"/>
        </w:rPr>
      </w:pPr>
    </w:p>
    <w:p w14:paraId="239D9AAD" w14:textId="77777777" w:rsidR="00B850C2" w:rsidRPr="00027F0A" w:rsidRDefault="00B850C2" w:rsidP="00B850C2">
      <w:pPr>
        <w:spacing w:after="0" w:line="240" w:lineRule="auto"/>
        <w:jc w:val="both"/>
        <w:rPr>
          <w:rFonts w:eastAsia="Times New Roman" w:cs="Arial"/>
          <w:color w:val="000000"/>
          <w:lang w:eastAsia="en-GB"/>
        </w:rPr>
      </w:pPr>
    </w:p>
    <w:p w14:paraId="23B318DB" w14:textId="7231AB0D" w:rsidR="00E26180" w:rsidRPr="00027F0A" w:rsidRDefault="004C5B28" w:rsidP="00B850C2">
      <w:pPr>
        <w:spacing w:after="0" w:line="240" w:lineRule="auto"/>
        <w:jc w:val="both"/>
        <w:rPr>
          <w:rFonts w:eastAsia="Times New Roman" w:cs="Arial"/>
        </w:rPr>
      </w:pPr>
      <w:r w:rsidRPr="00027F0A">
        <w:rPr>
          <w:b/>
          <w:bCs/>
        </w:rPr>
        <w:t>VI. Оцінка виконання</w:t>
      </w:r>
      <w:r w:rsidR="00321B74">
        <w:rPr>
          <w:b/>
          <w:bCs/>
        </w:rPr>
        <w:t>/Ключові показники ефективності</w:t>
      </w:r>
    </w:p>
    <w:p w14:paraId="28CD3DA3" w14:textId="77777777" w:rsidR="00E26180" w:rsidRPr="00027F0A" w:rsidRDefault="00196DE6" w:rsidP="00B850C2">
      <w:pPr>
        <w:spacing w:after="0" w:line="240" w:lineRule="auto"/>
        <w:jc w:val="both"/>
        <w:rPr>
          <w:rFonts w:eastAsia="Times New Roman" w:cs="Arial"/>
          <w:color w:val="000000"/>
        </w:rPr>
      </w:pPr>
      <w:r w:rsidRPr="00027F0A">
        <w:rPr>
          <w:color w:val="000000"/>
        </w:rPr>
        <w:t>УВКБ ООН буде періодично переглядати виконання ПФП з метою забезпечення, з-поміж іншого, наступного:</w:t>
      </w:r>
    </w:p>
    <w:p w14:paraId="70376E5A" w14:textId="1C86CA92" w:rsidR="00F13232" w:rsidRPr="00F13232" w:rsidRDefault="00F13232" w:rsidP="00F13232">
      <w:pPr>
        <w:pStyle w:val="ListParagraph"/>
        <w:numPr>
          <w:ilvl w:val="0"/>
          <w:numId w:val="18"/>
        </w:numPr>
        <w:spacing w:after="0"/>
        <w:jc w:val="both"/>
        <w:rPr>
          <w:rFonts w:asciiTheme="minorHAnsi" w:hAnsiTheme="minorHAnsi"/>
          <w:color w:val="000000"/>
          <w:sz w:val="22"/>
          <w:szCs w:val="22"/>
        </w:rPr>
      </w:pPr>
      <w:r>
        <w:rPr>
          <w:rFonts w:asciiTheme="minorHAnsi" w:hAnsiTheme="minorHAnsi"/>
          <w:color w:val="000000"/>
          <w:sz w:val="22"/>
          <w:szCs w:val="22"/>
        </w:rPr>
        <w:t>Результативність</w:t>
      </w:r>
      <w:r w:rsidRPr="00F13232">
        <w:rPr>
          <w:rFonts w:asciiTheme="minorHAnsi" w:hAnsiTheme="minorHAnsi"/>
          <w:color w:val="000000"/>
          <w:sz w:val="22"/>
          <w:szCs w:val="22"/>
        </w:rPr>
        <w:t xml:space="preserve"> та ефективність виплат (</w:t>
      </w:r>
      <w:r w:rsidR="007F0FCB">
        <w:rPr>
          <w:rFonts w:asciiTheme="minorHAnsi" w:hAnsiTheme="minorHAnsi"/>
          <w:color w:val="000000"/>
          <w:sz w:val="22"/>
          <w:szCs w:val="22"/>
        </w:rPr>
        <w:t>показник</w:t>
      </w:r>
      <w:r w:rsidRPr="00F13232">
        <w:rPr>
          <w:rFonts w:asciiTheme="minorHAnsi" w:hAnsiTheme="minorHAnsi"/>
          <w:color w:val="000000"/>
          <w:sz w:val="22"/>
          <w:szCs w:val="22"/>
        </w:rPr>
        <w:t xml:space="preserve">: термін </w:t>
      </w:r>
      <w:r w:rsidR="00FC4C3A" w:rsidRPr="00397334">
        <w:rPr>
          <w:rFonts w:asciiTheme="minorHAnsi" w:hAnsiTheme="minorHAnsi"/>
          <w:sz w:val="22"/>
          <w:szCs w:val="22"/>
        </w:rPr>
        <w:t xml:space="preserve">анулювання </w:t>
      </w:r>
      <w:r w:rsidRPr="00F13232">
        <w:rPr>
          <w:rFonts w:asciiTheme="minorHAnsi" w:hAnsiTheme="minorHAnsi"/>
          <w:color w:val="000000"/>
          <w:sz w:val="22"/>
          <w:szCs w:val="22"/>
        </w:rPr>
        <w:t>засоб</w:t>
      </w:r>
      <w:r w:rsidR="00FC4C3A">
        <w:rPr>
          <w:rFonts w:asciiTheme="minorHAnsi" w:hAnsiTheme="minorHAnsi"/>
          <w:color w:val="000000"/>
          <w:sz w:val="22"/>
          <w:szCs w:val="22"/>
        </w:rPr>
        <w:t>ів здійснення платежів</w:t>
      </w:r>
      <w:r w:rsidRPr="00F13232">
        <w:rPr>
          <w:rFonts w:asciiTheme="minorHAnsi" w:hAnsiTheme="minorHAnsi"/>
          <w:color w:val="000000"/>
          <w:sz w:val="22"/>
          <w:szCs w:val="22"/>
        </w:rPr>
        <w:t xml:space="preserve"> / зняття коштів після прохання УВКБ ООН у ви</w:t>
      </w:r>
      <w:r w:rsidR="00FC4C3A">
        <w:rPr>
          <w:rFonts w:asciiTheme="minorHAnsi" w:hAnsiTheme="minorHAnsi"/>
          <w:color w:val="000000"/>
          <w:sz w:val="22"/>
          <w:szCs w:val="22"/>
        </w:rPr>
        <w:t>падку втрати, крадіжки або іншого</w:t>
      </w:r>
      <w:r w:rsidRPr="00F13232">
        <w:rPr>
          <w:rFonts w:asciiTheme="minorHAnsi" w:hAnsiTheme="minorHAnsi"/>
          <w:color w:val="000000"/>
          <w:sz w:val="22"/>
          <w:szCs w:val="22"/>
        </w:rPr>
        <w:t xml:space="preserve"> </w:t>
      </w:r>
      <w:r w:rsidR="00FC4C3A" w:rsidRPr="00397334">
        <w:rPr>
          <w:rFonts w:asciiTheme="minorHAnsi" w:hAnsiTheme="minorHAnsi"/>
          <w:sz w:val="22"/>
          <w:szCs w:val="22"/>
        </w:rPr>
        <w:t>інциденту</w:t>
      </w:r>
      <w:r w:rsidRPr="00F13232">
        <w:rPr>
          <w:rFonts w:asciiTheme="minorHAnsi" w:hAnsiTheme="minorHAnsi"/>
          <w:color w:val="000000"/>
          <w:sz w:val="22"/>
          <w:szCs w:val="22"/>
        </w:rPr>
        <w:t>);</w:t>
      </w:r>
    </w:p>
    <w:p w14:paraId="19916C28" w14:textId="11B89AAA" w:rsidR="00F13232" w:rsidRPr="00F13232" w:rsidRDefault="00F4511E" w:rsidP="00F13232">
      <w:pPr>
        <w:pStyle w:val="ListParagraph"/>
        <w:numPr>
          <w:ilvl w:val="0"/>
          <w:numId w:val="18"/>
        </w:numPr>
        <w:spacing w:after="0"/>
        <w:jc w:val="both"/>
        <w:rPr>
          <w:rFonts w:asciiTheme="minorHAnsi" w:hAnsiTheme="minorHAnsi"/>
          <w:color w:val="000000"/>
          <w:sz w:val="22"/>
          <w:szCs w:val="22"/>
        </w:rPr>
      </w:pPr>
      <w:r>
        <w:rPr>
          <w:rFonts w:asciiTheme="minorHAnsi" w:hAnsiTheme="minorHAnsi"/>
          <w:color w:val="000000"/>
          <w:sz w:val="22"/>
          <w:szCs w:val="22"/>
        </w:rPr>
        <w:t>Строк переказу</w:t>
      </w:r>
      <w:r w:rsidR="00F13232" w:rsidRPr="00F13232">
        <w:rPr>
          <w:rFonts w:asciiTheme="minorHAnsi" w:hAnsiTheme="minorHAnsi"/>
          <w:color w:val="000000"/>
          <w:sz w:val="22"/>
          <w:szCs w:val="22"/>
        </w:rPr>
        <w:t xml:space="preserve"> та виплати (</w:t>
      </w:r>
      <w:r w:rsidR="007F0FCB">
        <w:rPr>
          <w:rFonts w:asciiTheme="minorHAnsi" w:hAnsiTheme="minorHAnsi"/>
          <w:color w:val="000000"/>
          <w:sz w:val="22"/>
          <w:szCs w:val="22"/>
        </w:rPr>
        <w:t>показник</w:t>
      </w:r>
      <w:r w:rsidR="00F13232" w:rsidRPr="00F13232">
        <w:rPr>
          <w:rFonts w:asciiTheme="minorHAnsi" w:hAnsiTheme="minorHAnsi"/>
          <w:color w:val="000000"/>
          <w:sz w:val="22"/>
          <w:szCs w:val="22"/>
        </w:rPr>
        <w:t xml:space="preserve">: середній час між </w:t>
      </w:r>
      <w:r w:rsidR="006831A6">
        <w:rPr>
          <w:rFonts w:asciiTheme="minorHAnsi" w:hAnsiTheme="minorHAnsi"/>
          <w:color w:val="000000"/>
          <w:sz w:val="22"/>
          <w:szCs w:val="22"/>
        </w:rPr>
        <w:t>переказом</w:t>
      </w:r>
      <w:r w:rsidR="00F13232" w:rsidRPr="00F13232">
        <w:rPr>
          <w:rFonts w:asciiTheme="minorHAnsi" w:hAnsiTheme="minorHAnsi"/>
          <w:color w:val="000000"/>
          <w:sz w:val="22"/>
          <w:szCs w:val="22"/>
        </w:rPr>
        <w:t xml:space="preserve"> УВКБ ООН до </w:t>
      </w:r>
      <w:r w:rsidR="00885413">
        <w:rPr>
          <w:rFonts w:asciiTheme="minorHAnsi" w:hAnsiTheme="minorHAnsi"/>
          <w:color w:val="000000"/>
          <w:sz w:val="22"/>
          <w:szCs w:val="22"/>
        </w:rPr>
        <w:t>ПФП</w:t>
      </w:r>
      <w:r w:rsidR="00F13232" w:rsidRPr="00F13232">
        <w:rPr>
          <w:rFonts w:asciiTheme="minorHAnsi" w:hAnsiTheme="minorHAnsi"/>
          <w:color w:val="000000"/>
          <w:sz w:val="22"/>
          <w:szCs w:val="22"/>
        </w:rPr>
        <w:t xml:space="preserve"> та наявністю коштів для </w:t>
      </w:r>
      <w:r>
        <w:rPr>
          <w:rFonts w:asciiTheme="minorHAnsi" w:hAnsiTheme="minorHAnsi"/>
          <w:color w:val="000000"/>
          <w:sz w:val="22"/>
          <w:szCs w:val="22"/>
        </w:rPr>
        <w:t>зняття</w:t>
      </w:r>
      <w:r w:rsidR="00F13232" w:rsidRPr="00F13232">
        <w:rPr>
          <w:rFonts w:asciiTheme="minorHAnsi" w:hAnsiTheme="minorHAnsi"/>
          <w:color w:val="000000"/>
          <w:sz w:val="22"/>
          <w:szCs w:val="22"/>
        </w:rPr>
        <w:t xml:space="preserve"> через картку [у кількості днів]);</w:t>
      </w:r>
    </w:p>
    <w:p w14:paraId="7AEEFEF0" w14:textId="51E8FABD" w:rsidR="00F13232" w:rsidRPr="00F13232" w:rsidRDefault="00F13232" w:rsidP="00F13232">
      <w:pPr>
        <w:pStyle w:val="ListParagraph"/>
        <w:numPr>
          <w:ilvl w:val="0"/>
          <w:numId w:val="18"/>
        </w:numPr>
        <w:spacing w:after="0"/>
        <w:jc w:val="both"/>
        <w:rPr>
          <w:rFonts w:asciiTheme="minorHAnsi" w:hAnsiTheme="minorHAnsi"/>
          <w:color w:val="000000"/>
          <w:sz w:val="22"/>
          <w:szCs w:val="22"/>
        </w:rPr>
      </w:pPr>
      <w:r w:rsidRPr="00F13232">
        <w:rPr>
          <w:rFonts w:asciiTheme="minorHAnsi" w:hAnsiTheme="minorHAnsi"/>
          <w:color w:val="000000"/>
          <w:sz w:val="22"/>
          <w:szCs w:val="22"/>
        </w:rPr>
        <w:t>Безпека переказів (</w:t>
      </w:r>
      <w:r w:rsidR="007F0FCB">
        <w:rPr>
          <w:rFonts w:asciiTheme="minorHAnsi" w:hAnsiTheme="minorHAnsi"/>
          <w:color w:val="000000"/>
          <w:sz w:val="22"/>
          <w:szCs w:val="22"/>
        </w:rPr>
        <w:t>показник</w:t>
      </w:r>
      <w:r w:rsidRPr="00F13232">
        <w:rPr>
          <w:rFonts w:asciiTheme="minorHAnsi" w:hAnsiTheme="minorHAnsi"/>
          <w:color w:val="000000"/>
          <w:sz w:val="22"/>
          <w:szCs w:val="22"/>
        </w:rPr>
        <w:t>: відсутність порушень);</w:t>
      </w:r>
    </w:p>
    <w:p w14:paraId="3DB7372C" w14:textId="1C8E5CB2" w:rsidR="00F13232" w:rsidRPr="00F13232" w:rsidRDefault="00F13232" w:rsidP="00F13232">
      <w:pPr>
        <w:pStyle w:val="ListParagraph"/>
        <w:numPr>
          <w:ilvl w:val="0"/>
          <w:numId w:val="18"/>
        </w:numPr>
        <w:spacing w:after="0"/>
        <w:jc w:val="both"/>
        <w:rPr>
          <w:rFonts w:asciiTheme="minorHAnsi" w:hAnsiTheme="minorHAnsi"/>
          <w:color w:val="000000"/>
          <w:sz w:val="22"/>
          <w:szCs w:val="22"/>
        </w:rPr>
      </w:pPr>
      <w:r w:rsidRPr="00F13232">
        <w:rPr>
          <w:rFonts w:asciiTheme="minorHAnsi" w:hAnsiTheme="minorHAnsi"/>
          <w:color w:val="000000"/>
          <w:sz w:val="22"/>
          <w:szCs w:val="22"/>
        </w:rPr>
        <w:t>Технічна допомога та вирішення проблем (</w:t>
      </w:r>
      <w:r w:rsidR="007F0FCB">
        <w:rPr>
          <w:rFonts w:asciiTheme="minorHAnsi" w:hAnsiTheme="minorHAnsi"/>
          <w:color w:val="000000"/>
          <w:sz w:val="22"/>
          <w:szCs w:val="22"/>
        </w:rPr>
        <w:t>показник</w:t>
      </w:r>
      <w:r w:rsidRPr="00F13232">
        <w:rPr>
          <w:rFonts w:asciiTheme="minorHAnsi" w:hAnsiTheme="minorHAnsi"/>
          <w:color w:val="000000"/>
          <w:sz w:val="22"/>
          <w:szCs w:val="22"/>
        </w:rPr>
        <w:t xml:space="preserve">: середній час відповіді на запит на обслуговування клієнтів; кількість проблем, вирішених </w:t>
      </w:r>
      <w:r w:rsidR="00F4511E">
        <w:rPr>
          <w:rFonts w:asciiTheme="minorHAnsi" w:hAnsiTheme="minorHAnsi"/>
          <w:color w:val="000000"/>
          <w:sz w:val="22"/>
          <w:szCs w:val="22"/>
        </w:rPr>
        <w:t>по відношенню до</w:t>
      </w:r>
      <w:r w:rsidRPr="00F13232">
        <w:rPr>
          <w:rFonts w:asciiTheme="minorHAnsi" w:hAnsiTheme="minorHAnsi"/>
          <w:color w:val="000000"/>
          <w:sz w:val="22"/>
          <w:szCs w:val="22"/>
        </w:rPr>
        <w:t xml:space="preserve"> загальної кількості проблем);</w:t>
      </w:r>
    </w:p>
    <w:p w14:paraId="38CC61BC" w14:textId="42049977" w:rsidR="00F13232" w:rsidRPr="00F13232" w:rsidRDefault="00F13232" w:rsidP="00F13232">
      <w:pPr>
        <w:pStyle w:val="ListParagraph"/>
        <w:numPr>
          <w:ilvl w:val="0"/>
          <w:numId w:val="18"/>
        </w:numPr>
        <w:spacing w:after="0"/>
        <w:jc w:val="both"/>
        <w:rPr>
          <w:rFonts w:asciiTheme="minorHAnsi" w:hAnsiTheme="minorHAnsi"/>
          <w:color w:val="000000"/>
          <w:sz w:val="22"/>
          <w:szCs w:val="22"/>
        </w:rPr>
      </w:pPr>
      <w:r w:rsidRPr="00F13232">
        <w:rPr>
          <w:rFonts w:asciiTheme="minorHAnsi" w:hAnsiTheme="minorHAnsi"/>
          <w:color w:val="000000"/>
          <w:sz w:val="22"/>
          <w:szCs w:val="22"/>
        </w:rPr>
        <w:t xml:space="preserve">Точність </w:t>
      </w:r>
      <w:r w:rsidR="00321B74">
        <w:rPr>
          <w:rFonts w:asciiTheme="minorHAnsi" w:hAnsiTheme="minorHAnsi"/>
          <w:color w:val="000000"/>
          <w:sz w:val="22"/>
          <w:szCs w:val="22"/>
        </w:rPr>
        <w:t>обліку</w:t>
      </w:r>
      <w:r w:rsidRPr="00F13232">
        <w:rPr>
          <w:rFonts w:asciiTheme="minorHAnsi" w:hAnsiTheme="minorHAnsi"/>
          <w:color w:val="000000"/>
          <w:sz w:val="22"/>
          <w:szCs w:val="22"/>
        </w:rPr>
        <w:t xml:space="preserve"> та звітів про виплату / зняття коштів (показник: щомісячні звіти);</w:t>
      </w:r>
    </w:p>
    <w:p w14:paraId="23C84F5D" w14:textId="6C9400BD" w:rsidR="00196DE6" w:rsidRPr="00027F0A" w:rsidRDefault="00F13232" w:rsidP="00F13232">
      <w:pPr>
        <w:pStyle w:val="ListParagraph"/>
        <w:numPr>
          <w:ilvl w:val="0"/>
          <w:numId w:val="18"/>
        </w:numPr>
        <w:spacing w:before="0" w:beforeAutospacing="0" w:after="0" w:afterAutospacing="0"/>
        <w:jc w:val="both"/>
        <w:rPr>
          <w:rFonts w:asciiTheme="minorHAnsi" w:hAnsiTheme="minorHAnsi" w:cs="Arial"/>
          <w:color w:val="000000"/>
          <w:sz w:val="22"/>
          <w:szCs w:val="22"/>
        </w:rPr>
      </w:pPr>
      <w:r w:rsidRPr="00F13232">
        <w:rPr>
          <w:rFonts w:asciiTheme="minorHAnsi" w:hAnsiTheme="minorHAnsi"/>
          <w:color w:val="000000"/>
          <w:sz w:val="22"/>
          <w:szCs w:val="22"/>
        </w:rPr>
        <w:t>Зручність і простота використання механізму (</w:t>
      </w:r>
      <w:r w:rsidR="007F0FCB">
        <w:rPr>
          <w:rFonts w:asciiTheme="minorHAnsi" w:hAnsiTheme="minorHAnsi"/>
          <w:color w:val="000000"/>
          <w:sz w:val="22"/>
          <w:szCs w:val="22"/>
        </w:rPr>
        <w:t>показник</w:t>
      </w:r>
      <w:r w:rsidRPr="00F13232">
        <w:rPr>
          <w:rFonts w:asciiTheme="minorHAnsi" w:hAnsiTheme="minorHAnsi"/>
          <w:color w:val="000000"/>
          <w:sz w:val="22"/>
          <w:szCs w:val="22"/>
        </w:rPr>
        <w:t>: відстеження скарг і дозволу клієнта).</w:t>
      </w:r>
    </w:p>
    <w:p w14:paraId="54A5ED77" w14:textId="458054C7" w:rsidR="00196DE6" w:rsidRPr="00027F0A" w:rsidRDefault="00196DE6" w:rsidP="00B850C2">
      <w:pPr>
        <w:spacing w:after="0" w:line="240" w:lineRule="auto"/>
        <w:jc w:val="both"/>
        <w:rPr>
          <w:rFonts w:eastAsia="Times New Roman" w:cs="Arial"/>
          <w:color w:val="000000"/>
        </w:rPr>
      </w:pPr>
      <w:r w:rsidRPr="00027F0A">
        <w:rPr>
          <w:color w:val="000000"/>
        </w:rPr>
        <w:t xml:space="preserve">У поданих документах мають бути </w:t>
      </w:r>
      <w:r w:rsidR="00321B74">
        <w:rPr>
          <w:color w:val="000000"/>
        </w:rPr>
        <w:t xml:space="preserve">підтверджені або </w:t>
      </w:r>
      <w:r w:rsidRPr="00027F0A">
        <w:rPr>
          <w:color w:val="000000"/>
        </w:rPr>
        <w:t>описані ключові показники ефективності, які ПФП буде регулярно використовувати та інформацію щодо яких буде повідомляти на договірній основі. </w:t>
      </w:r>
    </w:p>
    <w:p w14:paraId="7C93DDDF" w14:textId="77777777" w:rsidR="00196DE6" w:rsidRPr="00027F0A" w:rsidRDefault="00196DE6" w:rsidP="00B850C2">
      <w:pPr>
        <w:spacing w:after="0" w:line="240" w:lineRule="auto"/>
        <w:jc w:val="both"/>
        <w:rPr>
          <w:rFonts w:eastAsia="Times New Roman" w:cs="Arial"/>
          <w:color w:val="000000"/>
        </w:rPr>
      </w:pPr>
      <w:r w:rsidRPr="00027F0A">
        <w:rPr>
          <w:color w:val="000000"/>
        </w:rPr>
        <w:t> </w:t>
      </w:r>
    </w:p>
    <w:p w14:paraId="16DFC3A6" w14:textId="13E97779" w:rsidR="00196DE6" w:rsidRPr="00027F0A" w:rsidRDefault="0029244A" w:rsidP="00B850C2">
      <w:pPr>
        <w:spacing w:after="0" w:line="240" w:lineRule="auto"/>
        <w:jc w:val="both"/>
        <w:rPr>
          <w:rFonts w:eastAsia="Times New Roman" w:cs="Arial"/>
        </w:rPr>
      </w:pPr>
      <w:r>
        <w:rPr>
          <w:b/>
          <w:bCs/>
        </w:rPr>
        <w:t>VII. Термін</w:t>
      </w:r>
      <w:r w:rsidR="000730C3" w:rsidRPr="00027F0A">
        <w:rPr>
          <w:b/>
          <w:bCs/>
        </w:rPr>
        <w:t xml:space="preserve"> дії контракту</w:t>
      </w:r>
    </w:p>
    <w:p w14:paraId="21617679" w14:textId="77777777" w:rsidR="00196DE6" w:rsidRPr="00027F0A" w:rsidRDefault="009E79E1" w:rsidP="00B850C2">
      <w:pPr>
        <w:spacing w:after="0" w:line="240" w:lineRule="auto"/>
        <w:jc w:val="both"/>
        <w:rPr>
          <w:rFonts w:eastAsia="Times New Roman" w:cs="Arial"/>
          <w:color w:val="000000"/>
        </w:rPr>
      </w:pPr>
      <w:r w:rsidRPr="00027F0A">
        <w:t>Пропонована рамкова угода(и) буде підписана на строк 24 місяці, з можливістю продовження ще на 12 місяців, виходячи з рівня виконання.</w:t>
      </w:r>
    </w:p>
    <w:p w14:paraId="2D24125C" w14:textId="77777777" w:rsidR="00B850C2" w:rsidRPr="00027F0A" w:rsidRDefault="00B850C2" w:rsidP="00B850C2">
      <w:pPr>
        <w:spacing w:after="0" w:line="240" w:lineRule="auto"/>
        <w:jc w:val="both"/>
        <w:rPr>
          <w:rFonts w:eastAsia="Times New Roman" w:cs="Arial"/>
          <w:color w:val="000000"/>
          <w:lang w:eastAsia="en-GB"/>
        </w:rPr>
      </w:pPr>
    </w:p>
    <w:p w14:paraId="330AB828" w14:textId="77777777" w:rsidR="00196DE6" w:rsidRPr="00027F0A" w:rsidRDefault="00196DE6" w:rsidP="00B850C2">
      <w:pPr>
        <w:spacing w:after="0" w:line="240" w:lineRule="auto"/>
        <w:jc w:val="both"/>
        <w:rPr>
          <w:rFonts w:eastAsia="Times New Roman" w:cs="Arial"/>
        </w:rPr>
      </w:pPr>
      <w:r w:rsidRPr="00027F0A">
        <w:rPr>
          <w:b/>
          <w:bCs/>
        </w:rPr>
        <w:t>VIII. Дотримання національного законодавства</w:t>
      </w:r>
    </w:p>
    <w:p w14:paraId="7DD97122" w14:textId="4B7545C0" w:rsidR="00196DE6" w:rsidRPr="00027F0A" w:rsidRDefault="00196DE6" w:rsidP="00B850C2">
      <w:pPr>
        <w:spacing w:after="0" w:line="240" w:lineRule="auto"/>
        <w:jc w:val="both"/>
        <w:rPr>
          <w:rFonts w:eastAsia="Times New Roman" w:cs="Arial"/>
          <w:color w:val="000000"/>
        </w:rPr>
      </w:pPr>
      <w:r w:rsidRPr="00027F0A">
        <w:rPr>
          <w:color w:val="000000"/>
        </w:rPr>
        <w:t xml:space="preserve">Всі фінансові перекази та інші пропоновані послуги, а також інфраструктура, що лежить в основі, повинні відповідати національній нормативно-правовій базі, зокрема стосовно ліцензій, що надаються Урядом, оподаткування, ЗСК, протидії відмиванню грошей, боротьби з тероризмом, міжнародних санкцій, а також законам/стандартам стосовно захисту персональних даних та/або обов'язкових вимог щодо інформаційної безпеки. У пропозиціях мають бути надані необхідні засвідчення </w:t>
      </w:r>
      <w:r w:rsidR="00872788">
        <w:rPr>
          <w:color w:val="000000"/>
        </w:rPr>
        <w:t xml:space="preserve">або лист </w:t>
      </w:r>
      <w:r w:rsidRPr="00027F0A">
        <w:rPr>
          <w:color w:val="000000"/>
        </w:rPr>
        <w:t>для підтвердження того, що механізм переказу та виплати коштів повністю відповідає національному законодавству.</w:t>
      </w:r>
    </w:p>
    <w:p w14:paraId="3C91F9F2" w14:textId="77777777" w:rsidR="00B850C2" w:rsidRPr="00027F0A" w:rsidRDefault="00B850C2" w:rsidP="00B850C2">
      <w:pPr>
        <w:spacing w:after="0" w:line="240" w:lineRule="auto"/>
        <w:jc w:val="both"/>
        <w:rPr>
          <w:rFonts w:eastAsia="Times New Roman" w:cs="Arial"/>
          <w:color w:val="000000"/>
          <w:lang w:eastAsia="en-GB"/>
        </w:rPr>
      </w:pPr>
    </w:p>
    <w:p w14:paraId="19D6318C" w14:textId="56AF576A" w:rsidR="00866424" w:rsidRPr="00027F0A" w:rsidRDefault="00BA0EC4" w:rsidP="00B850C2">
      <w:pPr>
        <w:spacing w:after="0" w:line="240" w:lineRule="auto"/>
        <w:jc w:val="both"/>
        <w:rPr>
          <w:rFonts w:cs="Arial"/>
          <w:b/>
        </w:rPr>
      </w:pPr>
      <w:r w:rsidRPr="00027F0A">
        <w:rPr>
          <w:b/>
          <w:color w:val="000000"/>
        </w:rPr>
        <w:t xml:space="preserve">IX. </w:t>
      </w:r>
      <w:r w:rsidRPr="00027F0A">
        <w:rPr>
          <w:b/>
        </w:rPr>
        <w:t>Вирішення спорів та право</w:t>
      </w:r>
      <w:r w:rsidR="0029244A">
        <w:rPr>
          <w:b/>
        </w:rPr>
        <w:t>, що</w:t>
      </w:r>
      <w:r w:rsidR="0029244A" w:rsidRPr="0029244A">
        <w:t xml:space="preserve"> </w:t>
      </w:r>
      <w:r w:rsidR="0029244A">
        <w:rPr>
          <w:b/>
        </w:rPr>
        <w:t>застосовується</w:t>
      </w:r>
    </w:p>
    <w:p w14:paraId="493775A4" w14:textId="355A9705" w:rsidR="00866424" w:rsidRPr="00027F0A" w:rsidRDefault="00866424" w:rsidP="00B850C2">
      <w:pPr>
        <w:spacing w:after="0" w:line="240" w:lineRule="auto"/>
        <w:jc w:val="both"/>
        <w:rPr>
          <w:rFonts w:cs="Arial"/>
        </w:rPr>
      </w:pPr>
      <w:r w:rsidRPr="00027F0A">
        <w:t xml:space="preserve">Будь-які спори, суперечності або претензії, які виникають внаслідок або в зв'язку з цим контрактом, будуть підпадати під дію статті 18 </w:t>
      </w:r>
      <w:r w:rsidR="00423355" w:rsidRPr="00027F0A">
        <w:t xml:space="preserve">та </w:t>
      </w:r>
      <w:r w:rsidRPr="00027F0A">
        <w:t>регулюватися виключно статтею 18 Загальних умов Контрактів УВКБ ООН на надання товарів та послуг, які будуть додані до контракту. Тлумачення, трактування та виконання Контракту буде регулюватися виключно загальними принципами міжнародного комерційного права, при цьому виключається будь-який вибір норм права, у відповідності з якими цей Контракт підпадав би під закони будь-якої юрисдикції.</w:t>
      </w:r>
    </w:p>
    <w:p w14:paraId="472E94A0" w14:textId="77777777" w:rsidR="00B850C2" w:rsidRPr="00027F0A" w:rsidRDefault="00B850C2" w:rsidP="00B850C2">
      <w:pPr>
        <w:spacing w:after="0" w:line="240" w:lineRule="auto"/>
        <w:jc w:val="both"/>
        <w:rPr>
          <w:rFonts w:cs="Arial"/>
        </w:rPr>
      </w:pPr>
    </w:p>
    <w:p w14:paraId="6FA8EDBD" w14:textId="77777777" w:rsidR="00866424" w:rsidRPr="00027F0A" w:rsidRDefault="00866424" w:rsidP="00B850C2">
      <w:pPr>
        <w:spacing w:after="0" w:line="240" w:lineRule="auto"/>
        <w:jc w:val="both"/>
        <w:rPr>
          <w:rFonts w:cs="Arial"/>
          <w:b/>
        </w:rPr>
      </w:pPr>
      <w:r w:rsidRPr="00027F0A">
        <w:rPr>
          <w:b/>
        </w:rPr>
        <w:t>X. Привілеї та імунітети</w:t>
      </w:r>
    </w:p>
    <w:p w14:paraId="145EF565" w14:textId="76786E79" w:rsidR="00694875" w:rsidRPr="00027F0A" w:rsidRDefault="00866424" w:rsidP="00B850C2">
      <w:pPr>
        <w:spacing w:after="0" w:line="240" w:lineRule="auto"/>
        <w:jc w:val="both"/>
        <w:rPr>
          <w:rFonts w:eastAsia="Times New Roman" w:cs="Arial"/>
          <w:color w:val="000000"/>
        </w:rPr>
      </w:pPr>
      <w:r w:rsidRPr="00027F0A">
        <w:t xml:space="preserve">Постачальник фінансових послуг визнає та погоджується з тим, що УВКБ ООН, його власність, кошти та активи, а також його посадові особи та консультанти користуються привілеями та імунітетами, наданими у відповідності до Конвенції 1946 року про привілеї та імунітети Об'єднаних Націй. Банківський рахунок УВКБ ООН </w:t>
      </w:r>
      <w:r w:rsidR="00423355" w:rsidRPr="00027F0A">
        <w:t xml:space="preserve">матиме </w:t>
      </w:r>
      <w:r w:rsidRPr="00027F0A">
        <w:t>привіле</w:t>
      </w:r>
      <w:r w:rsidR="00423355" w:rsidRPr="00027F0A">
        <w:t>ї</w:t>
      </w:r>
      <w:r w:rsidRPr="00027F0A">
        <w:t xml:space="preserve"> та імунітети УВКБ ООН, в тому числі </w:t>
      </w:r>
      <w:r w:rsidR="00423355" w:rsidRPr="00027F0A">
        <w:t xml:space="preserve">повний </w:t>
      </w:r>
      <w:r w:rsidRPr="00027F0A">
        <w:t>імунітет щодо будь-якого арешту, застави або іншого обтяження по відношенню до рахунків, власником яких є УВКБ ООН, або будь-яких коштів, що знаходяться на цих рахунках.</w:t>
      </w:r>
    </w:p>
    <w:p w14:paraId="52EBCC8F" w14:textId="77777777" w:rsidR="00517772" w:rsidRPr="00027F0A" w:rsidRDefault="00517772" w:rsidP="00B850C2">
      <w:pPr>
        <w:spacing w:after="0" w:line="240" w:lineRule="auto"/>
        <w:jc w:val="both"/>
        <w:rPr>
          <w:rFonts w:eastAsia="Times New Roman" w:cs="Arial"/>
          <w:color w:val="000000"/>
          <w:lang w:eastAsia="en-GB"/>
        </w:rPr>
      </w:pPr>
    </w:p>
    <w:p w14:paraId="674289BC" w14:textId="77777777" w:rsidR="006014D6" w:rsidRPr="00027F0A" w:rsidRDefault="006014D6" w:rsidP="00B850C2">
      <w:pPr>
        <w:pBdr>
          <w:bottom w:val="single" w:sz="4" w:space="1" w:color="auto"/>
        </w:pBdr>
        <w:spacing w:after="0" w:line="240" w:lineRule="auto"/>
        <w:jc w:val="both"/>
        <w:rPr>
          <w:rFonts w:eastAsia="Times New Roman" w:cs="Arial"/>
          <w:color w:val="000000"/>
        </w:rPr>
      </w:pPr>
      <w:r w:rsidRPr="00027F0A">
        <w:rPr>
          <w:color w:val="000000"/>
        </w:rPr>
        <w:t>КІНЕЦЬ</w:t>
      </w:r>
    </w:p>
    <w:sectPr w:rsidR="006014D6" w:rsidRPr="00027F0A" w:rsidSect="007C5757">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71B4C" w14:textId="77777777" w:rsidR="003261BB" w:rsidRDefault="003261BB" w:rsidP="00413A0E">
      <w:pPr>
        <w:spacing w:after="0" w:line="240" w:lineRule="auto"/>
      </w:pPr>
      <w:r>
        <w:separator/>
      </w:r>
    </w:p>
  </w:endnote>
  <w:endnote w:type="continuationSeparator" w:id="0">
    <w:p w14:paraId="69979F4E" w14:textId="77777777" w:rsidR="003261BB" w:rsidRDefault="003261BB" w:rsidP="0041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EE11" w14:textId="547663C4" w:rsidR="005D27EC" w:rsidRPr="00E60310" w:rsidRDefault="005D27EC" w:rsidP="00E6031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CDF64" w14:textId="77777777" w:rsidR="003261BB" w:rsidRDefault="003261BB" w:rsidP="00413A0E">
      <w:pPr>
        <w:spacing w:after="0" w:line="240" w:lineRule="auto"/>
      </w:pPr>
      <w:r>
        <w:separator/>
      </w:r>
    </w:p>
  </w:footnote>
  <w:footnote w:type="continuationSeparator" w:id="0">
    <w:p w14:paraId="726342B6" w14:textId="77777777" w:rsidR="003261BB" w:rsidRDefault="003261BB" w:rsidP="00413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9845F" w14:textId="77777777" w:rsidR="00850390" w:rsidRDefault="00850390" w:rsidP="00870EE5">
    <w:pPr>
      <w:spacing w:before="100" w:after="0" w:line="240" w:lineRule="auto"/>
      <w:jc w:val="center"/>
      <w:rPr>
        <w:rFonts w:ascii="Arial" w:eastAsia="Times New Roman" w:hAnsi="Arial" w:cs="Arial"/>
        <w:b/>
        <w:bCs/>
        <w:color w:val="000000"/>
        <w:sz w:val="20"/>
        <w:szCs w:val="20"/>
        <w:lang w:val="en-US"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EE950" w14:textId="66BC1A83" w:rsidR="00850390" w:rsidRPr="00026078" w:rsidRDefault="00850390" w:rsidP="007421B8">
    <w:pPr>
      <w:spacing w:after="0"/>
      <w:ind w:right="-57"/>
      <w:jc w:val="center"/>
      <w:rPr>
        <w:rFonts w:eastAsia="Arial Unicode MS" w:cs="Arial"/>
        <w:b/>
        <w:sz w:val="24"/>
        <w:szCs w:val="24"/>
        <w:lang w:val="ru-RU"/>
      </w:rPr>
    </w:pPr>
    <w:r>
      <w:rPr>
        <w:b/>
        <w:bCs/>
        <w:color w:val="000000"/>
        <w:sz w:val="24"/>
        <w:szCs w:val="24"/>
      </w:rPr>
      <w:t xml:space="preserve">ЗАПИТ НА ОТРИМАННЯ ПРОПОЗИЦІЙ:  </w:t>
    </w:r>
    <w:r>
      <w:rPr>
        <w:b/>
        <w:sz w:val="24"/>
        <w:szCs w:val="24"/>
      </w:rPr>
      <w:t>№</w:t>
    </w:r>
    <w:r>
      <w:rPr>
        <w:b/>
        <w:i/>
        <w:iCs/>
        <w:sz w:val="24"/>
        <w:szCs w:val="24"/>
      </w:rPr>
      <w:t xml:space="preserve"> </w:t>
    </w:r>
    <w:r>
      <w:rPr>
        <w:b/>
        <w:sz w:val="24"/>
        <w:szCs w:val="24"/>
      </w:rPr>
      <w:t>RFP</w:t>
    </w:r>
    <w:r w:rsidR="00026078" w:rsidRPr="00026078">
      <w:rPr>
        <w:b/>
        <w:sz w:val="24"/>
        <w:szCs w:val="24"/>
        <w:lang w:val="ru-RU"/>
      </w:rPr>
      <w:t xml:space="preserve"> 2019-51</w:t>
    </w:r>
  </w:p>
  <w:p w14:paraId="54097F46" w14:textId="5F5DD855" w:rsidR="00850390" w:rsidRPr="00BA0EC4" w:rsidRDefault="0029244A" w:rsidP="007421B8">
    <w:pPr>
      <w:spacing w:after="0" w:line="240" w:lineRule="auto"/>
      <w:jc w:val="center"/>
      <w:rPr>
        <w:rFonts w:eastAsia="Times New Roman" w:cs="Arial"/>
        <w:i/>
        <w:color w:val="000000"/>
      </w:rPr>
    </w:pPr>
    <w:r>
      <w:rPr>
        <w:b/>
        <w:bCs/>
        <w:i/>
      </w:rPr>
      <w:t>Н</w:t>
    </w:r>
    <w:r w:rsidR="00850390" w:rsidRPr="00D901E5">
      <w:rPr>
        <w:b/>
        <w:bCs/>
        <w:i/>
      </w:rPr>
      <w:t>адання фінансових послуг</w:t>
    </w:r>
    <w:r w:rsidR="00850390">
      <w:rPr>
        <w:b/>
        <w:bCs/>
        <w:i/>
      </w:rPr>
      <w:t xml:space="preserve"> УВКБ ООН в </w:t>
    </w:r>
    <w:r w:rsidR="00850390">
      <w:rPr>
        <w:b/>
        <w:bCs/>
        <w:i/>
        <w:color w:val="FF0000"/>
      </w:rPr>
      <w:t>УКРАЇНІ</w:t>
    </w:r>
  </w:p>
  <w:p w14:paraId="0B6478C6" w14:textId="77777777" w:rsidR="00850390" w:rsidRPr="00BA0EC4" w:rsidRDefault="00850390" w:rsidP="007421B8">
    <w:pPr>
      <w:spacing w:after="0"/>
      <w:ind w:right="-57"/>
      <w:jc w:val="center"/>
      <w:rPr>
        <w:rFonts w:eastAsia="Arial Unicode MS" w:cs="Arial"/>
        <w:b/>
        <w:sz w:val="24"/>
        <w:szCs w:val="24"/>
      </w:rPr>
    </w:pPr>
  </w:p>
  <w:p w14:paraId="2879FD54" w14:textId="77777777" w:rsidR="00850390" w:rsidRPr="00BA0EC4" w:rsidRDefault="00850390" w:rsidP="00614A4E">
    <w:pPr>
      <w:pBdr>
        <w:bottom w:val="single" w:sz="4" w:space="1" w:color="auto"/>
      </w:pBdr>
      <w:spacing w:after="0" w:line="240" w:lineRule="auto"/>
      <w:jc w:val="center"/>
      <w:rPr>
        <w:rFonts w:eastAsia="Times New Roman" w:cs="Arial"/>
        <w:b/>
        <w:bCs/>
        <w:color w:val="000000"/>
        <w:sz w:val="24"/>
        <w:szCs w:val="24"/>
      </w:rPr>
    </w:pPr>
    <w:r>
      <w:rPr>
        <w:b/>
        <w:bCs/>
        <w:color w:val="000000"/>
        <w:sz w:val="24"/>
        <w:szCs w:val="24"/>
      </w:rPr>
      <w:t>Додаток А - ТЕХНІЧНЕ ЗАВДАННЯ (ТЗ)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07454"/>
    <w:multiLevelType w:val="hybridMultilevel"/>
    <w:tmpl w:val="297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375C9"/>
    <w:multiLevelType w:val="hybridMultilevel"/>
    <w:tmpl w:val="CB56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D095C"/>
    <w:multiLevelType w:val="hybridMultilevel"/>
    <w:tmpl w:val="A3B272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007C22"/>
    <w:multiLevelType w:val="hybridMultilevel"/>
    <w:tmpl w:val="D0A4C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790270"/>
    <w:multiLevelType w:val="hybridMultilevel"/>
    <w:tmpl w:val="5524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E262E"/>
    <w:multiLevelType w:val="hybridMultilevel"/>
    <w:tmpl w:val="963CEE98"/>
    <w:lvl w:ilvl="0" w:tplc="141E1DA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30F13"/>
    <w:multiLevelType w:val="hybridMultilevel"/>
    <w:tmpl w:val="47748C6E"/>
    <w:lvl w:ilvl="0" w:tplc="A83A382C">
      <w:start w:val="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132D2"/>
    <w:multiLevelType w:val="multilevel"/>
    <w:tmpl w:val="5B50831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B9415DB"/>
    <w:multiLevelType w:val="hybridMultilevel"/>
    <w:tmpl w:val="7E482C00"/>
    <w:lvl w:ilvl="0" w:tplc="24BED2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62A8B"/>
    <w:multiLevelType w:val="hybridMultilevel"/>
    <w:tmpl w:val="91E8E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25541"/>
    <w:multiLevelType w:val="hybridMultilevel"/>
    <w:tmpl w:val="AD8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F2E11"/>
    <w:multiLevelType w:val="hybridMultilevel"/>
    <w:tmpl w:val="0E9E2522"/>
    <w:lvl w:ilvl="0" w:tplc="08090005">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4AAA11AD"/>
    <w:multiLevelType w:val="hybridMultilevel"/>
    <w:tmpl w:val="8738EC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7573C"/>
    <w:multiLevelType w:val="hybridMultilevel"/>
    <w:tmpl w:val="AB7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56026"/>
    <w:multiLevelType w:val="hybridMultilevel"/>
    <w:tmpl w:val="9C2A6B6E"/>
    <w:lvl w:ilvl="0" w:tplc="F6D87BEA">
      <w:start w:val="1"/>
      <w:numFmt w:val="lowerLetter"/>
      <w:lvlText w:val="%1."/>
      <w:lvlJc w:val="left"/>
      <w:pPr>
        <w:ind w:left="1080" w:hanging="360"/>
      </w:pPr>
      <w:rPr>
        <w:rFonts w:asciiTheme="minorHAnsi" w:hAnsiTheme="minorHAnsi"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3E05FA"/>
    <w:multiLevelType w:val="hybridMultilevel"/>
    <w:tmpl w:val="D856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73EA6"/>
    <w:multiLevelType w:val="hybridMultilevel"/>
    <w:tmpl w:val="99CA4158"/>
    <w:lvl w:ilvl="0" w:tplc="EC1EBF5A">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9084B"/>
    <w:multiLevelType w:val="hybridMultilevel"/>
    <w:tmpl w:val="9A96D7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370B4"/>
    <w:multiLevelType w:val="hybridMultilevel"/>
    <w:tmpl w:val="70609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65BCD"/>
    <w:multiLevelType w:val="hybridMultilevel"/>
    <w:tmpl w:val="3A12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45825"/>
    <w:multiLevelType w:val="hybridMultilevel"/>
    <w:tmpl w:val="708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8430B"/>
    <w:multiLevelType w:val="hybridMultilevel"/>
    <w:tmpl w:val="F446D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145C5"/>
    <w:multiLevelType w:val="hybridMultilevel"/>
    <w:tmpl w:val="C0308D4C"/>
    <w:lvl w:ilvl="0" w:tplc="24BED2D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1"/>
  </w:num>
  <w:num w:numId="4">
    <w:abstractNumId w:val="8"/>
  </w:num>
  <w:num w:numId="5">
    <w:abstractNumId w:val="22"/>
  </w:num>
  <w:num w:numId="6">
    <w:abstractNumId w:val="0"/>
  </w:num>
  <w:num w:numId="7">
    <w:abstractNumId w:val="9"/>
  </w:num>
  <w:num w:numId="8">
    <w:abstractNumId w:val="17"/>
  </w:num>
  <w:num w:numId="9">
    <w:abstractNumId w:val="12"/>
  </w:num>
  <w:num w:numId="10">
    <w:abstractNumId w:val="11"/>
  </w:num>
  <w:num w:numId="11">
    <w:abstractNumId w:val="7"/>
  </w:num>
  <w:num w:numId="12">
    <w:abstractNumId w:val="2"/>
  </w:num>
  <w:num w:numId="13">
    <w:abstractNumId w:val="5"/>
  </w:num>
  <w:num w:numId="14">
    <w:abstractNumId w:val="16"/>
  </w:num>
  <w:num w:numId="15">
    <w:abstractNumId w:val="18"/>
  </w:num>
  <w:num w:numId="16">
    <w:abstractNumId w:val="3"/>
  </w:num>
  <w:num w:numId="17">
    <w:abstractNumId w:val="1"/>
  </w:num>
  <w:num w:numId="18">
    <w:abstractNumId w:val="20"/>
  </w:num>
  <w:num w:numId="19">
    <w:abstractNumId w:val="4"/>
  </w:num>
  <w:num w:numId="20">
    <w:abstractNumId w:val="15"/>
  </w:num>
  <w:num w:numId="21">
    <w:abstractNumId w:val="10"/>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E6"/>
    <w:rsid w:val="00001E18"/>
    <w:rsid w:val="0001151F"/>
    <w:rsid w:val="0001748A"/>
    <w:rsid w:val="00026078"/>
    <w:rsid w:val="00027F0A"/>
    <w:rsid w:val="00051863"/>
    <w:rsid w:val="00064C2E"/>
    <w:rsid w:val="00065CB2"/>
    <w:rsid w:val="00070B3E"/>
    <w:rsid w:val="000730C3"/>
    <w:rsid w:val="00075CDF"/>
    <w:rsid w:val="00083234"/>
    <w:rsid w:val="0009571A"/>
    <w:rsid w:val="000A2134"/>
    <w:rsid w:val="000A3A36"/>
    <w:rsid w:val="000A68DA"/>
    <w:rsid w:val="000B2BD8"/>
    <w:rsid w:val="000C3255"/>
    <w:rsid w:val="000C5C88"/>
    <w:rsid w:val="000C6339"/>
    <w:rsid w:val="000D4C9C"/>
    <w:rsid w:val="000D5E2F"/>
    <w:rsid w:val="000E63F2"/>
    <w:rsid w:val="000F40BE"/>
    <w:rsid w:val="000F50F9"/>
    <w:rsid w:val="0010689D"/>
    <w:rsid w:val="001107CC"/>
    <w:rsid w:val="00114C86"/>
    <w:rsid w:val="001258A7"/>
    <w:rsid w:val="001311CE"/>
    <w:rsid w:val="00146735"/>
    <w:rsid w:val="00147E5D"/>
    <w:rsid w:val="0016134E"/>
    <w:rsid w:val="00173CE1"/>
    <w:rsid w:val="001742B5"/>
    <w:rsid w:val="001742F8"/>
    <w:rsid w:val="00176163"/>
    <w:rsid w:val="0019074B"/>
    <w:rsid w:val="001967D6"/>
    <w:rsid w:val="00196DE6"/>
    <w:rsid w:val="001979B2"/>
    <w:rsid w:val="001B20FA"/>
    <w:rsid w:val="001B556C"/>
    <w:rsid w:val="001C34DF"/>
    <w:rsid w:val="001C4C45"/>
    <w:rsid w:val="001D6042"/>
    <w:rsid w:val="001E3431"/>
    <w:rsid w:val="001E4443"/>
    <w:rsid w:val="001E6BDE"/>
    <w:rsid w:val="00203B35"/>
    <w:rsid w:val="00215291"/>
    <w:rsid w:val="002205E6"/>
    <w:rsid w:val="00221FC3"/>
    <w:rsid w:val="002323E5"/>
    <w:rsid w:val="00236B66"/>
    <w:rsid w:val="002561C7"/>
    <w:rsid w:val="00256590"/>
    <w:rsid w:val="002758EE"/>
    <w:rsid w:val="002832AF"/>
    <w:rsid w:val="0029244A"/>
    <w:rsid w:val="002A60E8"/>
    <w:rsid w:val="002B2C84"/>
    <w:rsid w:val="002B39BF"/>
    <w:rsid w:val="002B598C"/>
    <w:rsid w:val="002C28C6"/>
    <w:rsid w:val="002D1609"/>
    <w:rsid w:val="002D3B50"/>
    <w:rsid w:val="002D42DD"/>
    <w:rsid w:val="002E0428"/>
    <w:rsid w:val="002E0681"/>
    <w:rsid w:val="002E7B6A"/>
    <w:rsid w:val="002F2DF1"/>
    <w:rsid w:val="00306A4B"/>
    <w:rsid w:val="003124D1"/>
    <w:rsid w:val="00313881"/>
    <w:rsid w:val="00313F32"/>
    <w:rsid w:val="00321B74"/>
    <w:rsid w:val="0032270A"/>
    <w:rsid w:val="003261BB"/>
    <w:rsid w:val="00347E9A"/>
    <w:rsid w:val="003519CD"/>
    <w:rsid w:val="0035568C"/>
    <w:rsid w:val="00356B1D"/>
    <w:rsid w:val="00381E2D"/>
    <w:rsid w:val="0038615C"/>
    <w:rsid w:val="003930C7"/>
    <w:rsid w:val="003B5474"/>
    <w:rsid w:val="003C1B9C"/>
    <w:rsid w:val="003D3EB7"/>
    <w:rsid w:val="003D4AFD"/>
    <w:rsid w:val="003D680A"/>
    <w:rsid w:val="003E097A"/>
    <w:rsid w:val="003E36F6"/>
    <w:rsid w:val="003E792B"/>
    <w:rsid w:val="003F42F3"/>
    <w:rsid w:val="003F5652"/>
    <w:rsid w:val="003F7907"/>
    <w:rsid w:val="00413A0E"/>
    <w:rsid w:val="00423355"/>
    <w:rsid w:val="00423D62"/>
    <w:rsid w:val="00424D56"/>
    <w:rsid w:val="004321BC"/>
    <w:rsid w:val="0043533C"/>
    <w:rsid w:val="00441B01"/>
    <w:rsid w:val="00446FF4"/>
    <w:rsid w:val="00451DEB"/>
    <w:rsid w:val="0045502F"/>
    <w:rsid w:val="00460F4E"/>
    <w:rsid w:val="00461233"/>
    <w:rsid w:val="00461455"/>
    <w:rsid w:val="004676D1"/>
    <w:rsid w:val="00470AF7"/>
    <w:rsid w:val="004751EE"/>
    <w:rsid w:val="004819FF"/>
    <w:rsid w:val="00483191"/>
    <w:rsid w:val="0048562B"/>
    <w:rsid w:val="00494D2F"/>
    <w:rsid w:val="004A3ACC"/>
    <w:rsid w:val="004A5D85"/>
    <w:rsid w:val="004B620E"/>
    <w:rsid w:val="004C5A8B"/>
    <w:rsid w:val="004C5B28"/>
    <w:rsid w:val="004D1868"/>
    <w:rsid w:val="004F22AD"/>
    <w:rsid w:val="004F400D"/>
    <w:rsid w:val="00503C46"/>
    <w:rsid w:val="00514680"/>
    <w:rsid w:val="005159E2"/>
    <w:rsid w:val="00517772"/>
    <w:rsid w:val="00540527"/>
    <w:rsid w:val="00544515"/>
    <w:rsid w:val="00544C84"/>
    <w:rsid w:val="00546793"/>
    <w:rsid w:val="005515DA"/>
    <w:rsid w:val="00553C4B"/>
    <w:rsid w:val="00554199"/>
    <w:rsid w:val="00574894"/>
    <w:rsid w:val="005815EC"/>
    <w:rsid w:val="00582918"/>
    <w:rsid w:val="00582EF2"/>
    <w:rsid w:val="00586624"/>
    <w:rsid w:val="005A0CB8"/>
    <w:rsid w:val="005C0E68"/>
    <w:rsid w:val="005C14C1"/>
    <w:rsid w:val="005C6967"/>
    <w:rsid w:val="005D27EC"/>
    <w:rsid w:val="005E2E37"/>
    <w:rsid w:val="005E41DE"/>
    <w:rsid w:val="005F6F7E"/>
    <w:rsid w:val="006014D6"/>
    <w:rsid w:val="00606934"/>
    <w:rsid w:val="00614A4E"/>
    <w:rsid w:val="00620FBB"/>
    <w:rsid w:val="006330D0"/>
    <w:rsid w:val="006334EB"/>
    <w:rsid w:val="0063726C"/>
    <w:rsid w:val="00640710"/>
    <w:rsid w:val="00643336"/>
    <w:rsid w:val="00646A9C"/>
    <w:rsid w:val="00657218"/>
    <w:rsid w:val="006622F3"/>
    <w:rsid w:val="0068193C"/>
    <w:rsid w:val="006831A6"/>
    <w:rsid w:val="00687B3B"/>
    <w:rsid w:val="006919AA"/>
    <w:rsid w:val="00692C69"/>
    <w:rsid w:val="0069398E"/>
    <w:rsid w:val="00694875"/>
    <w:rsid w:val="006A1334"/>
    <w:rsid w:val="006A43BF"/>
    <w:rsid w:val="006A614D"/>
    <w:rsid w:val="006B78B5"/>
    <w:rsid w:val="006B7C95"/>
    <w:rsid w:val="006C0032"/>
    <w:rsid w:val="006C4FE5"/>
    <w:rsid w:val="006E2354"/>
    <w:rsid w:val="006F2690"/>
    <w:rsid w:val="00702890"/>
    <w:rsid w:val="0070353B"/>
    <w:rsid w:val="00707313"/>
    <w:rsid w:val="0071203C"/>
    <w:rsid w:val="00731CD9"/>
    <w:rsid w:val="007421B8"/>
    <w:rsid w:val="00757CDC"/>
    <w:rsid w:val="00760D27"/>
    <w:rsid w:val="00761F39"/>
    <w:rsid w:val="00764A31"/>
    <w:rsid w:val="00765152"/>
    <w:rsid w:val="0076566E"/>
    <w:rsid w:val="007662EF"/>
    <w:rsid w:val="00770B5E"/>
    <w:rsid w:val="007768F0"/>
    <w:rsid w:val="00776FD5"/>
    <w:rsid w:val="007823E1"/>
    <w:rsid w:val="00787A1B"/>
    <w:rsid w:val="007A61B8"/>
    <w:rsid w:val="007B1171"/>
    <w:rsid w:val="007B4AF7"/>
    <w:rsid w:val="007B7040"/>
    <w:rsid w:val="007C5757"/>
    <w:rsid w:val="007C6230"/>
    <w:rsid w:val="007D4D6D"/>
    <w:rsid w:val="007D5871"/>
    <w:rsid w:val="007F0FCB"/>
    <w:rsid w:val="007F3BD1"/>
    <w:rsid w:val="00810912"/>
    <w:rsid w:val="00814603"/>
    <w:rsid w:val="00825BB7"/>
    <w:rsid w:val="008308A5"/>
    <w:rsid w:val="00850390"/>
    <w:rsid w:val="0085187B"/>
    <w:rsid w:val="00851BE6"/>
    <w:rsid w:val="00851D86"/>
    <w:rsid w:val="00853DE7"/>
    <w:rsid w:val="00866424"/>
    <w:rsid w:val="00870EE5"/>
    <w:rsid w:val="00872788"/>
    <w:rsid w:val="008739A2"/>
    <w:rsid w:val="008748EB"/>
    <w:rsid w:val="00885413"/>
    <w:rsid w:val="00892BB3"/>
    <w:rsid w:val="008A2160"/>
    <w:rsid w:val="008A66CC"/>
    <w:rsid w:val="008B0CEF"/>
    <w:rsid w:val="008B175C"/>
    <w:rsid w:val="008B209F"/>
    <w:rsid w:val="008B5459"/>
    <w:rsid w:val="008B76B2"/>
    <w:rsid w:val="008C3D77"/>
    <w:rsid w:val="008C7BFF"/>
    <w:rsid w:val="008D5795"/>
    <w:rsid w:val="008D6121"/>
    <w:rsid w:val="008D7CC2"/>
    <w:rsid w:val="008D7F5F"/>
    <w:rsid w:val="008E46DF"/>
    <w:rsid w:val="008E5AE0"/>
    <w:rsid w:val="008E749A"/>
    <w:rsid w:val="008F1107"/>
    <w:rsid w:val="008F2B55"/>
    <w:rsid w:val="008F6315"/>
    <w:rsid w:val="00911256"/>
    <w:rsid w:val="00912995"/>
    <w:rsid w:val="00915A43"/>
    <w:rsid w:val="00920402"/>
    <w:rsid w:val="00936D8B"/>
    <w:rsid w:val="00954138"/>
    <w:rsid w:val="00954DF2"/>
    <w:rsid w:val="009603A9"/>
    <w:rsid w:val="009640A7"/>
    <w:rsid w:val="0098080E"/>
    <w:rsid w:val="0098436E"/>
    <w:rsid w:val="009B2BA8"/>
    <w:rsid w:val="009C0E03"/>
    <w:rsid w:val="009C2406"/>
    <w:rsid w:val="009C5458"/>
    <w:rsid w:val="009D353C"/>
    <w:rsid w:val="009D3A7A"/>
    <w:rsid w:val="009E24AF"/>
    <w:rsid w:val="009E79E1"/>
    <w:rsid w:val="00A01BE4"/>
    <w:rsid w:val="00A15DAB"/>
    <w:rsid w:val="00A44CC7"/>
    <w:rsid w:val="00A473ED"/>
    <w:rsid w:val="00A6007A"/>
    <w:rsid w:val="00A664CE"/>
    <w:rsid w:val="00A76B54"/>
    <w:rsid w:val="00A80660"/>
    <w:rsid w:val="00A973F2"/>
    <w:rsid w:val="00AA0968"/>
    <w:rsid w:val="00AA7B3B"/>
    <w:rsid w:val="00AB64BB"/>
    <w:rsid w:val="00AD048B"/>
    <w:rsid w:val="00AD3C45"/>
    <w:rsid w:val="00AE4E03"/>
    <w:rsid w:val="00AE6AB0"/>
    <w:rsid w:val="00AF377F"/>
    <w:rsid w:val="00B0153F"/>
    <w:rsid w:val="00B029D3"/>
    <w:rsid w:val="00B05048"/>
    <w:rsid w:val="00B05823"/>
    <w:rsid w:val="00B15626"/>
    <w:rsid w:val="00B324CB"/>
    <w:rsid w:val="00B41251"/>
    <w:rsid w:val="00B4543A"/>
    <w:rsid w:val="00B526C7"/>
    <w:rsid w:val="00B5597F"/>
    <w:rsid w:val="00B7342D"/>
    <w:rsid w:val="00B80CB4"/>
    <w:rsid w:val="00B850C2"/>
    <w:rsid w:val="00B946CA"/>
    <w:rsid w:val="00BA0EC4"/>
    <w:rsid w:val="00BA4168"/>
    <w:rsid w:val="00BB405A"/>
    <w:rsid w:val="00BD4683"/>
    <w:rsid w:val="00BE1094"/>
    <w:rsid w:val="00BE58CD"/>
    <w:rsid w:val="00BE5F7B"/>
    <w:rsid w:val="00BF46D7"/>
    <w:rsid w:val="00BF516F"/>
    <w:rsid w:val="00BF76BE"/>
    <w:rsid w:val="00C15849"/>
    <w:rsid w:val="00C41D4C"/>
    <w:rsid w:val="00C47159"/>
    <w:rsid w:val="00C51076"/>
    <w:rsid w:val="00C56A78"/>
    <w:rsid w:val="00C61613"/>
    <w:rsid w:val="00C61A44"/>
    <w:rsid w:val="00C818FD"/>
    <w:rsid w:val="00C87676"/>
    <w:rsid w:val="00C87B73"/>
    <w:rsid w:val="00C976E1"/>
    <w:rsid w:val="00CA02B0"/>
    <w:rsid w:val="00CA3B11"/>
    <w:rsid w:val="00CA5E82"/>
    <w:rsid w:val="00CB759B"/>
    <w:rsid w:val="00CC0E7E"/>
    <w:rsid w:val="00CC221A"/>
    <w:rsid w:val="00CC663F"/>
    <w:rsid w:val="00CC7CC2"/>
    <w:rsid w:val="00CD5DE2"/>
    <w:rsid w:val="00CE4E34"/>
    <w:rsid w:val="00CF2E92"/>
    <w:rsid w:val="00D12F4E"/>
    <w:rsid w:val="00D16FF6"/>
    <w:rsid w:val="00D21811"/>
    <w:rsid w:val="00D2779F"/>
    <w:rsid w:val="00D30B94"/>
    <w:rsid w:val="00D32A55"/>
    <w:rsid w:val="00D346A6"/>
    <w:rsid w:val="00D64B3D"/>
    <w:rsid w:val="00D736C8"/>
    <w:rsid w:val="00D765A6"/>
    <w:rsid w:val="00D767AB"/>
    <w:rsid w:val="00D901E5"/>
    <w:rsid w:val="00D9753A"/>
    <w:rsid w:val="00DB35E6"/>
    <w:rsid w:val="00DB4492"/>
    <w:rsid w:val="00DC0D17"/>
    <w:rsid w:val="00DC1B12"/>
    <w:rsid w:val="00DD1F30"/>
    <w:rsid w:val="00DE2DAC"/>
    <w:rsid w:val="00DE756A"/>
    <w:rsid w:val="00E05849"/>
    <w:rsid w:val="00E15A29"/>
    <w:rsid w:val="00E219FB"/>
    <w:rsid w:val="00E21EAD"/>
    <w:rsid w:val="00E21F65"/>
    <w:rsid w:val="00E26180"/>
    <w:rsid w:val="00E32985"/>
    <w:rsid w:val="00E50432"/>
    <w:rsid w:val="00E60310"/>
    <w:rsid w:val="00E70FDF"/>
    <w:rsid w:val="00E71AA7"/>
    <w:rsid w:val="00E80963"/>
    <w:rsid w:val="00E8641B"/>
    <w:rsid w:val="00E87324"/>
    <w:rsid w:val="00E91404"/>
    <w:rsid w:val="00E91C79"/>
    <w:rsid w:val="00E95CF5"/>
    <w:rsid w:val="00EA1759"/>
    <w:rsid w:val="00EA3FBB"/>
    <w:rsid w:val="00EA410C"/>
    <w:rsid w:val="00EB10E1"/>
    <w:rsid w:val="00EB38A8"/>
    <w:rsid w:val="00EB4587"/>
    <w:rsid w:val="00EC3F92"/>
    <w:rsid w:val="00ED5418"/>
    <w:rsid w:val="00ED6ED7"/>
    <w:rsid w:val="00EF0922"/>
    <w:rsid w:val="00EF3146"/>
    <w:rsid w:val="00EF31AD"/>
    <w:rsid w:val="00EF5A6A"/>
    <w:rsid w:val="00EF702C"/>
    <w:rsid w:val="00F004E3"/>
    <w:rsid w:val="00F0303E"/>
    <w:rsid w:val="00F0544E"/>
    <w:rsid w:val="00F12CCF"/>
    <w:rsid w:val="00F13232"/>
    <w:rsid w:val="00F23AB4"/>
    <w:rsid w:val="00F26B83"/>
    <w:rsid w:val="00F330F3"/>
    <w:rsid w:val="00F41B74"/>
    <w:rsid w:val="00F423F0"/>
    <w:rsid w:val="00F4511E"/>
    <w:rsid w:val="00F46F30"/>
    <w:rsid w:val="00F503DA"/>
    <w:rsid w:val="00F54E15"/>
    <w:rsid w:val="00F57376"/>
    <w:rsid w:val="00F66923"/>
    <w:rsid w:val="00F7633E"/>
    <w:rsid w:val="00F8234C"/>
    <w:rsid w:val="00F869C1"/>
    <w:rsid w:val="00F86E97"/>
    <w:rsid w:val="00F92E87"/>
    <w:rsid w:val="00F93F29"/>
    <w:rsid w:val="00FA019A"/>
    <w:rsid w:val="00FA1DBF"/>
    <w:rsid w:val="00FA7606"/>
    <w:rsid w:val="00FC3EDE"/>
    <w:rsid w:val="00FC4C3A"/>
    <w:rsid w:val="00FD2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FD9B"/>
  <w15:docId w15:val="{5E6375AF-1BCD-4246-8E0C-7D47FB0C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E8"/>
  </w:style>
  <w:style w:type="paragraph" w:styleId="Heading2">
    <w:name w:val="heading 2"/>
    <w:basedOn w:val="Normal"/>
    <w:next w:val="Normal"/>
    <w:link w:val="Heading2Char"/>
    <w:uiPriority w:val="9"/>
    <w:unhideWhenUsed/>
    <w:qFormat/>
    <w:rsid w:val="007A61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61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6DE6"/>
  </w:style>
  <w:style w:type="character" w:styleId="Hyperlink">
    <w:name w:val="Hyperlink"/>
    <w:basedOn w:val="DefaultParagraphFont"/>
    <w:uiPriority w:val="99"/>
    <w:semiHidden/>
    <w:unhideWhenUsed/>
    <w:rsid w:val="00196DE6"/>
    <w:rPr>
      <w:color w:val="0000FF"/>
      <w:u w:val="single"/>
    </w:rPr>
  </w:style>
  <w:style w:type="character" w:styleId="FollowedHyperlink">
    <w:name w:val="FollowedHyperlink"/>
    <w:basedOn w:val="DefaultParagraphFont"/>
    <w:uiPriority w:val="99"/>
    <w:semiHidden/>
    <w:unhideWhenUsed/>
    <w:rsid w:val="00196DE6"/>
    <w:rPr>
      <w:color w:val="800080"/>
      <w:u w:val="single"/>
    </w:rPr>
  </w:style>
  <w:style w:type="paragraph" w:styleId="ListParagraph">
    <w:name w:val="List Paragraph"/>
    <w:basedOn w:val="Normal"/>
    <w:uiPriority w:val="34"/>
    <w:qFormat/>
    <w:rsid w:val="00196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196DE6"/>
  </w:style>
  <w:style w:type="paragraph" w:styleId="CommentText">
    <w:name w:val="annotation text"/>
    <w:basedOn w:val="Normal"/>
    <w:link w:val="CommentTextChar"/>
    <w:semiHidden/>
    <w:unhideWhenUsed/>
    <w:rsid w:val="00196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semiHidden/>
    <w:rsid w:val="00196DE6"/>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96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196DE6"/>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13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A0E"/>
  </w:style>
  <w:style w:type="paragraph" w:styleId="Footer">
    <w:name w:val="footer"/>
    <w:basedOn w:val="Normal"/>
    <w:link w:val="FooterChar"/>
    <w:uiPriority w:val="99"/>
    <w:unhideWhenUsed/>
    <w:rsid w:val="00413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A0E"/>
  </w:style>
  <w:style w:type="character" w:customStyle="1" w:styleId="Heading2Char">
    <w:name w:val="Heading 2 Char"/>
    <w:basedOn w:val="DefaultParagraphFont"/>
    <w:link w:val="Heading2"/>
    <w:uiPriority w:val="9"/>
    <w:rsid w:val="007A61B8"/>
    <w:rPr>
      <w:rFonts w:asciiTheme="majorHAnsi" w:eastAsiaTheme="majorEastAsia" w:hAnsiTheme="majorHAnsi" w:cstheme="majorBidi"/>
      <w:color w:val="2E74B5" w:themeColor="accent1" w:themeShade="BF"/>
      <w:sz w:val="26"/>
      <w:szCs w:val="26"/>
      <w:lang w:val="uk-UA"/>
    </w:rPr>
  </w:style>
  <w:style w:type="character" w:customStyle="1" w:styleId="Heading3Char">
    <w:name w:val="Heading 3 Char"/>
    <w:basedOn w:val="DefaultParagraphFont"/>
    <w:link w:val="Heading3"/>
    <w:uiPriority w:val="9"/>
    <w:rsid w:val="007A61B8"/>
    <w:rPr>
      <w:rFonts w:asciiTheme="majorHAnsi" w:eastAsiaTheme="majorEastAsia" w:hAnsiTheme="majorHAnsi" w:cstheme="majorBidi"/>
      <w:color w:val="1F4D78" w:themeColor="accent1" w:themeShade="7F"/>
      <w:sz w:val="24"/>
      <w:szCs w:val="24"/>
      <w:lang w:val="uk-UA"/>
    </w:rPr>
  </w:style>
  <w:style w:type="paragraph" w:styleId="BalloonText">
    <w:name w:val="Balloon Text"/>
    <w:basedOn w:val="Normal"/>
    <w:link w:val="BalloonTextChar"/>
    <w:uiPriority w:val="99"/>
    <w:semiHidden/>
    <w:unhideWhenUsed/>
    <w:rsid w:val="00461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55"/>
    <w:rPr>
      <w:rFonts w:ascii="Segoe UI" w:hAnsi="Segoe UI" w:cs="Segoe UI"/>
      <w:sz w:val="18"/>
      <w:szCs w:val="18"/>
    </w:rPr>
  </w:style>
  <w:style w:type="paragraph" w:customStyle="1" w:styleId="Default">
    <w:name w:val="Default"/>
    <w:rsid w:val="00760D2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2A60E8"/>
    <w:rPr>
      <w:sz w:val="16"/>
      <w:szCs w:val="16"/>
    </w:rPr>
  </w:style>
  <w:style w:type="paragraph" w:styleId="CommentSubject">
    <w:name w:val="annotation subject"/>
    <w:basedOn w:val="CommentText"/>
    <w:next w:val="CommentText"/>
    <w:link w:val="CommentSubjectChar"/>
    <w:uiPriority w:val="99"/>
    <w:semiHidden/>
    <w:unhideWhenUsed/>
    <w:rsid w:val="002A60E8"/>
    <w:pPr>
      <w:spacing w:before="0" w:beforeAutospacing="0" w:after="160" w:afterAutospacing="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2A60E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6558">
      <w:bodyDiv w:val="1"/>
      <w:marLeft w:val="0"/>
      <w:marRight w:val="0"/>
      <w:marTop w:val="0"/>
      <w:marBottom w:val="0"/>
      <w:divBdr>
        <w:top w:val="none" w:sz="0" w:space="0" w:color="auto"/>
        <w:left w:val="none" w:sz="0" w:space="0" w:color="auto"/>
        <w:bottom w:val="none" w:sz="0" w:space="0" w:color="auto"/>
        <w:right w:val="none" w:sz="0" w:space="0" w:color="auto"/>
      </w:divBdr>
    </w:div>
    <w:div w:id="1004476870">
      <w:bodyDiv w:val="1"/>
      <w:marLeft w:val="0"/>
      <w:marRight w:val="0"/>
      <w:marTop w:val="0"/>
      <w:marBottom w:val="0"/>
      <w:divBdr>
        <w:top w:val="none" w:sz="0" w:space="0" w:color="auto"/>
        <w:left w:val="none" w:sz="0" w:space="0" w:color="auto"/>
        <w:bottom w:val="none" w:sz="0" w:space="0" w:color="auto"/>
        <w:right w:val="none" w:sz="0" w:space="0" w:color="auto"/>
      </w:divBdr>
    </w:div>
    <w:div w:id="1270358024">
      <w:bodyDiv w:val="1"/>
      <w:marLeft w:val="0"/>
      <w:marRight w:val="0"/>
      <w:marTop w:val="0"/>
      <w:marBottom w:val="0"/>
      <w:divBdr>
        <w:top w:val="none" w:sz="0" w:space="0" w:color="auto"/>
        <w:left w:val="none" w:sz="0" w:space="0" w:color="auto"/>
        <w:bottom w:val="none" w:sz="0" w:space="0" w:color="auto"/>
        <w:right w:val="none" w:sz="0" w:space="0" w:color="auto"/>
      </w:divBdr>
    </w:div>
    <w:div w:id="1578906362">
      <w:bodyDiv w:val="1"/>
      <w:marLeft w:val="0"/>
      <w:marRight w:val="0"/>
      <w:marTop w:val="0"/>
      <w:marBottom w:val="0"/>
      <w:divBdr>
        <w:top w:val="none" w:sz="0" w:space="0" w:color="auto"/>
        <w:left w:val="none" w:sz="0" w:space="0" w:color="auto"/>
        <w:bottom w:val="none" w:sz="0" w:space="0" w:color="auto"/>
        <w:right w:val="none" w:sz="0" w:space="0" w:color="auto"/>
      </w:divBdr>
      <w:divsChild>
        <w:div w:id="281034974">
          <w:marLeft w:val="0"/>
          <w:marRight w:val="0"/>
          <w:marTop w:val="0"/>
          <w:marBottom w:val="0"/>
          <w:divBdr>
            <w:top w:val="none" w:sz="0" w:space="0" w:color="auto"/>
            <w:left w:val="none" w:sz="0" w:space="0" w:color="auto"/>
            <w:bottom w:val="none" w:sz="0" w:space="0" w:color="auto"/>
            <w:right w:val="none" w:sz="0" w:space="0" w:color="auto"/>
          </w:divBdr>
        </w:div>
        <w:div w:id="81684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3E1A4-1E03-44FC-8200-112E1787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3643</Words>
  <Characters>20768</Characters>
  <Application>Microsoft Office Word</Application>
  <DocSecurity>0</DocSecurity>
  <Lines>173</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UNHCR</Company>
  <LinksUpToDate>false</LinksUpToDate>
  <CharactersWithSpaces>24363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DiPretoro</dc:creator>
  <cp:lastModifiedBy>Anatolii Shcherbyna</cp:lastModifiedBy>
  <cp:revision>9</cp:revision>
  <cp:lastPrinted>2019-04-16T08:30:00Z</cp:lastPrinted>
  <dcterms:created xsi:type="dcterms:W3CDTF">2019-06-19T09:25:00Z</dcterms:created>
  <dcterms:modified xsi:type="dcterms:W3CDTF">2019-06-27T07:51:00Z</dcterms:modified>
</cp:coreProperties>
</file>