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15FD" w14:textId="20735969" w:rsidR="00175675" w:rsidRPr="00AD02DF" w:rsidRDefault="00B72743" w:rsidP="0002046B">
      <w:pPr>
        <w:jc w:val="center"/>
        <w:rPr>
          <w:b/>
          <w:bCs/>
          <w:sz w:val="32"/>
          <w:szCs w:val="32"/>
        </w:rPr>
      </w:pPr>
      <w:r w:rsidRPr="00860ADA">
        <w:rPr>
          <w:b/>
          <w:bCs/>
          <w:sz w:val="32"/>
          <w:szCs w:val="32"/>
        </w:rPr>
        <w:t>UKR/RF</w:t>
      </w:r>
      <w:r w:rsidR="005E6692" w:rsidRPr="00860ADA">
        <w:rPr>
          <w:b/>
          <w:bCs/>
          <w:sz w:val="32"/>
          <w:szCs w:val="32"/>
        </w:rPr>
        <w:t>P</w:t>
      </w:r>
      <w:r w:rsidRPr="00860ADA">
        <w:rPr>
          <w:b/>
          <w:bCs/>
          <w:sz w:val="32"/>
          <w:szCs w:val="32"/>
        </w:rPr>
        <w:t>/2022-</w:t>
      </w:r>
      <w:r w:rsidR="002B1C22" w:rsidRPr="00860ADA">
        <w:rPr>
          <w:b/>
          <w:bCs/>
          <w:sz w:val="32"/>
          <w:szCs w:val="32"/>
        </w:rPr>
        <w:t>04</w:t>
      </w:r>
    </w:p>
    <w:p w14:paraId="11B814E6" w14:textId="5CB72EF3" w:rsidR="0056198C" w:rsidRPr="00AD02DF" w:rsidRDefault="0056198C" w:rsidP="0002046B">
      <w:pPr>
        <w:jc w:val="center"/>
        <w:rPr>
          <w:sz w:val="24"/>
          <w:szCs w:val="24"/>
        </w:rPr>
      </w:pPr>
      <w:r w:rsidRPr="00AD02DF">
        <w:rPr>
          <w:sz w:val="24"/>
          <w:szCs w:val="24"/>
        </w:rPr>
        <w:t>ANNEX A – TERMS OF REFERENCE (TOR)</w:t>
      </w:r>
    </w:p>
    <w:p w14:paraId="167F2DD5" w14:textId="77777777" w:rsidR="004279F0" w:rsidRDefault="004279F0" w:rsidP="0002046B">
      <w:pPr>
        <w:jc w:val="both"/>
        <w:rPr>
          <w:b/>
          <w:bCs/>
        </w:rPr>
      </w:pPr>
    </w:p>
    <w:p w14:paraId="038FB1AE" w14:textId="378222D6" w:rsidR="0097647B" w:rsidRPr="0024495A" w:rsidRDefault="0049077C" w:rsidP="0002046B">
      <w:pPr>
        <w:jc w:val="both"/>
        <w:rPr>
          <w:b/>
          <w:bCs/>
        </w:rPr>
      </w:pPr>
      <w:r>
        <w:rPr>
          <w:b/>
          <w:bCs/>
        </w:rPr>
        <w:t>Background:</w:t>
      </w:r>
    </w:p>
    <w:p w14:paraId="2CCF19B4" w14:textId="2ED98CC4" w:rsidR="0097647B" w:rsidRPr="00AD02DF" w:rsidRDefault="0097647B" w:rsidP="0002046B">
      <w:pPr>
        <w:jc w:val="both"/>
        <w:rPr>
          <w:sz w:val="20"/>
          <w:szCs w:val="20"/>
          <w:lang w:val="en-US"/>
        </w:rPr>
      </w:pPr>
      <w:r w:rsidRPr="00AD02DF">
        <w:rPr>
          <w:sz w:val="20"/>
          <w:szCs w:val="20"/>
        </w:rPr>
        <w:t xml:space="preserve">Big influx of IDPs to western part of Ukraine requires the immediate humanitarian </w:t>
      </w:r>
      <w:r w:rsidR="005E6692" w:rsidRPr="00AD02DF">
        <w:rPr>
          <w:sz w:val="20"/>
          <w:szCs w:val="20"/>
        </w:rPr>
        <w:t>response,</w:t>
      </w:r>
      <w:r w:rsidRPr="00AD02DF">
        <w:rPr>
          <w:sz w:val="20"/>
          <w:szCs w:val="20"/>
        </w:rPr>
        <w:t xml:space="preserve"> including shelter component, while the existing capacity of the region is limited. In parallel with different approaches to provide temporary/permanent shelter there is another approach: to use for this purpose premises/buildings which are currently not in use. </w:t>
      </w:r>
    </w:p>
    <w:p w14:paraId="5BA5D2AA" w14:textId="2F0836AA" w:rsidR="0097647B" w:rsidRPr="00AD02DF" w:rsidRDefault="0097647B" w:rsidP="0002046B">
      <w:pPr>
        <w:jc w:val="both"/>
        <w:rPr>
          <w:sz w:val="20"/>
          <w:szCs w:val="20"/>
        </w:rPr>
      </w:pPr>
      <w:r w:rsidRPr="00AD02DF">
        <w:rPr>
          <w:sz w:val="20"/>
          <w:szCs w:val="20"/>
        </w:rPr>
        <w:t xml:space="preserve">As of now UNHCR identified and completed </w:t>
      </w:r>
      <w:r w:rsidR="005E6692" w:rsidRPr="00AD02DF">
        <w:rPr>
          <w:sz w:val="20"/>
          <w:szCs w:val="20"/>
        </w:rPr>
        <w:t xml:space="preserve">the </w:t>
      </w:r>
      <w:r w:rsidRPr="00AD02DF">
        <w:rPr>
          <w:sz w:val="20"/>
          <w:szCs w:val="20"/>
        </w:rPr>
        <w:t xml:space="preserve">technical assessment of buildings/premises </w:t>
      </w:r>
      <w:r w:rsidR="005E6692" w:rsidRPr="00AD02DF">
        <w:rPr>
          <w:sz w:val="20"/>
          <w:szCs w:val="20"/>
        </w:rPr>
        <w:t>withi</w:t>
      </w:r>
      <w:r w:rsidRPr="00AD02DF">
        <w:rPr>
          <w:sz w:val="20"/>
          <w:szCs w:val="20"/>
        </w:rPr>
        <w:t xml:space="preserve">n </w:t>
      </w:r>
      <w:proofErr w:type="spellStart"/>
      <w:r w:rsidR="009A1F9C">
        <w:rPr>
          <w:sz w:val="20"/>
          <w:szCs w:val="20"/>
        </w:rPr>
        <w:t>Vinnytsia</w:t>
      </w:r>
      <w:proofErr w:type="spellEnd"/>
      <w:r w:rsidR="009A1F9C">
        <w:rPr>
          <w:sz w:val="20"/>
          <w:szCs w:val="20"/>
        </w:rPr>
        <w:t xml:space="preserve"> City</w:t>
      </w:r>
      <w:r w:rsidRPr="00AD02DF">
        <w:rPr>
          <w:sz w:val="20"/>
          <w:szCs w:val="20"/>
        </w:rPr>
        <w:t xml:space="preserve"> and </w:t>
      </w:r>
      <w:r w:rsidR="005E6692" w:rsidRPr="00AD02DF">
        <w:rPr>
          <w:sz w:val="20"/>
          <w:szCs w:val="20"/>
        </w:rPr>
        <w:t>seeks</w:t>
      </w:r>
      <w:r w:rsidRPr="00AD02DF">
        <w:rPr>
          <w:sz w:val="20"/>
          <w:szCs w:val="20"/>
        </w:rPr>
        <w:t xml:space="preserve"> to identify the Contractor to conduct construction works in </w:t>
      </w:r>
      <w:r w:rsidR="005E6692" w:rsidRPr="00AD02DF">
        <w:rPr>
          <w:sz w:val="20"/>
          <w:szCs w:val="20"/>
        </w:rPr>
        <w:t>line with the</w:t>
      </w:r>
      <w:r w:rsidRPr="00AD02DF">
        <w:rPr>
          <w:sz w:val="20"/>
          <w:szCs w:val="20"/>
        </w:rPr>
        <w:t xml:space="preserve"> technical documentation provided by UNHCR.</w:t>
      </w:r>
    </w:p>
    <w:p w14:paraId="354C2630" w14:textId="77777777" w:rsidR="009172E0" w:rsidRPr="00811A85" w:rsidRDefault="009172E0" w:rsidP="0002046B">
      <w:pPr>
        <w:jc w:val="both"/>
        <w:rPr>
          <w:b/>
          <w:bCs/>
        </w:rPr>
      </w:pPr>
      <w:r w:rsidRPr="00811A85">
        <w:rPr>
          <w:b/>
          <w:bCs/>
        </w:rPr>
        <w:t xml:space="preserve">Tasks: </w:t>
      </w:r>
    </w:p>
    <w:p w14:paraId="0EBB055B" w14:textId="61E01DAB" w:rsidR="00394716" w:rsidRPr="00AD02DF" w:rsidRDefault="005E6692" w:rsidP="0002046B">
      <w:pPr>
        <w:jc w:val="both"/>
        <w:rPr>
          <w:sz w:val="20"/>
          <w:szCs w:val="20"/>
        </w:rPr>
      </w:pPr>
      <w:r w:rsidRPr="00AD02DF">
        <w:rPr>
          <w:sz w:val="20"/>
          <w:szCs w:val="20"/>
        </w:rPr>
        <w:t>T</w:t>
      </w:r>
      <w:r w:rsidR="009172E0" w:rsidRPr="00AD02DF">
        <w:rPr>
          <w:sz w:val="20"/>
          <w:szCs w:val="20"/>
        </w:rPr>
        <w:t xml:space="preserve">o conduct construction works </w:t>
      </w:r>
      <w:r w:rsidRPr="00AD02DF">
        <w:rPr>
          <w:sz w:val="20"/>
          <w:szCs w:val="20"/>
        </w:rPr>
        <w:t>following parameters specified in</w:t>
      </w:r>
      <w:r w:rsidR="009172E0" w:rsidRPr="00AD02DF">
        <w:rPr>
          <w:sz w:val="20"/>
          <w:szCs w:val="20"/>
        </w:rPr>
        <w:t xml:space="preserve"> Annex </w:t>
      </w:r>
      <w:r w:rsidR="009A712F">
        <w:rPr>
          <w:sz w:val="20"/>
          <w:szCs w:val="20"/>
        </w:rPr>
        <w:t>documents</w:t>
      </w:r>
      <w:r w:rsidR="009172E0" w:rsidRPr="00AD02DF">
        <w:rPr>
          <w:sz w:val="20"/>
          <w:szCs w:val="20"/>
        </w:rPr>
        <w:t xml:space="preserve"> </w:t>
      </w:r>
      <w:r w:rsidR="00FF3B19" w:rsidRPr="00AD02DF">
        <w:rPr>
          <w:sz w:val="20"/>
          <w:szCs w:val="20"/>
        </w:rPr>
        <w:t>(</w:t>
      </w:r>
      <w:r w:rsidR="0002046B">
        <w:rPr>
          <w:sz w:val="20"/>
          <w:szCs w:val="20"/>
        </w:rPr>
        <w:t xml:space="preserve">Annex A1/A2 and </w:t>
      </w:r>
      <w:r w:rsidR="00502384">
        <w:rPr>
          <w:sz w:val="20"/>
          <w:szCs w:val="20"/>
        </w:rPr>
        <w:t>Annex B – full set of quantities with specifications</w:t>
      </w:r>
      <w:r w:rsidR="00FF3B19" w:rsidRPr="00AD02DF">
        <w:rPr>
          <w:sz w:val="20"/>
          <w:szCs w:val="20"/>
        </w:rPr>
        <w:t>)</w:t>
      </w:r>
      <w:r w:rsidR="009172E0" w:rsidRPr="00AD02DF">
        <w:rPr>
          <w:sz w:val="20"/>
          <w:szCs w:val="20"/>
        </w:rPr>
        <w:t>.</w:t>
      </w:r>
      <w:r w:rsidR="00502384">
        <w:rPr>
          <w:sz w:val="20"/>
          <w:szCs w:val="20"/>
        </w:rPr>
        <w:t xml:space="preserve"> </w:t>
      </w:r>
      <w:r w:rsidR="00A51D8D">
        <w:rPr>
          <w:sz w:val="20"/>
          <w:szCs w:val="20"/>
        </w:rPr>
        <w:t xml:space="preserve">This request for proposals is segregated in five (5) lots which account for five (5) different buildings. The complete list of works (including materials, </w:t>
      </w:r>
      <w:proofErr w:type="spellStart"/>
      <w:r w:rsidR="00A51D8D">
        <w:rPr>
          <w:sz w:val="20"/>
          <w:szCs w:val="20"/>
        </w:rPr>
        <w:t>labor</w:t>
      </w:r>
      <w:proofErr w:type="spellEnd"/>
      <w:r w:rsidR="00A51D8D">
        <w:rPr>
          <w:sz w:val="20"/>
          <w:szCs w:val="20"/>
        </w:rPr>
        <w:t xml:space="preserve"> and all needed) is divided per each building/lot. In addition, specifications are provided for specific items under Lots 2 and 4. </w:t>
      </w:r>
      <w:r w:rsidR="00394716" w:rsidRPr="00AD02DF">
        <w:rPr>
          <w:sz w:val="20"/>
          <w:szCs w:val="20"/>
        </w:rPr>
        <w:t>Upon the completion of construction works the Company submits to UNHCR the Technical Report and issues the Act of Acceptance.</w:t>
      </w:r>
    </w:p>
    <w:p w14:paraId="282DDA89" w14:textId="77777777" w:rsidR="008010A3" w:rsidRPr="00811A85" w:rsidRDefault="008010A3" w:rsidP="0002046B">
      <w:pPr>
        <w:jc w:val="both"/>
        <w:rPr>
          <w:b/>
          <w:bCs/>
        </w:rPr>
      </w:pPr>
      <w:r w:rsidRPr="00811A85">
        <w:rPr>
          <w:b/>
          <w:bCs/>
        </w:rPr>
        <w:t>Timeframe:</w:t>
      </w:r>
    </w:p>
    <w:p w14:paraId="58DA6C95" w14:textId="06D3C9CB" w:rsidR="00424B6E" w:rsidRDefault="008010A3" w:rsidP="0002046B">
      <w:pPr>
        <w:jc w:val="both"/>
        <w:rPr>
          <w:sz w:val="20"/>
          <w:szCs w:val="20"/>
        </w:rPr>
      </w:pPr>
      <w:r w:rsidRPr="00AD02DF">
        <w:rPr>
          <w:sz w:val="20"/>
          <w:szCs w:val="20"/>
        </w:rPr>
        <w:t xml:space="preserve">The timeframe for the construction works for </w:t>
      </w:r>
      <w:r w:rsidR="004279F0">
        <w:rPr>
          <w:sz w:val="20"/>
          <w:szCs w:val="20"/>
        </w:rPr>
        <w:t>each specified lot/building</w:t>
      </w:r>
      <w:r w:rsidRPr="00AD02DF">
        <w:rPr>
          <w:sz w:val="20"/>
          <w:szCs w:val="20"/>
        </w:rPr>
        <w:t xml:space="preserve"> in</w:t>
      </w:r>
      <w:r w:rsidR="004279F0">
        <w:rPr>
          <w:sz w:val="20"/>
          <w:szCs w:val="20"/>
        </w:rPr>
        <w:t xml:space="preserve"> the attached</w:t>
      </w:r>
      <w:r w:rsidRPr="00AD02DF">
        <w:rPr>
          <w:sz w:val="20"/>
          <w:szCs w:val="20"/>
        </w:rPr>
        <w:t xml:space="preserve"> </w:t>
      </w:r>
      <w:proofErr w:type="spellStart"/>
      <w:r w:rsidRPr="00AD02DF">
        <w:rPr>
          <w:sz w:val="20"/>
          <w:szCs w:val="20"/>
        </w:rPr>
        <w:t>BoQ</w:t>
      </w:r>
      <w:r w:rsidR="004279F0">
        <w:rPr>
          <w:sz w:val="20"/>
          <w:szCs w:val="20"/>
        </w:rPr>
        <w:t>s</w:t>
      </w:r>
      <w:proofErr w:type="spellEnd"/>
      <w:r w:rsidRPr="00AD02DF">
        <w:rPr>
          <w:sz w:val="20"/>
          <w:szCs w:val="20"/>
        </w:rPr>
        <w:t xml:space="preserve"> is </w:t>
      </w:r>
      <w:r w:rsidR="002B1C22">
        <w:rPr>
          <w:sz w:val="20"/>
          <w:szCs w:val="20"/>
        </w:rPr>
        <w:t>as follows:</w:t>
      </w:r>
    </w:p>
    <w:p w14:paraId="6A5E60DF" w14:textId="39D69B4D" w:rsidR="00AD6120" w:rsidRDefault="00AD6120" w:rsidP="0002046B">
      <w:pPr>
        <w:jc w:val="both"/>
        <w:rPr>
          <w:sz w:val="20"/>
          <w:szCs w:val="20"/>
        </w:rPr>
      </w:pPr>
      <w:r>
        <w:rPr>
          <w:sz w:val="20"/>
          <w:szCs w:val="20"/>
        </w:rPr>
        <w:t xml:space="preserve">Lot 1: </w:t>
      </w:r>
      <w:r w:rsidR="002B1C22">
        <w:rPr>
          <w:sz w:val="20"/>
          <w:szCs w:val="20"/>
        </w:rPr>
        <w:t>9</w:t>
      </w:r>
      <w:r>
        <w:rPr>
          <w:sz w:val="20"/>
          <w:szCs w:val="20"/>
        </w:rPr>
        <w:t>0 calendar days</w:t>
      </w:r>
    </w:p>
    <w:p w14:paraId="415F8C05" w14:textId="47887477" w:rsidR="00AD6120" w:rsidRDefault="00AD6120" w:rsidP="0002046B">
      <w:pPr>
        <w:jc w:val="both"/>
        <w:rPr>
          <w:sz w:val="20"/>
          <w:szCs w:val="20"/>
        </w:rPr>
      </w:pPr>
      <w:r>
        <w:rPr>
          <w:sz w:val="20"/>
          <w:szCs w:val="20"/>
        </w:rPr>
        <w:t xml:space="preserve">Lot 2: </w:t>
      </w:r>
      <w:r w:rsidR="002B1C22">
        <w:rPr>
          <w:sz w:val="20"/>
          <w:szCs w:val="20"/>
        </w:rPr>
        <w:t>9</w:t>
      </w:r>
      <w:r>
        <w:rPr>
          <w:sz w:val="20"/>
          <w:szCs w:val="20"/>
        </w:rPr>
        <w:t>0 calendar days</w:t>
      </w:r>
    </w:p>
    <w:p w14:paraId="4A89432A" w14:textId="023F5D8C" w:rsidR="00AD6120" w:rsidRDefault="00AD6120" w:rsidP="0002046B">
      <w:pPr>
        <w:jc w:val="both"/>
        <w:rPr>
          <w:sz w:val="20"/>
          <w:szCs w:val="20"/>
        </w:rPr>
      </w:pPr>
      <w:r>
        <w:rPr>
          <w:sz w:val="20"/>
          <w:szCs w:val="20"/>
        </w:rPr>
        <w:t>Lot 3: 90 calendar days</w:t>
      </w:r>
    </w:p>
    <w:p w14:paraId="7CE4FCB3" w14:textId="106C49F4" w:rsidR="00AD6120" w:rsidRDefault="00AD6120" w:rsidP="0002046B">
      <w:pPr>
        <w:jc w:val="both"/>
        <w:rPr>
          <w:sz w:val="20"/>
          <w:szCs w:val="20"/>
        </w:rPr>
      </w:pPr>
      <w:r>
        <w:rPr>
          <w:sz w:val="20"/>
          <w:szCs w:val="20"/>
        </w:rPr>
        <w:t>Lot 4: 1</w:t>
      </w:r>
      <w:r w:rsidR="002B1C22">
        <w:rPr>
          <w:sz w:val="20"/>
          <w:szCs w:val="20"/>
        </w:rPr>
        <w:t>5</w:t>
      </w:r>
      <w:r>
        <w:rPr>
          <w:sz w:val="20"/>
          <w:szCs w:val="20"/>
        </w:rPr>
        <w:t>0 calendar days</w:t>
      </w:r>
    </w:p>
    <w:p w14:paraId="242EEBB6" w14:textId="219C5031" w:rsidR="00AD6120" w:rsidRPr="00AD02DF" w:rsidRDefault="00AD6120" w:rsidP="0002046B">
      <w:pPr>
        <w:jc w:val="both"/>
        <w:rPr>
          <w:sz w:val="20"/>
          <w:szCs w:val="20"/>
        </w:rPr>
      </w:pPr>
      <w:r>
        <w:rPr>
          <w:sz w:val="20"/>
          <w:szCs w:val="20"/>
        </w:rPr>
        <w:t>Lot 5:</w:t>
      </w:r>
      <w:r w:rsidR="002B1C22">
        <w:rPr>
          <w:sz w:val="20"/>
          <w:szCs w:val="20"/>
        </w:rPr>
        <w:t xml:space="preserve"> 120 calendar days</w:t>
      </w:r>
    </w:p>
    <w:p w14:paraId="475DE689" w14:textId="08335090" w:rsidR="00424B6E" w:rsidRPr="00811A85" w:rsidRDefault="00B9417A" w:rsidP="0002046B">
      <w:pPr>
        <w:jc w:val="both"/>
        <w:rPr>
          <w:b/>
          <w:bCs/>
        </w:rPr>
      </w:pPr>
      <w:r>
        <w:rPr>
          <w:b/>
          <w:bCs/>
        </w:rPr>
        <w:t>Costing</w:t>
      </w:r>
    </w:p>
    <w:p w14:paraId="253E4A5D" w14:textId="09353F60" w:rsidR="00424B6E" w:rsidRPr="00AD02DF" w:rsidRDefault="009341C0" w:rsidP="0002046B">
      <w:pPr>
        <w:jc w:val="both"/>
        <w:rPr>
          <w:sz w:val="20"/>
          <w:szCs w:val="20"/>
        </w:rPr>
      </w:pPr>
      <w:r w:rsidRPr="00AD02DF">
        <w:rPr>
          <w:sz w:val="20"/>
          <w:szCs w:val="20"/>
        </w:rPr>
        <w:t xml:space="preserve">The </w:t>
      </w:r>
      <w:r w:rsidR="00502384">
        <w:rPr>
          <w:sz w:val="20"/>
          <w:szCs w:val="20"/>
        </w:rPr>
        <w:t>financial offer</w:t>
      </w:r>
      <w:r w:rsidRPr="00AD02DF">
        <w:rPr>
          <w:sz w:val="20"/>
          <w:szCs w:val="20"/>
        </w:rPr>
        <w:t xml:space="preserve"> should</w:t>
      </w:r>
      <w:r w:rsidR="00424B6E" w:rsidRPr="00AD02DF">
        <w:rPr>
          <w:sz w:val="20"/>
          <w:szCs w:val="20"/>
        </w:rPr>
        <w:t xml:space="preserve"> be provided </w:t>
      </w:r>
      <w:r w:rsidRPr="00AD02DF">
        <w:rPr>
          <w:sz w:val="20"/>
          <w:szCs w:val="20"/>
        </w:rPr>
        <w:t xml:space="preserve">on </w:t>
      </w:r>
      <w:r w:rsidR="00811A85" w:rsidRPr="00AD02DF">
        <w:rPr>
          <w:sz w:val="20"/>
          <w:szCs w:val="20"/>
        </w:rPr>
        <w:t>all-inclusive</w:t>
      </w:r>
      <w:r w:rsidRPr="00AD02DF">
        <w:rPr>
          <w:sz w:val="20"/>
          <w:szCs w:val="20"/>
        </w:rPr>
        <w:t xml:space="preserve"> basis as</w:t>
      </w:r>
      <w:r w:rsidR="00424B6E" w:rsidRPr="00AD02DF">
        <w:rPr>
          <w:sz w:val="20"/>
          <w:szCs w:val="20"/>
        </w:rPr>
        <w:t xml:space="preserve"> the whole budget need</w:t>
      </w:r>
      <w:r w:rsidR="00926EDA" w:rsidRPr="00AD02DF">
        <w:rPr>
          <w:sz w:val="20"/>
          <w:szCs w:val="20"/>
        </w:rPr>
        <w:t>s</w:t>
      </w:r>
      <w:r w:rsidR="00424B6E" w:rsidRPr="00AD02DF">
        <w:rPr>
          <w:sz w:val="20"/>
          <w:szCs w:val="20"/>
        </w:rPr>
        <w:t xml:space="preserve"> to</w:t>
      </w:r>
      <w:r w:rsidR="00926EDA" w:rsidRPr="00AD02DF">
        <w:rPr>
          <w:sz w:val="20"/>
          <w:szCs w:val="20"/>
        </w:rPr>
        <w:t xml:space="preserve"> includes</w:t>
      </w:r>
      <w:r w:rsidR="00424B6E" w:rsidRPr="00AD02DF">
        <w:rPr>
          <w:sz w:val="20"/>
          <w:szCs w:val="20"/>
        </w:rPr>
        <w:t xml:space="preserve"> all construction services and construction material procurement under the </w:t>
      </w:r>
      <w:proofErr w:type="spellStart"/>
      <w:r w:rsidR="00424B6E" w:rsidRPr="00AD02DF">
        <w:rPr>
          <w:sz w:val="20"/>
          <w:szCs w:val="20"/>
        </w:rPr>
        <w:t>BoQ</w:t>
      </w:r>
      <w:proofErr w:type="spellEnd"/>
      <w:r w:rsidR="00424B6E" w:rsidRPr="00AD02DF">
        <w:rPr>
          <w:sz w:val="20"/>
          <w:szCs w:val="20"/>
        </w:rPr>
        <w:t xml:space="preserve"> provided by UNHCR including a</w:t>
      </w:r>
      <w:r w:rsidR="00926EDA" w:rsidRPr="00AD02DF">
        <w:rPr>
          <w:sz w:val="20"/>
          <w:szCs w:val="20"/>
        </w:rPr>
        <w:t xml:space="preserve">ncillary </w:t>
      </w:r>
      <w:r w:rsidR="00424B6E" w:rsidRPr="00AD02DF">
        <w:rPr>
          <w:sz w:val="20"/>
          <w:szCs w:val="20"/>
        </w:rPr>
        <w:t>expenses (</w:t>
      </w:r>
      <w:r w:rsidR="00424B6E" w:rsidRPr="004C12AE">
        <w:rPr>
          <w:sz w:val="20"/>
          <w:szCs w:val="20"/>
        </w:rPr>
        <w:t xml:space="preserve">administration, transportation, delivery of materials, accommodation of working brigades, insurance, amortization of machinery and equipment etc.). </w:t>
      </w:r>
      <w:r w:rsidRPr="004C12AE">
        <w:rPr>
          <w:sz w:val="20"/>
          <w:szCs w:val="20"/>
        </w:rPr>
        <w:t>Please note that UNHCR has tax and duty exemption status, therefore please provide your quotation without VAT.</w:t>
      </w:r>
    </w:p>
    <w:p w14:paraId="3F0F90FD" w14:textId="77777777" w:rsidR="00394716" w:rsidRPr="00811A85" w:rsidRDefault="00394716" w:rsidP="0002046B">
      <w:pPr>
        <w:jc w:val="both"/>
        <w:rPr>
          <w:b/>
          <w:bCs/>
        </w:rPr>
      </w:pPr>
      <w:r w:rsidRPr="00811A85">
        <w:rPr>
          <w:b/>
          <w:bCs/>
        </w:rPr>
        <w:t>UNHCR’s role:</w:t>
      </w:r>
    </w:p>
    <w:p w14:paraId="649E1893" w14:textId="5BA341FB" w:rsidR="00CE59D7" w:rsidRPr="00AD02DF" w:rsidRDefault="00394716" w:rsidP="0002046B">
      <w:pPr>
        <w:jc w:val="both"/>
        <w:rPr>
          <w:sz w:val="20"/>
          <w:szCs w:val="20"/>
        </w:rPr>
      </w:pPr>
      <w:r w:rsidRPr="00AD02DF">
        <w:rPr>
          <w:sz w:val="20"/>
          <w:szCs w:val="20"/>
        </w:rPr>
        <w:t xml:space="preserve">UNHCR will be monitoring, certifying, approving, controlling, and verifying implementation of all tasks under this TOR and due provision of all expected services. </w:t>
      </w:r>
      <w:r w:rsidR="00163A69" w:rsidRPr="00AD02DF">
        <w:rPr>
          <w:sz w:val="20"/>
          <w:szCs w:val="20"/>
        </w:rPr>
        <w:t xml:space="preserve">This includes the overall control and approval of works at all stages within this Project. The quality of construction work, the scope of work, the size and pricing of all work and all expected results within the framework of this Project are also checked by a consulting company </w:t>
      </w:r>
      <w:r w:rsidR="002B2D44">
        <w:rPr>
          <w:sz w:val="20"/>
          <w:szCs w:val="20"/>
        </w:rPr>
        <w:t xml:space="preserve">contracted by UNHCR </w:t>
      </w:r>
      <w:r w:rsidR="00163A69" w:rsidRPr="00AD02DF">
        <w:rPr>
          <w:sz w:val="20"/>
          <w:szCs w:val="20"/>
        </w:rPr>
        <w:t xml:space="preserve">that conducts </w:t>
      </w:r>
      <w:r w:rsidR="002D3263" w:rsidRPr="00AD02DF">
        <w:rPr>
          <w:sz w:val="20"/>
          <w:szCs w:val="20"/>
          <w:lang w:val="en-US"/>
        </w:rPr>
        <w:t>audit</w:t>
      </w:r>
      <w:r w:rsidR="002A5832" w:rsidRPr="00AD02DF">
        <w:rPr>
          <w:sz w:val="20"/>
          <w:szCs w:val="20"/>
          <w:lang w:val="en-US"/>
        </w:rPr>
        <w:t xml:space="preserve">, </w:t>
      </w:r>
      <w:r w:rsidR="00593E5D" w:rsidRPr="00AD02DF">
        <w:rPr>
          <w:sz w:val="20"/>
          <w:szCs w:val="20"/>
          <w:lang w:val="en-US"/>
        </w:rPr>
        <w:t>engineering,</w:t>
      </w:r>
      <w:r w:rsidR="00163A69" w:rsidRPr="00AD02DF">
        <w:rPr>
          <w:sz w:val="20"/>
          <w:szCs w:val="20"/>
        </w:rPr>
        <w:t xml:space="preserve"> and technical supervision</w:t>
      </w:r>
      <w:r w:rsidR="00AB16CE" w:rsidRPr="00AD02DF">
        <w:rPr>
          <w:sz w:val="20"/>
          <w:szCs w:val="20"/>
        </w:rPr>
        <w:t xml:space="preserve"> services in</w:t>
      </w:r>
      <w:r w:rsidR="00163A69" w:rsidRPr="00AD02DF">
        <w:rPr>
          <w:sz w:val="20"/>
          <w:szCs w:val="20"/>
        </w:rPr>
        <w:t xml:space="preserve"> accordance with contracts for consulting services.</w:t>
      </w:r>
    </w:p>
    <w:p w14:paraId="49C7597C" w14:textId="77777777" w:rsidR="002D3263" w:rsidRPr="001C412C" w:rsidRDefault="002D3263" w:rsidP="0002046B">
      <w:pPr>
        <w:rPr>
          <w:b/>
          <w:bCs/>
        </w:rPr>
      </w:pPr>
      <w:r w:rsidRPr="001C412C">
        <w:rPr>
          <w:b/>
          <w:bCs/>
        </w:rPr>
        <w:lastRenderedPageBreak/>
        <w:t>Technical Requirements</w:t>
      </w:r>
    </w:p>
    <w:p w14:paraId="7FC0CBF9" w14:textId="349168E0" w:rsidR="002D3263" w:rsidRPr="002B2D44" w:rsidRDefault="002B2D44" w:rsidP="0002046B">
      <w:pPr>
        <w:jc w:val="both"/>
        <w:rPr>
          <w:sz w:val="20"/>
          <w:szCs w:val="20"/>
        </w:rPr>
      </w:pPr>
      <w:r w:rsidRPr="002B2D44">
        <w:rPr>
          <w:rStyle w:val="normaltextrun"/>
          <w:rFonts w:ascii="Calibri" w:hAnsi="Calibri" w:cs="Calibri"/>
          <w:sz w:val="20"/>
          <w:szCs w:val="20"/>
          <w:shd w:val="clear" w:color="auto" w:fill="FFFFFF"/>
        </w:rPr>
        <w:t>Construction services will be done by the Company identified through a bidding process. The Company’s technical compliance will be evaluated by a TEC (technical evaluation committee) against the following requirements</w:t>
      </w:r>
      <w:r w:rsidRPr="002B2D44">
        <w:rPr>
          <w:rStyle w:val="eop"/>
          <w:rFonts w:ascii="Calibri" w:hAnsi="Calibri" w:cs="Calibri"/>
          <w:sz w:val="20"/>
          <w:szCs w:val="20"/>
          <w:shd w:val="clear" w:color="auto" w:fill="FFFFFF"/>
        </w:rPr>
        <w:t>:</w:t>
      </w:r>
      <w:r w:rsidR="002D3263" w:rsidRPr="002B2D44">
        <w:rPr>
          <w:sz w:val="20"/>
          <w:szCs w:val="20"/>
        </w:rPr>
        <w:t xml:space="preserve"> </w:t>
      </w:r>
    </w:p>
    <w:p w14:paraId="6A4AFCAC" w14:textId="1EAD7508" w:rsidR="002D3263" w:rsidRPr="00AD02DF" w:rsidRDefault="00C75772" w:rsidP="0002046B">
      <w:pPr>
        <w:pStyle w:val="ListParagraph"/>
        <w:numPr>
          <w:ilvl w:val="0"/>
          <w:numId w:val="6"/>
        </w:numPr>
        <w:spacing w:line="256" w:lineRule="auto"/>
        <w:jc w:val="both"/>
        <w:rPr>
          <w:rFonts w:cstheme="minorHAnsi"/>
          <w:i/>
          <w:iCs/>
          <w:sz w:val="20"/>
          <w:szCs w:val="20"/>
        </w:rPr>
      </w:pPr>
      <w:r>
        <w:rPr>
          <w:rFonts w:eastAsia="Times New Roman" w:cstheme="minorHAnsi"/>
          <w:i/>
          <w:iCs/>
          <w:sz w:val="20"/>
          <w:szCs w:val="20"/>
        </w:rPr>
        <w:t>E</w:t>
      </w:r>
      <w:r w:rsidR="009C1D94">
        <w:rPr>
          <w:rFonts w:eastAsia="Times New Roman" w:cstheme="minorHAnsi"/>
          <w:i/>
          <w:iCs/>
          <w:sz w:val="20"/>
          <w:szCs w:val="20"/>
        </w:rPr>
        <w:t>vidence of past contracts - successfully executed - with similar construction services and similar size</w:t>
      </w:r>
    </w:p>
    <w:p w14:paraId="59CC3FA7" w14:textId="77777777" w:rsidR="002D3263" w:rsidRPr="00AD02DF" w:rsidRDefault="002D3263" w:rsidP="0002046B">
      <w:pPr>
        <w:pStyle w:val="ListParagraph"/>
        <w:numPr>
          <w:ilvl w:val="0"/>
          <w:numId w:val="6"/>
        </w:numPr>
        <w:jc w:val="both"/>
        <w:rPr>
          <w:rFonts w:cstheme="minorHAnsi"/>
          <w:i/>
          <w:iCs/>
          <w:sz w:val="20"/>
          <w:szCs w:val="20"/>
        </w:rPr>
      </w:pPr>
      <w:r w:rsidRPr="00AD02DF">
        <w:rPr>
          <w:rFonts w:cstheme="minorHAnsi"/>
          <w:i/>
          <w:iCs/>
          <w:sz w:val="20"/>
          <w:szCs w:val="20"/>
        </w:rPr>
        <w:t>Availability of all licenses and permissions needed to conduct construction works</w:t>
      </w:r>
    </w:p>
    <w:p w14:paraId="67C058D5" w14:textId="0945E6ED" w:rsidR="002D3263" w:rsidRPr="00AD02DF" w:rsidRDefault="002D3263" w:rsidP="0002046B">
      <w:pPr>
        <w:pStyle w:val="ListParagraph"/>
        <w:numPr>
          <w:ilvl w:val="0"/>
          <w:numId w:val="6"/>
        </w:numPr>
        <w:jc w:val="both"/>
        <w:rPr>
          <w:rFonts w:cstheme="minorHAnsi"/>
          <w:i/>
          <w:iCs/>
          <w:sz w:val="20"/>
          <w:szCs w:val="20"/>
        </w:rPr>
      </w:pPr>
      <w:r w:rsidRPr="00AD02DF">
        <w:rPr>
          <w:rFonts w:cstheme="minorHAnsi"/>
          <w:i/>
          <w:iCs/>
          <w:sz w:val="20"/>
          <w:szCs w:val="20"/>
        </w:rPr>
        <w:t xml:space="preserve">Ability to conduct qualified construction works in </w:t>
      </w:r>
      <w:r w:rsidR="00AD02DF" w:rsidRPr="00AD02DF">
        <w:rPr>
          <w:rFonts w:cstheme="minorHAnsi"/>
          <w:i/>
          <w:iCs/>
          <w:sz w:val="20"/>
          <w:szCs w:val="20"/>
        </w:rPr>
        <w:t xml:space="preserve">the specified </w:t>
      </w:r>
      <w:r w:rsidRPr="00AD02DF">
        <w:rPr>
          <w:rFonts w:cstheme="minorHAnsi"/>
          <w:i/>
          <w:iCs/>
          <w:sz w:val="20"/>
          <w:szCs w:val="20"/>
        </w:rPr>
        <w:t xml:space="preserve">location and in the capacity specified in </w:t>
      </w:r>
      <w:proofErr w:type="spellStart"/>
      <w:r w:rsidRPr="00AD02DF">
        <w:rPr>
          <w:rFonts w:cstheme="minorHAnsi"/>
          <w:i/>
          <w:iCs/>
          <w:sz w:val="20"/>
          <w:szCs w:val="20"/>
        </w:rPr>
        <w:t>BoQ</w:t>
      </w:r>
      <w:proofErr w:type="spellEnd"/>
      <w:r w:rsidRPr="00AD02DF">
        <w:rPr>
          <w:rFonts w:cstheme="minorHAnsi"/>
          <w:i/>
          <w:iCs/>
          <w:sz w:val="20"/>
          <w:szCs w:val="20"/>
        </w:rPr>
        <w:t xml:space="preserve"> provided by UNHCR</w:t>
      </w:r>
    </w:p>
    <w:p w14:paraId="782DE10C" w14:textId="7276A627" w:rsidR="00375C06" w:rsidRPr="0002046B" w:rsidRDefault="002D3263" w:rsidP="0002046B">
      <w:pPr>
        <w:pStyle w:val="ListParagraph"/>
        <w:numPr>
          <w:ilvl w:val="0"/>
          <w:numId w:val="6"/>
        </w:numPr>
        <w:jc w:val="both"/>
        <w:rPr>
          <w:rFonts w:cstheme="minorHAnsi"/>
          <w:i/>
          <w:iCs/>
          <w:sz w:val="20"/>
          <w:szCs w:val="20"/>
        </w:rPr>
      </w:pPr>
      <w:r w:rsidRPr="0002046B">
        <w:rPr>
          <w:rFonts w:cstheme="minorHAnsi"/>
          <w:i/>
          <w:iCs/>
          <w:sz w:val="20"/>
          <w:szCs w:val="20"/>
        </w:rPr>
        <w:t xml:space="preserve">Ability to complete the construction works in </w:t>
      </w:r>
      <w:r w:rsidR="0002046B">
        <w:rPr>
          <w:rFonts w:cstheme="minorHAnsi"/>
          <w:i/>
          <w:iCs/>
          <w:sz w:val="20"/>
          <w:szCs w:val="20"/>
        </w:rPr>
        <w:t xml:space="preserve">number of days specified in the timeframe </w:t>
      </w:r>
      <w:r w:rsidR="00375C06" w:rsidRPr="0002046B">
        <w:rPr>
          <w:rFonts w:cstheme="minorHAnsi"/>
          <w:i/>
          <w:iCs/>
          <w:sz w:val="20"/>
          <w:szCs w:val="20"/>
        </w:rPr>
        <w:t>including submission of (1) Construction Schedule and (2) Work Plan</w:t>
      </w:r>
    </w:p>
    <w:p w14:paraId="0ACF7434" w14:textId="4B4C9873" w:rsidR="002D3263" w:rsidRPr="00AD02DF" w:rsidRDefault="00AD02DF" w:rsidP="0002046B">
      <w:pPr>
        <w:pStyle w:val="ListParagraph"/>
        <w:numPr>
          <w:ilvl w:val="0"/>
          <w:numId w:val="6"/>
        </w:numPr>
        <w:spacing w:line="256" w:lineRule="auto"/>
        <w:jc w:val="both"/>
        <w:rPr>
          <w:rFonts w:eastAsia="Times New Roman" w:cstheme="minorHAnsi"/>
          <w:i/>
          <w:iCs/>
          <w:sz w:val="20"/>
          <w:szCs w:val="20"/>
          <w:lang w:val="en"/>
        </w:rPr>
      </w:pPr>
      <w:r w:rsidRPr="00AD02DF">
        <w:rPr>
          <w:rFonts w:eastAsia="Times New Roman" w:cstheme="minorHAnsi"/>
          <w:i/>
          <w:iCs/>
          <w:sz w:val="20"/>
          <w:szCs w:val="20"/>
        </w:rPr>
        <w:t>Ensure presence at the s</w:t>
      </w:r>
      <w:r w:rsidR="002D3263" w:rsidRPr="00AD02DF">
        <w:rPr>
          <w:rFonts w:eastAsia="Times New Roman" w:cstheme="minorHAnsi"/>
          <w:i/>
          <w:iCs/>
          <w:sz w:val="20"/>
          <w:szCs w:val="20"/>
        </w:rPr>
        <w:t xml:space="preserve">ite </w:t>
      </w:r>
      <w:r w:rsidR="002D3263" w:rsidRPr="00AD02DF">
        <w:rPr>
          <w:rFonts w:eastAsia="Times New Roman" w:cstheme="minorHAnsi"/>
          <w:i/>
          <w:iCs/>
          <w:sz w:val="20"/>
          <w:szCs w:val="20"/>
          <w:lang w:val="en"/>
        </w:rPr>
        <w:t xml:space="preserve">visit at the stage of application for participation in the tender </w:t>
      </w:r>
      <w:r w:rsidRPr="00AD02DF">
        <w:rPr>
          <w:rFonts w:eastAsia="Times New Roman" w:cstheme="minorHAnsi"/>
          <w:i/>
          <w:iCs/>
          <w:sz w:val="20"/>
          <w:szCs w:val="20"/>
          <w:lang w:val="en"/>
        </w:rPr>
        <w:t>(pre-bidding site visit presence mandatory)</w:t>
      </w:r>
    </w:p>
    <w:p w14:paraId="53A9B360" w14:textId="77777777" w:rsidR="002D3263" w:rsidRPr="00557A31" w:rsidRDefault="002D3263" w:rsidP="0002046B">
      <w:pPr>
        <w:jc w:val="both"/>
        <w:rPr>
          <w:i/>
          <w:iCs/>
          <w:color w:val="FFFF00"/>
        </w:rPr>
      </w:pPr>
      <w:r w:rsidRPr="001C412C">
        <w:rPr>
          <w:b/>
          <w:bCs/>
        </w:rPr>
        <w:t>Evaluation</w:t>
      </w:r>
      <w:r>
        <w:rPr>
          <w:b/>
          <w:bCs/>
        </w:rPr>
        <w:t xml:space="preserve">   </w:t>
      </w:r>
    </w:p>
    <w:p w14:paraId="30534477" w14:textId="7E22AF86" w:rsidR="002D3263" w:rsidRPr="00AD02DF" w:rsidRDefault="002D3263" w:rsidP="0002046B">
      <w:pPr>
        <w:jc w:val="both"/>
        <w:rPr>
          <w:sz w:val="20"/>
          <w:szCs w:val="20"/>
        </w:rPr>
      </w:pPr>
      <w:r w:rsidRPr="00AD02DF">
        <w:rPr>
          <w:sz w:val="20"/>
          <w:szCs w:val="20"/>
        </w:rPr>
        <w:t xml:space="preserve">The Bidder submits its </w:t>
      </w:r>
      <w:r w:rsidR="00AD02DF">
        <w:rPr>
          <w:sz w:val="20"/>
          <w:szCs w:val="20"/>
        </w:rPr>
        <w:t xml:space="preserve">technical and </w:t>
      </w:r>
      <w:r w:rsidRPr="00AD02DF">
        <w:rPr>
          <w:sz w:val="20"/>
          <w:szCs w:val="20"/>
        </w:rPr>
        <w:t>financial proposal</w:t>
      </w:r>
      <w:r w:rsidR="00AD02DF">
        <w:rPr>
          <w:sz w:val="20"/>
          <w:szCs w:val="20"/>
        </w:rPr>
        <w:t>s</w:t>
      </w:r>
      <w:r w:rsidRPr="00AD02DF">
        <w:rPr>
          <w:sz w:val="20"/>
          <w:szCs w:val="20"/>
        </w:rPr>
        <w:t xml:space="preserve">, which </w:t>
      </w:r>
      <w:r w:rsidR="007A56CD">
        <w:rPr>
          <w:sz w:val="20"/>
          <w:szCs w:val="20"/>
        </w:rPr>
        <w:t>collects all documents in line with requests as</w:t>
      </w:r>
      <w:r w:rsidRPr="00AD02DF">
        <w:rPr>
          <w:sz w:val="20"/>
          <w:szCs w:val="20"/>
        </w:rPr>
        <w:t xml:space="preserve"> to conduct all construction services and construction material procurement under the </w:t>
      </w:r>
      <w:proofErr w:type="spellStart"/>
      <w:r w:rsidRPr="00AD02DF">
        <w:rPr>
          <w:sz w:val="20"/>
          <w:szCs w:val="20"/>
        </w:rPr>
        <w:t>BoQ</w:t>
      </w:r>
      <w:proofErr w:type="spellEnd"/>
      <w:r w:rsidRPr="00AD02DF">
        <w:rPr>
          <w:sz w:val="20"/>
          <w:szCs w:val="20"/>
        </w:rPr>
        <w:t xml:space="preserve"> provided by UNHCR including all associated expenses (administration, transportation, delivery of materials, accommodation of working brigades, insurance, amortization of machinery and equipment etc.).</w:t>
      </w:r>
    </w:p>
    <w:p w14:paraId="057653DD" w14:textId="3F4E3CE0" w:rsidR="002D3263" w:rsidRPr="00AD02DF" w:rsidRDefault="002D3263" w:rsidP="0002046B">
      <w:pPr>
        <w:jc w:val="both"/>
        <w:rPr>
          <w:sz w:val="20"/>
          <w:szCs w:val="20"/>
        </w:rPr>
      </w:pPr>
      <w:r w:rsidRPr="00AD02DF">
        <w:rPr>
          <w:sz w:val="20"/>
          <w:szCs w:val="20"/>
        </w:rPr>
        <w:t>Upon the completion of construction works the Company submits to UNHCR the Technical Report</w:t>
      </w:r>
      <w:r w:rsidR="004279F0">
        <w:rPr>
          <w:sz w:val="20"/>
          <w:szCs w:val="20"/>
        </w:rPr>
        <w:t xml:space="preserve"> and</w:t>
      </w:r>
      <w:r w:rsidRPr="00AD02DF">
        <w:rPr>
          <w:sz w:val="20"/>
          <w:szCs w:val="20"/>
        </w:rPr>
        <w:t xml:space="preserve"> issues the Act of Acceptance.</w:t>
      </w:r>
    </w:p>
    <w:p w14:paraId="6FEBF29D" w14:textId="77777777" w:rsidR="002D3263" w:rsidRPr="00811A85" w:rsidRDefault="002D3263" w:rsidP="0002046B">
      <w:pPr>
        <w:jc w:val="both"/>
      </w:pPr>
    </w:p>
    <w:sectPr w:rsidR="002D3263" w:rsidRPr="00811A85" w:rsidSect="0002046B">
      <w:headerReference w:type="default" r:id="rId11"/>
      <w:footerReference w:type="default" r:id="rId12"/>
      <w:pgSz w:w="11906" w:h="16838"/>
      <w:pgMar w:top="2016" w:right="1196"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7AE7" w14:textId="77777777" w:rsidR="001E5755" w:rsidRDefault="001E5755" w:rsidP="00164155">
      <w:pPr>
        <w:spacing w:after="0" w:line="240" w:lineRule="auto"/>
      </w:pPr>
      <w:r>
        <w:separator/>
      </w:r>
    </w:p>
  </w:endnote>
  <w:endnote w:type="continuationSeparator" w:id="0">
    <w:p w14:paraId="3DA7B12B" w14:textId="77777777" w:rsidR="001E5755" w:rsidRDefault="001E5755" w:rsidP="0016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441586"/>
      <w:docPartObj>
        <w:docPartGallery w:val="Page Numbers (Bottom of Page)"/>
        <w:docPartUnique/>
      </w:docPartObj>
    </w:sdtPr>
    <w:sdtEndPr>
      <w:rPr>
        <w:noProof/>
      </w:rPr>
    </w:sdtEndPr>
    <w:sdtContent>
      <w:p w14:paraId="66B9EF1D" w14:textId="3D83768C" w:rsidR="00164155" w:rsidRDefault="001641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35F6" w14:textId="77777777" w:rsidR="001E5755" w:rsidRDefault="001E5755" w:rsidP="00164155">
      <w:pPr>
        <w:spacing w:after="0" w:line="240" w:lineRule="auto"/>
      </w:pPr>
      <w:r>
        <w:separator/>
      </w:r>
    </w:p>
  </w:footnote>
  <w:footnote w:type="continuationSeparator" w:id="0">
    <w:p w14:paraId="3D085943" w14:textId="77777777" w:rsidR="001E5755" w:rsidRDefault="001E5755" w:rsidP="0016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8699" w14:textId="57FE03D4" w:rsidR="00AD02DF" w:rsidRDefault="00AD02DF">
    <w:pPr>
      <w:pStyle w:val="Header"/>
    </w:pPr>
    <w:r>
      <w:rPr>
        <w:noProof/>
      </w:rPr>
      <w:drawing>
        <wp:inline distT="0" distB="0" distL="0" distR="0" wp14:anchorId="49ACA902" wp14:editId="23503B41">
          <wp:extent cx="3279775" cy="494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977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A85"/>
    <w:multiLevelType w:val="multilevel"/>
    <w:tmpl w:val="5FDE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D0460"/>
    <w:multiLevelType w:val="hybridMultilevel"/>
    <w:tmpl w:val="41F8522A"/>
    <w:lvl w:ilvl="0" w:tplc="AB4AA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A2F70"/>
    <w:multiLevelType w:val="multilevel"/>
    <w:tmpl w:val="4E60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A7D3B"/>
    <w:multiLevelType w:val="hybridMultilevel"/>
    <w:tmpl w:val="A9C45C00"/>
    <w:lvl w:ilvl="0" w:tplc="4DAA0A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37A65"/>
    <w:multiLevelType w:val="hybridMultilevel"/>
    <w:tmpl w:val="C638080A"/>
    <w:lvl w:ilvl="0" w:tplc="1AA0B7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E329C"/>
    <w:multiLevelType w:val="multilevel"/>
    <w:tmpl w:val="917E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5A"/>
    <w:rsid w:val="0000292B"/>
    <w:rsid w:val="0002046B"/>
    <w:rsid w:val="00070F8F"/>
    <w:rsid w:val="000C39D4"/>
    <w:rsid w:val="000E47EC"/>
    <w:rsid w:val="0010554B"/>
    <w:rsid w:val="00122A7A"/>
    <w:rsid w:val="00132D4B"/>
    <w:rsid w:val="001420F3"/>
    <w:rsid w:val="00163A69"/>
    <w:rsid w:val="00164155"/>
    <w:rsid w:val="00175675"/>
    <w:rsid w:val="001B2E77"/>
    <w:rsid w:val="001D78DF"/>
    <w:rsid w:val="001E5755"/>
    <w:rsid w:val="002117DA"/>
    <w:rsid w:val="00264B41"/>
    <w:rsid w:val="002A5832"/>
    <w:rsid w:val="002A7074"/>
    <w:rsid w:val="002B1C22"/>
    <w:rsid w:val="002B2D44"/>
    <w:rsid w:val="002D3263"/>
    <w:rsid w:val="002F386E"/>
    <w:rsid w:val="0030497A"/>
    <w:rsid w:val="00354BA2"/>
    <w:rsid w:val="00375C06"/>
    <w:rsid w:val="00394716"/>
    <w:rsid w:val="003F3CD2"/>
    <w:rsid w:val="003F4A0E"/>
    <w:rsid w:val="003F4DC4"/>
    <w:rsid w:val="004115BF"/>
    <w:rsid w:val="00424B6E"/>
    <w:rsid w:val="004279F0"/>
    <w:rsid w:val="00470CC2"/>
    <w:rsid w:val="00482F5A"/>
    <w:rsid w:val="0049077C"/>
    <w:rsid w:val="00490FFE"/>
    <w:rsid w:val="004C12AE"/>
    <w:rsid w:val="004C2C64"/>
    <w:rsid w:val="004C2F88"/>
    <w:rsid w:val="004E126E"/>
    <w:rsid w:val="004E6B6E"/>
    <w:rsid w:val="00502384"/>
    <w:rsid w:val="00513524"/>
    <w:rsid w:val="0056198C"/>
    <w:rsid w:val="005800DD"/>
    <w:rsid w:val="00593E5D"/>
    <w:rsid w:val="00597B83"/>
    <w:rsid w:val="005A35B3"/>
    <w:rsid w:val="005E6692"/>
    <w:rsid w:val="0062001B"/>
    <w:rsid w:val="00642A7B"/>
    <w:rsid w:val="006448ED"/>
    <w:rsid w:val="00677311"/>
    <w:rsid w:val="006D2382"/>
    <w:rsid w:val="007924FB"/>
    <w:rsid w:val="007A56CD"/>
    <w:rsid w:val="007D3BF2"/>
    <w:rsid w:val="008010A3"/>
    <w:rsid w:val="00804B30"/>
    <w:rsid w:val="00811A85"/>
    <w:rsid w:val="00857F38"/>
    <w:rsid w:val="00860ADA"/>
    <w:rsid w:val="008A0198"/>
    <w:rsid w:val="008E0D92"/>
    <w:rsid w:val="008E7EB9"/>
    <w:rsid w:val="009141BD"/>
    <w:rsid w:val="009172E0"/>
    <w:rsid w:val="00926EDA"/>
    <w:rsid w:val="009341C0"/>
    <w:rsid w:val="0097647B"/>
    <w:rsid w:val="009A1F9C"/>
    <w:rsid w:val="009A712F"/>
    <w:rsid w:val="009C1D94"/>
    <w:rsid w:val="009C5654"/>
    <w:rsid w:val="00A51D8D"/>
    <w:rsid w:val="00A6078C"/>
    <w:rsid w:val="00A65BF0"/>
    <w:rsid w:val="00AB16CE"/>
    <w:rsid w:val="00AD02DF"/>
    <w:rsid w:val="00AD6120"/>
    <w:rsid w:val="00B25424"/>
    <w:rsid w:val="00B2595D"/>
    <w:rsid w:val="00B635EF"/>
    <w:rsid w:val="00B72743"/>
    <w:rsid w:val="00B84B51"/>
    <w:rsid w:val="00B9417A"/>
    <w:rsid w:val="00C13480"/>
    <w:rsid w:val="00C20A97"/>
    <w:rsid w:val="00C42495"/>
    <w:rsid w:val="00C75772"/>
    <w:rsid w:val="00CA2FBA"/>
    <w:rsid w:val="00CB4DB5"/>
    <w:rsid w:val="00CE19C4"/>
    <w:rsid w:val="00CE59D7"/>
    <w:rsid w:val="00D27978"/>
    <w:rsid w:val="00D47726"/>
    <w:rsid w:val="00D50452"/>
    <w:rsid w:val="00DC09BD"/>
    <w:rsid w:val="00DD7215"/>
    <w:rsid w:val="00DE4E0A"/>
    <w:rsid w:val="00E274F4"/>
    <w:rsid w:val="00F0372E"/>
    <w:rsid w:val="00FA65D2"/>
    <w:rsid w:val="00FC4FCD"/>
    <w:rsid w:val="00FE7F3F"/>
    <w:rsid w:val="00FF3B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CE209"/>
  <w15:chartTrackingRefBased/>
  <w15:docId w15:val="{31D2BA6D-CC91-403E-AF1E-C14C10BC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2F5A"/>
    <w:rPr>
      <w:b/>
      <w:bCs/>
    </w:rPr>
  </w:style>
  <w:style w:type="character" w:customStyle="1" w:styleId="ms-rtefontsize-2">
    <w:name w:val="ms-rtefontsize-2"/>
    <w:basedOn w:val="DefaultParagraphFont"/>
    <w:rsid w:val="00482F5A"/>
  </w:style>
  <w:style w:type="character" w:styleId="Hyperlink">
    <w:name w:val="Hyperlink"/>
    <w:basedOn w:val="DefaultParagraphFont"/>
    <w:uiPriority w:val="99"/>
    <w:unhideWhenUsed/>
    <w:rsid w:val="00B84B51"/>
    <w:rPr>
      <w:color w:val="0563C1" w:themeColor="hyperlink"/>
      <w:u w:val="single"/>
    </w:rPr>
  </w:style>
  <w:style w:type="character" w:styleId="UnresolvedMention">
    <w:name w:val="Unresolved Mention"/>
    <w:basedOn w:val="DefaultParagraphFont"/>
    <w:uiPriority w:val="99"/>
    <w:semiHidden/>
    <w:unhideWhenUsed/>
    <w:rsid w:val="00B84B51"/>
    <w:rPr>
      <w:color w:val="605E5C"/>
      <w:shd w:val="clear" w:color="auto" w:fill="E1DFDD"/>
    </w:rPr>
  </w:style>
  <w:style w:type="paragraph" w:customStyle="1" w:styleId="Default">
    <w:name w:val="Default"/>
    <w:rsid w:val="0067731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5424"/>
    <w:pPr>
      <w:ind w:left="720"/>
      <w:contextualSpacing/>
    </w:pPr>
  </w:style>
  <w:style w:type="paragraph" w:styleId="Header">
    <w:name w:val="header"/>
    <w:basedOn w:val="Normal"/>
    <w:link w:val="HeaderChar"/>
    <w:uiPriority w:val="99"/>
    <w:unhideWhenUsed/>
    <w:rsid w:val="0016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155"/>
  </w:style>
  <w:style w:type="paragraph" w:styleId="Footer">
    <w:name w:val="footer"/>
    <w:basedOn w:val="Normal"/>
    <w:link w:val="FooterChar"/>
    <w:uiPriority w:val="99"/>
    <w:unhideWhenUsed/>
    <w:rsid w:val="0016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55"/>
  </w:style>
  <w:style w:type="character" w:styleId="CommentReference">
    <w:name w:val="annotation reference"/>
    <w:basedOn w:val="DefaultParagraphFont"/>
    <w:uiPriority w:val="99"/>
    <w:semiHidden/>
    <w:unhideWhenUsed/>
    <w:rsid w:val="009C1D94"/>
    <w:rPr>
      <w:sz w:val="16"/>
      <w:szCs w:val="16"/>
    </w:rPr>
  </w:style>
  <w:style w:type="paragraph" w:styleId="CommentText">
    <w:name w:val="annotation text"/>
    <w:basedOn w:val="Normal"/>
    <w:link w:val="CommentTextChar"/>
    <w:uiPriority w:val="99"/>
    <w:semiHidden/>
    <w:unhideWhenUsed/>
    <w:rsid w:val="009C1D94"/>
    <w:pPr>
      <w:spacing w:line="240" w:lineRule="auto"/>
    </w:pPr>
    <w:rPr>
      <w:sz w:val="20"/>
      <w:szCs w:val="20"/>
    </w:rPr>
  </w:style>
  <w:style w:type="character" w:customStyle="1" w:styleId="CommentTextChar">
    <w:name w:val="Comment Text Char"/>
    <w:basedOn w:val="DefaultParagraphFont"/>
    <w:link w:val="CommentText"/>
    <w:uiPriority w:val="99"/>
    <w:semiHidden/>
    <w:rsid w:val="009C1D94"/>
    <w:rPr>
      <w:sz w:val="20"/>
      <w:szCs w:val="20"/>
    </w:rPr>
  </w:style>
  <w:style w:type="paragraph" w:styleId="CommentSubject">
    <w:name w:val="annotation subject"/>
    <w:basedOn w:val="CommentText"/>
    <w:next w:val="CommentText"/>
    <w:link w:val="CommentSubjectChar"/>
    <w:uiPriority w:val="99"/>
    <w:semiHidden/>
    <w:unhideWhenUsed/>
    <w:rsid w:val="009C1D94"/>
    <w:rPr>
      <w:b/>
      <w:bCs/>
    </w:rPr>
  </w:style>
  <w:style w:type="character" w:customStyle="1" w:styleId="CommentSubjectChar">
    <w:name w:val="Comment Subject Char"/>
    <w:basedOn w:val="CommentTextChar"/>
    <w:link w:val="CommentSubject"/>
    <w:uiPriority w:val="99"/>
    <w:semiHidden/>
    <w:rsid w:val="009C1D94"/>
    <w:rPr>
      <w:b/>
      <w:bCs/>
      <w:sz w:val="20"/>
      <w:szCs w:val="20"/>
    </w:rPr>
  </w:style>
  <w:style w:type="paragraph" w:styleId="Revision">
    <w:name w:val="Revision"/>
    <w:hidden/>
    <w:uiPriority w:val="99"/>
    <w:semiHidden/>
    <w:rsid w:val="004279F0"/>
    <w:pPr>
      <w:spacing w:after="0" w:line="240" w:lineRule="auto"/>
    </w:pPr>
  </w:style>
  <w:style w:type="character" w:customStyle="1" w:styleId="normaltextrun">
    <w:name w:val="normaltextrun"/>
    <w:basedOn w:val="DefaultParagraphFont"/>
    <w:rsid w:val="002B2D44"/>
  </w:style>
  <w:style w:type="character" w:customStyle="1" w:styleId="eop">
    <w:name w:val="eop"/>
    <w:basedOn w:val="DefaultParagraphFont"/>
    <w:rsid w:val="002B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8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5" ma:contentTypeDescription="Create a new document." ma:contentTypeScope="" ma:versionID="65e58694328865029edc4edf1667d375">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81531dd22df6df44fd5a8b21bf08a4a1"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6ED37-2BB4-4787-9175-99F9F0B8181C}">
  <ds:schemaRefs>
    <ds:schemaRef ds:uri="http://schemas.microsoft.com/sharepoint/v3/contenttype/forms"/>
  </ds:schemaRefs>
</ds:datastoreItem>
</file>

<file path=customXml/itemProps2.xml><?xml version="1.0" encoding="utf-8"?>
<ds:datastoreItem xmlns:ds="http://schemas.openxmlformats.org/officeDocument/2006/customXml" ds:itemID="{160CD40E-B42D-4160-AF17-1DDFAD7ED2A7}">
  <ds:schemaRefs>
    <ds:schemaRef ds:uri="http://schemas.microsoft.com/office/2006/metadata/properties"/>
    <ds:schemaRef ds:uri="http://schemas.microsoft.com/office/infopath/2007/PartnerControls"/>
    <ds:schemaRef ds:uri="e512de2c-4ccb-426b-bef7-29634b6669b0"/>
    <ds:schemaRef ds:uri="ababbbab-e8a6-412a-b8be-1dae5a159e64"/>
  </ds:schemaRefs>
</ds:datastoreItem>
</file>

<file path=customXml/itemProps3.xml><?xml version="1.0" encoding="utf-8"?>
<ds:datastoreItem xmlns:ds="http://schemas.openxmlformats.org/officeDocument/2006/customXml" ds:itemID="{3B6DA755-276F-4D21-910A-6F1B26786766}"/>
</file>

<file path=customXml/itemProps4.xml><?xml version="1.0" encoding="utf-8"?>
<ds:datastoreItem xmlns:ds="http://schemas.openxmlformats.org/officeDocument/2006/customXml" ds:itemID="{31CD626C-C86D-4608-B188-5D272A0C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Ievdokymova</dc:creator>
  <cp:keywords/>
  <dc:description/>
  <cp:lastModifiedBy>Narayan Paudel</cp:lastModifiedBy>
  <cp:revision>4</cp:revision>
  <dcterms:created xsi:type="dcterms:W3CDTF">2022-07-26T10:53:00Z</dcterms:created>
  <dcterms:modified xsi:type="dcterms:W3CDTF">2022-07-26T10:54:00Z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ies>
</file>