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1D87" w14:textId="20A3121C" w:rsidR="00BC2404" w:rsidRPr="00BC2404" w:rsidRDefault="00BC2404" w:rsidP="00BC2404">
      <w:pPr>
        <w:pStyle w:val="P68B1DB1-Normal1"/>
        <w:spacing w:line="276" w:lineRule="auto"/>
        <w:ind w:right="-57"/>
        <w:jc w:val="right"/>
        <w:rPr>
          <w:b w:val="0"/>
          <w:bCs/>
          <w:caps/>
          <w:sz w:val="16"/>
          <w:szCs w:val="14"/>
          <w:lang w:val="ru-RU"/>
        </w:rPr>
      </w:pPr>
      <w:r w:rsidRPr="00BC2404">
        <w:rPr>
          <w:b w:val="0"/>
          <w:bCs/>
          <w:caps/>
          <w:sz w:val="16"/>
          <w:szCs w:val="14"/>
          <w:lang w:val="ru-RU"/>
        </w:rPr>
        <w:t>неофіційний переклад</w:t>
      </w:r>
    </w:p>
    <w:p w14:paraId="02D223FA" w14:textId="5A497AA6" w:rsidR="00BC2404" w:rsidRDefault="00BC2404" w:rsidP="00BC2404">
      <w:pPr>
        <w:pStyle w:val="P68B1DB1-Normal1"/>
        <w:spacing w:line="276" w:lineRule="auto"/>
        <w:ind w:right="-57"/>
        <w:jc w:val="center"/>
        <w:rPr>
          <w:lang w:val="ru-RU"/>
        </w:rPr>
      </w:pPr>
      <w:r>
        <w:rPr>
          <w:caps/>
          <w:lang w:val="ru-RU"/>
        </w:rPr>
        <w:t>ЗАПИТ НА</w:t>
      </w:r>
      <w:r w:rsidRPr="00573952">
        <w:rPr>
          <w:caps/>
          <w:lang w:val="ru-RU"/>
        </w:rPr>
        <w:t xml:space="preserve"> прийняття пропозицій</w:t>
      </w:r>
      <w:r w:rsidRPr="00573952">
        <w:rPr>
          <w:lang w:val="ru-RU"/>
        </w:rPr>
        <w:t xml:space="preserve"> </w:t>
      </w:r>
      <w:r>
        <w:t>UKRKI</w:t>
      </w:r>
      <w:r w:rsidRPr="00573952">
        <w:rPr>
          <w:lang w:val="ru-RU"/>
        </w:rPr>
        <w:t>/</w:t>
      </w:r>
      <w:r>
        <w:t>RFP</w:t>
      </w:r>
      <w:r w:rsidRPr="00573952">
        <w:rPr>
          <w:lang w:val="ru-RU"/>
        </w:rPr>
        <w:t>/</w:t>
      </w:r>
      <w:proofErr w:type="gramStart"/>
      <w:r w:rsidRPr="00573952">
        <w:rPr>
          <w:lang w:val="ru-RU"/>
        </w:rPr>
        <w:t>2022-03</w:t>
      </w:r>
      <w:proofErr w:type="gramEnd"/>
    </w:p>
    <w:p w14:paraId="07F4157C" w14:textId="77777777" w:rsidR="00BC2404" w:rsidRPr="00573952" w:rsidRDefault="00BC2404" w:rsidP="00BC2404">
      <w:pPr>
        <w:pStyle w:val="P68B1DB1-Normal1"/>
        <w:spacing w:line="276" w:lineRule="auto"/>
        <w:ind w:right="-57"/>
        <w:jc w:val="center"/>
        <w:rPr>
          <w:lang w:val="ru-RU"/>
        </w:rPr>
      </w:pPr>
    </w:p>
    <w:p w14:paraId="79CE8748" w14:textId="77777777" w:rsidR="00BC2404" w:rsidRPr="00573952" w:rsidRDefault="00BC2404" w:rsidP="00BC2404">
      <w:pPr>
        <w:pStyle w:val="P68B1DB1-Normal1"/>
        <w:spacing w:line="276" w:lineRule="auto"/>
        <w:ind w:right="-57"/>
        <w:jc w:val="center"/>
        <w:rPr>
          <w:lang w:val="ru-RU"/>
        </w:rPr>
      </w:pPr>
      <w:r w:rsidRPr="00573952">
        <w:rPr>
          <w:lang w:val="ru-RU"/>
        </w:rPr>
        <w:t xml:space="preserve">НА ВИКОНАННЯ РЕМОНТНИХ РОБІТ </w:t>
      </w:r>
      <w:r>
        <w:rPr>
          <w:lang w:val="ru-RU"/>
        </w:rPr>
        <w:t>В</w:t>
      </w:r>
      <w:r w:rsidRPr="00573952">
        <w:rPr>
          <w:lang w:val="ru-RU"/>
        </w:rPr>
        <w:t xml:space="preserve"> ТРЬОХ (3) </w:t>
      </w:r>
      <w:r>
        <w:rPr>
          <w:lang w:val="ru-RU"/>
        </w:rPr>
        <w:t>МІСЦЯХ КОМПАКТНОГО ПРОЖИВАННЯ (МКП)</w:t>
      </w:r>
      <w:r w:rsidRPr="00573952">
        <w:rPr>
          <w:lang w:val="ru-RU"/>
        </w:rPr>
        <w:t xml:space="preserve"> У ЛЬВІВСЬКІЙ ОБЛАСТІ</w:t>
      </w:r>
    </w:p>
    <w:p w14:paraId="1F8939A0" w14:textId="77777777" w:rsidR="00BC2404" w:rsidRDefault="00BC2404" w:rsidP="00C13480">
      <w:pPr>
        <w:ind w:right="-874"/>
        <w:jc w:val="center"/>
        <w:rPr>
          <w:sz w:val="24"/>
          <w:szCs w:val="24"/>
          <w:u w:val="single"/>
          <w:lang w:val="ru-RU"/>
        </w:rPr>
      </w:pPr>
    </w:p>
    <w:p w14:paraId="11B814E6" w14:textId="5391E84A" w:rsidR="0056198C" w:rsidRPr="00796E2C" w:rsidRDefault="0056198C" w:rsidP="00C13480">
      <w:pPr>
        <w:ind w:right="-874"/>
        <w:jc w:val="center"/>
        <w:rPr>
          <w:sz w:val="24"/>
          <w:szCs w:val="24"/>
          <w:u w:val="single"/>
        </w:rPr>
      </w:pPr>
      <w:r w:rsidRPr="00796E2C">
        <w:rPr>
          <w:sz w:val="24"/>
          <w:szCs w:val="24"/>
          <w:u w:val="single"/>
        </w:rPr>
        <w:t>ДОДАТОК А – ТЕХНІЧНЕ ЗАВДАННЯ (ТЗ)</w:t>
      </w:r>
    </w:p>
    <w:p w14:paraId="167F2DD5" w14:textId="77777777" w:rsidR="004279F0" w:rsidRDefault="004279F0" w:rsidP="000E47EC">
      <w:pPr>
        <w:ind w:right="-874"/>
        <w:jc w:val="both"/>
        <w:rPr>
          <w:b/>
          <w:bCs/>
        </w:rPr>
      </w:pPr>
    </w:p>
    <w:p w14:paraId="038FB1AE" w14:textId="2D859455" w:rsidR="0097647B" w:rsidRPr="0024495A" w:rsidRDefault="00BC2404" w:rsidP="00796E2C">
      <w:pPr>
        <w:ind w:right="-46"/>
        <w:jc w:val="both"/>
        <w:rPr>
          <w:b/>
          <w:bCs/>
        </w:rPr>
      </w:pPr>
      <w:r>
        <w:rPr>
          <w:b/>
          <w:bCs/>
          <w:lang w:val="uk-UA"/>
        </w:rPr>
        <w:t>Інформація</w:t>
      </w:r>
      <w:r w:rsidR="0049077C">
        <w:rPr>
          <w:b/>
          <w:bCs/>
        </w:rPr>
        <w:t>:</w:t>
      </w:r>
    </w:p>
    <w:p w14:paraId="2CCF19B4" w14:textId="2ED98CC4" w:rsidR="0097647B" w:rsidRPr="00BC2404" w:rsidRDefault="0097647B" w:rsidP="00796E2C">
      <w:pPr>
        <w:ind w:right="-46"/>
        <w:jc w:val="both"/>
        <w:rPr>
          <w:sz w:val="20"/>
          <w:szCs w:val="20"/>
          <w:lang w:val="ru-RU"/>
        </w:rPr>
      </w:pPr>
      <w:r w:rsidRPr="00AD02DF">
        <w:rPr>
          <w:sz w:val="20"/>
          <w:szCs w:val="20"/>
        </w:rPr>
        <w:t>Великий приплив ВПО до західної частини України вимагає негайного гуманітарного реагування, включно з наданням притулку, в той час як наявні можливості регіону обмежені. Паралельно з різними підходами до надання тимчасового/постійного притулку існує інший підхід: використовувати для цього приміщення/споруди, які на даний момент не використовуються.</w:t>
      </w:r>
    </w:p>
    <w:p w14:paraId="5BA5D2AA" w14:textId="5ACE13C7" w:rsidR="0097647B" w:rsidRPr="00AD02DF" w:rsidRDefault="0097647B" w:rsidP="00796E2C">
      <w:pPr>
        <w:ind w:right="-46"/>
        <w:jc w:val="both"/>
        <w:rPr>
          <w:sz w:val="20"/>
          <w:szCs w:val="20"/>
        </w:rPr>
      </w:pPr>
      <w:r w:rsidRPr="00AD02DF">
        <w:rPr>
          <w:sz w:val="20"/>
          <w:szCs w:val="20"/>
        </w:rPr>
        <w:t xml:space="preserve">На даний момент УВКБ ООН визначило та завершило технічну оцінку будівель/приміщень, які наразі не використовуються у </w:t>
      </w:r>
      <w:r w:rsidR="00175675" w:rsidRPr="00AD02DF">
        <w:rPr>
          <w:sz w:val="20"/>
          <w:szCs w:val="20"/>
        </w:rPr>
        <w:t xml:space="preserve">Львівській </w:t>
      </w:r>
      <w:r w:rsidRPr="00AD02DF">
        <w:rPr>
          <w:sz w:val="20"/>
          <w:szCs w:val="20"/>
        </w:rPr>
        <w:t>області, і прагне визначити Підрядника для виконання будівельних робіт відповідно до технічної документації, наданої УВКБ ООН.</w:t>
      </w:r>
    </w:p>
    <w:p w14:paraId="354C2630" w14:textId="77777777" w:rsidR="009172E0" w:rsidRPr="00811A85" w:rsidRDefault="009172E0" w:rsidP="00796E2C">
      <w:pPr>
        <w:ind w:right="-46"/>
        <w:jc w:val="both"/>
        <w:rPr>
          <w:b/>
          <w:bCs/>
        </w:rPr>
      </w:pPr>
      <w:r w:rsidRPr="00811A85">
        <w:rPr>
          <w:b/>
          <w:bCs/>
        </w:rPr>
        <w:t>Завдання:</w:t>
      </w:r>
    </w:p>
    <w:p w14:paraId="0EBB055B" w14:textId="12AA2B8E" w:rsidR="00394716" w:rsidRPr="00AD02DF" w:rsidRDefault="005E6692" w:rsidP="00796E2C">
      <w:pPr>
        <w:ind w:right="-46"/>
        <w:jc w:val="both"/>
        <w:rPr>
          <w:sz w:val="20"/>
          <w:szCs w:val="20"/>
        </w:rPr>
      </w:pPr>
      <w:r w:rsidRPr="00AD02DF">
        <w:rPr>
          <w:sz w:val="20"/>
          <w:szCs w:val="20"/>
        </w:rPr>
        <w:t xml:space="preserve">Виконувати будівельні роботи за параметрами, зазначеними в документах Додатку (Додаток B – </w:t>
      </w:r>
      <w:r w:rsidR="00BC2404">
        <w:rPr>
          <w:sz w:val="20"/>
          <w:szCs w:val="20"/>
          <w:lang w:val="uk-UA"/>
        </w:rPr>
        <w:t>кошторис</w:t>
      </w:r>
      <w:r w:rsidRPr="00AD02DF">
        <w:rPr>
          <w:sz w:val="20"/>
          <w:szCs w:val="20"/>
        </w:rPr>
        <w:t xml:space="preserve"> зі специфікаціями). Після завершення будівельних робіт Компанія надає УВКБ ООН Технічний звіт та видає Акт прийому-передачі.</w:t>
      </w:r>
    </w:p>
    <w:p w14:paraId="282DDA89" w14:textId="77777777" w:rsidR="008010A3" w:rsidRPr="00811A85" w:rsidRDefault="008010A3" w:rsidP="00796E2C">
      <w:pPr>
        <w:ind w:right="-46"/>
        <w:jc w:val="both"/>
        <w:rPr>
          <w:b/>
          <w:bCs/>
        </w:rPr>
      </w:pPr>
      <w:r w:rsidRPr="00811A85">
        <w:rPr>
          <w:b/>
          <w:bCs/>
        </w:rPr>
        <w:t>Період часу:</w:t>
      </w:r>
    </w:p>
    <w:p w14:paraId="58DA6C95" w14:textId="06EA497B" w:rsidR="00424B6E" w:rsidRPr="00AD02DF" w:rsidRDefault="008010A3" w:rsidP="00796E2C">
      <w:pPr>
        <w:ind w:right="-46"/>
        <w:jc w:val="both"/>
        <w:rPr>
          <w:sz w:val="20"/>
          <w:szCs w:val="20"/>
        </w:rPr>
      </w:pPr>
      <w:r w:rsidRPr="00AD02DF">
        <w:rPr>
          <w:sz w:val="20"/>
          <w:szCs w:val="20"/>
        </w:rPr>
        <w:t xml:space="preserve">Термін виконання будівельних робіт для кожної зазначеної ділянки/будівлі в доданих </w:t>
      </w:r>
      <w:r w:rsidR="00BC2404">
        <w:rPr>
          <w:sz w:val="20"/>
          <w:szCs w:val="20"/>
          <w:lang w:val="uk-UA"/>
        </w:rPr>
        <w:t>кошторисах</w:t>
      </w:r>
      <w:r w:rsidRPr="00AD02DF">
        <w:rPr>
          <w:sz w:val="20"/>
          <w:szCs w:val="20"/>
        </w:rPr>
        <w:t xml:space="preserve"> становить 120 днів.</w:t>
      </w:r>
    </w:p>
    <w:p w14:paraId="475DE689" w14:textId="77777777" w:rsidR="00424B6E" w:rsidRPr="00811A85" w:rsidRDefault="00424B6E" w:rsidP="00796E2C">
      <w:pPr>
        <w:ind w:right="-46"/>
        <w:jc w:val="both"/>
        <w:rPr>
          <w:b/>
          <w:bCs/>
        </w:rPr>
      </w:pPr>
      <w:r w:rsidRPr="00811A85">
        <w:rPr>
          <w:b/>
          <w:bCs/>
        </w:rPr>
        <w:t>Одиниця виміру:</w:t>
      </w:r>
    </w:p>
    <w:p w14:paraId="253E4A5D" w14:textId="029F7329" w:rsidR="00424B6E" w:rsidRPr="00AD02DF" w:rsidRDefault="009341C0" w:rsidP="00796E2C">
      <w:pPr>
        <w:ind w:right="-46"/>
        <w:jc w:val="both"/>
        <w:rPr>
          <w:sz w:val="20"/>
          <w:szCs w:val="20"/>
        </w:rPr>
      </w:pPr>
      <w:r w:rsidRPr="00AD02DF">
        <w:rPr>
          <w:sz w:val="20"/>
          <w:szCs w:val="20"/>
        </w:rPr>
        <w:t xml:space="preserve">Фінансову пропозицію слід надавати за принципом «все включено», оскільки весь бюджет має включати всі будівельні послуги та закупівлю будівельних матеріалів згідно з </w:t>
      </w:r>
      <w:r w:rsidR="00BC2404">
        <w:rPr>
          <w:sz w:val="20"/>
          <w:szCs w:val="20"/>
          <w:lang w:val="uk-UA"/>
        </w:rPr>
        <w:t>кошторисом</w:t>
      </w:r>
      <w:r w:rsidR="00424B6E" w:rsidRPr="00AD02DF">
        <w:rPr>
          <w:sz w:val="20"/>
          <w:szCs w:val="20"/>
        </w:rPr>
        <w:t xml:space="preserve"> , наданим УВКБ ООН, включаючи допоміжні витрати (адміністрація, транспортування, доставка матеріалів, розміщення робочих бригад, страхування, амортизація машин і обладнання тощо). Будь ласка, зверніть увагу, що УВКБ ООН має статус звільнення від податків і зборів, тому, будь ласка, надайте свою пропозицію без ПДВ.</w:t>
      </w:r>
    </w:p>
    <w:p w14:paraId="3F0F90FD" w14:textId="77777777" w:rsidR="00394716" w:rsidRPr="00811A85" w:rsidRDefault="00394716" w:rsidP="00796E2C">
      <w:pPr>
        <w:ind w:right="-46"/>
        <w:jc w:val="both"/>
        <w:rPr>
          <w:b/>
          <w:bCs/>
        </w:rPr>
      </w:pPr>
      <w:r w:rsidRPr="00811A85">
        <w:rPr>
          <w:b/>
          <w:bCs/>
        </w:rPr>
        <w:t>Роль УВКБ ООН:</w:t>
      </w:r>
    </w:p>
    <w:p w14:paraId="649E1893" w14:textId="5BA341FB" w:rsidR="00CE59D7" w:rsidRPr="00AD02DF" w:rsidRDefault="00394716" w:rsidP="00796E2C">
      <w:pPr>
        <w:ind w:right="-46"/>
        <w:jc w:val="both"/>
        <w:rPr>
          <w:sz w:val="20"/>
          <w:szCs w:val="20"/>
        </w:rPr>
      </w:pPr>
      <w:r w:rsidRPr="00AD02DF">
        <w:rPr>
          <w:sz w:val="20"/>
          <w:szCs w:val="20"/>
        </w:rPr>
        <w:t xml:space="preserve">УВКБ ООН здійснюватиме моніторинг, сертифікацію, затвердження, контроль та перевірку виконання всіх завдань згідно з цим ТЗ та належне надання всіх очікуваних послуг. Це включає загальний контроль і погодження робіт на всіх етапах в рамках цього Проекту. Якість будівельних робіт, обсяг робіт, розмір і ціна всіх робіт і всі очікувані результати в рамках цього Проекту також перевіряються консалтинговою компанією, залученою УВКБ ООН, яка здійснює </w:t>
      </w:r>
      <w:r w:rsidR="002D3263" w:rsidRPr="00BC2404">
        <w:rPr>
          <w:sz w:val="20"/>
          <w:szCs w:val="20"/>
          <w:lang w:val="ru-RU"/>
        </w:rPr>
        <w:t xml:space="preserve">аудит, </w:t>
      </w:r>
      <w:proofErr w:type="spellStart"/>
      <w:r w:rsidR="002D3263" w:rsidRPr="00BC2404">
        <w:rPr>
          <w:sz w:val="20"/>
          <w:szCs w:val="20"/>
          <w:lang w:val="ru-RU"/>
        </w:rPr>
        <w:t>інженерні</w:t>
      </w:r>
      <w:proofErr w:type="spellEnd"/>
      <w:r w:rsidR="002D3263" w:rsidRPr="00BC2404">
        <w:rPr>
          <w:sz w:val="20"/>
          <w:szCs w:val="20"/>
          <w:lang w:val="ru-RU"/>
        </w:rPr>
        <w:t xml:space="preserve"> </w:t>
      </w:r>
      <w:r w:rsidR="00163A69" w:rsidRPr="00AD02DF">
        <w:rPr>
          <w:sz w:val="20"/>
          <w:szCs w:val="20"/>
        </w:rPr>
        <w:t xml:space="preserve">та технічні послуги згідно з </w:t>
      </w:r>
      <w:proofErr w:type="spellStart"/>
      <w:r w:rsidR="00163A69" w:rsidRPr="00AD02DF">
        <w:rPr>
          <w:sz w:val="20"/>
          <w:szCs w:val="20"/>
        </w:rPr>
        <w:t>з</w:t>
      </w:r>
      <w:proofErr w:type="spellEnd"/>
      <w:r w:rsidR="00163A69" w:rsidRPr="00AD02DF">
        <w:rPr>
          <w:sz w:val="20"/>
          <w:szCs w:val="20"/>
        </w:rPr>
        <w:t xml:space="preserve"> договорами на консультаційні послуги.</w:t>
      </w:r>
    </w:p>
    <w:p w14:paraId="49C7597C" w14:textId="77777777" w:rsidR="002D3263" w:rsidRPr="001C412C" w:rsidRDefault="002D3263" w:rsidP="002D3263">
      <w:pPr>
        <w:rPr>
          <w:b/>
          <w:bCs/>
        </w:rPr>
      </w:pPr>
      <w:r w:rsidRPr="001C412C">
        <w:rPr>
          <w:b/>
          <w:bCs/>
        </w:rPr>
        <w:t>Технічні вимоги</w:t>
      </w:r>
    </w:p>
    <w:p w14:paraId="7FC0CBF9" w14:textId="349168E0" w:rsidR="002D3263" w:rsidRPr="002B2D44" w:rsidRDefault="002B2D44" w:rsidP="00AD02DF">
      <w:pPr>
        <w:jc w:val="both"/>
        <w:rPr>
          <w:sz w:val="20"/>
          <w:szCs w:val="20"/>
        </w:rPr>
      </w:pPr>
      <w:r w:rsidRPr="002B2D44">
        <w:rPr>
          <w:rStyle w:val="normaltextrun"/>
          <w:rFonts w:ascii="Calibri" w:hAnsi="Calibri" w:cs="Calibri"/>
          <w:sz w:val="20"/>
          <w:szCs w:val="20"/>
          <w:shd w:val="clear" w:color="auto" w:fill="FFFFFF"/>
        </w:rPr>
        <w:t xml:space="preserve">Будівельні послуги надаватиме компанія, визначена через тендер. Технічну відповідність Компанії буде оцінювати TEC (комісія з технічної оцінки) на відповідність таким вимогам </w:t>
      </w:r>
      <w:r w:rsidRPr="002B2D44">
        <w:rPr>
          <w:rStyle w:val="eop"/>
          <w:rFonts w:ascii="Calibri" w:hAnsi="Calibri" w:cs="Calibri"/>
          <w:sz w:val="20"/>
          <w:szCs w:val="20"/>
          <w:shd w:val="clear" w:color="auto" w:fill="FFFFFF"/>
        </w:rPr>
        <w:t>:</w:t>
      </w:r>
      <w:r w:rsidR="002D3263" w:rsidRPr="002B2D44">
        <w:rPr>
          <w:sz w:val="20"/>
          <w:szCs w:val="20"/>
        </w:rPr>
        <w:t xml:space="preserve"> </w:t>
      </w:r>
    </w:p>
    <w:p w14:paraId="6A4AFCAC" w14:textId="1EAD7508" w:rsidR="002D3263" w:rsidRPr="00AD02DF" w:rsidRDefault="00C75772" w:rsidP="00AD02DF">
      <w:pPr>
        <w:pStyle w:val="ListParagraph"/>
        <w:numPr>
          <w:ilvl w:val="0"/>
          <w:numId w:val="6"/>
        </w:numPr>
        <w:spacing w:line="256" w:lineRule="auto"/>
        <w:ind w:right="-874"/>
        <w:jc w:val="both"/>
        <w:rPr>
          <w:rFonts w:cstheme="minorHAnsi"/>
          <w:i/>
          <w:iCs/>
          <w:sz w:val="20"/>
          <w:szCs w:val="20"/>
        </w:rPr>
      </w:pPr>
      <w:r>
        <w:rPr>
          <w:rFonts w:eastAsia="Times New Roman" w:cstheme="minorHAnsi"/>
          <w:i/>
          <w:iCs/>
          <w:sz w:val="20"/>
          <w:szCs w:val="20"/>
        </w:rPr>
        <w:lastRenderedPageBreak/>
        <w:t>Докази минулих контрактів - успішно виконаних - з аналогічними будівельними послугами та аналогічним розміром</w:t>
      </w:r>
    </w:p>
    <w:p w14:paraId="59CC3FA7" w14:textId="77777777" w:rsidR="002D3263" w:rsidRPr="00AD02DF" w:rsidRDefault="002D3263" w:rsidP="00AD02DF">
      <w:pPr>
        <w:pStyle w:val="ListParagraph"/>
        <w:numPr>
          <w:ilvl w:val="0"/>
          <w:numId w:val="6"/>
        </w:numPr>
        <w:jc w:val="both"/>
        <w:rPr>
          <w:rFonts w:cstheme="minorHAnsi"/>
          <w:i/>
          <w:iCs/>
          <w:sz w:val="20"/>
          <w:szCs w:val="20"/>
        </w:rPr>
      </w:pPr>
      <w:r w:rsidRPr="00AD02DF">
        <w:rPr>
          <w:rFonts w:cstheme="minorHAnsi"/>
          <w:i/>
          <w:iCs/>
          <w:sz w:val="20"/>
          <w:szCs w:val="20"/>
        </w:rPr>
        <w:t>Наявність всіх ліцензій та дозволів, необхідних для проведення будівельних робіт</w:t>
      </w:r>
    </w:p>
    <w:p w14:paraId="67C058D5" w14:textId="4E3338B3" w:rsidR="002D3263" w:rsidRPr="00AD02DF" w:rsidRDefault="002D3263" w:rsidP="00796E2C">
      <w:pPr>
        <w:pStyle w:val="ListParagraph"/>
        <w:numPr>
          <w:ilvl w:val="0"/>
          <w:numId w:val="6"/>
        </w:numPr>
        <w:jc w:val="both"/>
        <w:rPr>
          <w:rFonts w:cstheme="minorHAnsi"/>
          <w:i/>
          <w:iCs/>
          <w:sz w:val="20"/>
          <w:szCs w:val="20"/>
        </w:rPr>
      </w:pPr>
      <w:r w:rsidRPr="00AD02DF">
        <w:rPr>
          <w:rFonts w:cstheme="minorHAnsi"/>
          <w:i/>
          <w:iCs/>
          <w:sz w:val="20"/>
          <w:szCs w:val="20"/>
        </w:rPr>
        <w:t xml:space="preserve">Здатність проводити кваліфіковані будівельні роботи у </w:t>
      </w:r>
      <w:r w:rsidR="00AD02DF" w:rsidRPr="00AD02DF">
        <w:rPr>
          <w:rFonts w:cstheme="minorHAnsi"/>
          <w:i/>
          <w:iCs/>
          <w:sz w:val="20"/>
          <w:szCs w:val="20"/>
        </w:rPr>
        <w:t xml:space="preserve">вказаному місці та в </w:t>
      </w:r>
      <w:proofErr w:type="spellStart"/>
      <w:r w:rsidR="00AD02DF" w:rsidRPr="00AD02DF">
        <w:rPr>
          <w:rFonts w:cstheme="minorHAnsi"/>
          <w:i/>
          <w:iCs/>
          <w:sz w:val="20"/>
          <w:szCs w:val="20"/>
        </w:rPr>
        <w:t>потужностях</w:t>
      </w:r>
      <w:proofErr w:type="spellEnd"/>
      <w:r w:rsidR="00AD02DF" w:rsidRPr="00AD02DF">
        <w:rPr>
          <w:rFonts w:cstheme="minorHAnsi"/>
          <w:i/>
          <w:iCs/>
          <w:sz w:val="20"/>
          <w:szCs w:val="20"/>
        </w:rPr>
        <w:t xml:space="preserve">, зазначених у </w:t>
      </w:r>
      <w:r w:rsidR="00BC2404">
        <w:rPr>
          <w:rFonts w:cstheme="minorHAnsi"/>
          <w:i/>
          <w:iCs/>
          <w:sz w:val="20"/>
          <w:szCs w:val="20"/>
          <w:lang w:val="uk-UA"/>
        </w:rPr>
        <w:t>кошторисах</w:t>
      </w:r>
      <w:r w:rsidRPr="00AD02DF">
        <w:rPr>
          <w:rFonts w:cstheme="minorHAnsi"/>
          <w:i/>
          <w:iCs/>
          <w:sz w:val="20"/>
          <w:szCs w:val="20"/>
        </w:rPr>
        <w:t xml:space="preserve"> , наданих УВКБ ООН</w:t>
      </w:r>
    </w:p>
    <w:p w14:paraId="782DE10C" w14:textId="20640C4D" w:rsidR="00375C06" w:rsidRPr="00375C06" w:rsidRDefault="002D3263" w:rsidP="00796E2C">
      <w:pPr>
        <w:pStyle w:val="ListParagraph"/>
        <w:numPr>
          <w:ilvl w:val="0"/>
          <w:numId w:val="6"/>
        </w:numPr>
        <w:jc w:val="both"/>
        <w:rPr>
          <w:rFonts w:cstheme="minorHAnsi"/>
          <w:i/>
          <w:iCs/>
          <w:sz w:val="20"/>
          <w:szCs w:val="20"/>
        </w:rPr>
      </w:pPr>
      <w:r w:rsidRPr="00AD02DF">
        <w:rPr>
          <w:rFonts w:cstheme="minorHAnsi"/>
          <w:i/>
          <w:iCs/>
          <w:sz w:val="20"/>
          <w:szCs w:val="20"/>
        </w:rPr>
        <w:t>Можливість завершити будівельні роботи за 120 днів, включаючи подання (1) графіка будівництва та (2) робочого плану</w:t>
      </w:r>
    </w:p>
    <w:p w14:paraId="0ACF7434" w14:textId="4B4C9873" w:rsidR="002D3263" w:rsidRPr="00BC2404" w:rsidRDefault="00AD02DF" w:rsidP="00796E2C">
      <w:pPr>
        <w:pStyle w:val="ListParagraph"/>
        <w:numPr>
          <w:ilvl w:val="0"/>
          <w:numId w:val="6"/>
        </w:numPr>
        <w:spacing w:line="256" w:lineRule="auto"/>
        <w:jc w:val="both"/>
        <w:rPr>
          <w:rFonts w:eastAsia="Times New Roman" w:cstheme="minorHAnsi"/>
          <w:i/>
          <w:iCs/>
          <w:sz w:val="20"/>
          <w:szCs w:val="20"/>
          <w:lang w:val="ru-RU"/>
        </w:rPr>
      </w:pPr>
      <w:r w:rsidRPr="00AD02DF">
        <w:rPr>
          <w:rFonts w:eastAsia="Times New Roman" w:cstheme="minorHAnsi"/>
          <w:i/>
          <w:iCs/>
          <w:sz w:val="20"/>
          <w:szCs w:val="20"/>
        </w:rPr>
        <w:t xml:space="preserve">Забезпечення присутності на об’єкті </w:t>
      </w:r>
      <w:r w:rsidR="002D3263" w:rsidRPr="00BC2404">
        <w:rPr>
          <w:rFonts w:eastAsia="Times New Roman" w:cstheme="minorHAnsi"/>
          <w:i/>
          <w:iCs/>
          <w:sz w:val="20"/>
          <w:szCs w:val="20"/>
          <w:lang w:val="ru-RU"/>
        </w:rPr>
        <w:t xml:space="preserve">на </w:t>
      </w:r>
      <w:proofErr w:type="spellStart"/>
      <w:r w:rsidR="002D3263" w:rsidRPr="00BC2404">
        <w:rPr>
          <w:rFonts w:eastAsia="Times New Roman" w:cstheme="minorHAnsi"/>
          <w:i/>
          <w:iCs/>
          <w:sz w:val="20"/>
          <w:szCs w:val="20"/>
          <w:lang w:val="ru-RU"/>
        </w:rPr>
        <w:t>етапі</w:t>
      </w:r>
      <w:proofErr w:type="spellEnd"/>
      <w:r w:rsidR="002D3263" w:rsidRPr="00BC2404">
        <w:rPr>
          <w:rFonts w:eastAsia="Times New Roman" w:cstheme="minorHAnsi"/>
          <w:i/>
          <w:iCs/>
          <w:sz w:val="20"/>
          <w:szCs w:val="20"/>
          <w:lang w:val="ru-RU"/>
        </w:rPr>
        <w:t xml:space="preserve"> </w:t>
      </w:r>
      <w:proofErr w:type="spellStart"/>
      <w:r w:rsidR="002D3263" w:rsidRPr="00BC2404">
        <w:rPr>
          <w:rFonts w:eastAsia="Times New Roman" w:cstheme="minorHAnsi"/>
          <w:i/>
          <w:iCs/>
          <w:sz w:val="20"/>
          <w:szCs w:val="20"/>
          <w:lang w:val="ru-RU"/>
        </w:rPr>
        <w:t>подачі</w:t>
      </w:r>
      <w:proofErr w:type="spellEnd"/>
      <w:r w:rsidR="002D3263" w:rsidRPr="00BC2404">
        <w:rPr>
          <w:rFonts w:eastAsia="Times New Roman" w:cstheme="minorHAnsi"/>
          <w:i/>
          <w:iCs/>
          <w:sz w:val="20"/>
          <w:szCs w:val="20"/>
          <w:lang w:val="ru-RU"/>
        </w:rPr>
        <w:t xml:space="preserve"> заявки на участь у </w:t>
      </w:r>
      <w:proofErr w:type="spellStart"/>
      <w:r w:rsidR="002D3263" w:rsidRPr="00BC2404">
        <w:rPr>
          <w:rFonts w:eastAsia="Times New Roman" w:cstheme="minorHAnsi"/>
          <w:i/>
          <w:iCs/>
          <w:sz w:val="20"/>
          <w:szCs w:val="20"/>
          <w:lang w:val="ru-RU"/>
        </w:rPr>
        <w:t>тендері</w:t>
      </w:r>
      <w:proofErr w:type="spellEnd"/>
      <w:r w:rsidR="002D3263" w:rsidRPr="00BC2404">
        <w:rPr>
          <w:rFonts w:eastAsia="Times New Roman" w:cstheme="minorHAnsi"/>
          <w:i/>
          <w:iCs/>
          <w:sz w:val="20"/>
          <w:szCs w:val="20"/>
          <w:lang w:val="ru-RU"/>
        </w:rPr>
        <w:t xml:space="preserve"> (</w:t>
      </w:r>
      <w:proofErr w:type="spellStart"/>
      <w:r w:rsidR="002D3263" w:rsidRPr="00BC2404">
        <w:rPr>
          <w:rFonts w:eastAsia="Times New Roman" w:cstheme="minorHAnsi"/>
          <w:i/>
          <w:iCs/>
          <w:sz w:val="20"/>
          <w:szCs w:val="20"/>
          <w:lang w:val="ru-RU"/>
        </w:rPr>
        <w:t>присутність</w:t>
      </w:r>
      <w:proofErr w:type="spellEnd"/>
      <w:r w:rsidR="002D3263" w:rsidRPr="00BC2404">
        <w:rPr>
          <w:rFonts w:eastAsia="Times New Roman" w:cstheme="minorHAnsi"/>
          <w:i/>
          <w:iCs/>
          <w:sz w:val="20"/>
          <w:szCs w:val="20"/>
          <w:lang w:val="ru-RU"/>
        </w:rPr>
        <w:t xml:space="preserve"> перед початком </w:t>
      </w:r>
      <w:proofErr w:type="spellStart"/>
      <w:r w:rsidR="002D3263" w:rsidRPr="00BC2404">
        <w:rPr>
          <w:rFonts w:eastAsia="Times New Roman" w:cstheme="minorHAnsi"/>
          <w:i/>
          <w:iCs/>
          <w:sz w:val="20"/>
          <w:szCs w:val="20"/>
          <w:lang w:val="ru-RU"/>
        </w:rPr>
        <w:t>торгів</w:t>
      </w:r>
      <w:proofErr w:type="spellEnd"/>
      <w:r w:rsidR="002D3263" w:rsidRPr="00BC2404">
        <w:rPr>
          <w:rFonts w:eastAsia="Times New Roman" w:cstheme="minorHAnsi"/>
          <w:i/>
          <w:iCs/>
          <w:sz w:val="20"/>
          <w:szCs w:val="20"/>
          <w:lang w:val="ru-RU"/>
        </w:rPr>
        <w:t xml:space="preserve"> </w:t>
      </w:r>
      <w:proofErr w:type="spellStart"/>
      <w:r w:rsidR="002D3263" w:rsidRPr="00BC2404">
        <w:rPr>
          <w:rFonts w:eastAsia="Times New Roman" w:cstheme="minorHAnsi"/>
          <w:i/>
          <w:iCs/>
          <w:sz w:val="20"/>
          <w:szCs w:val="20"/>
          <w:lang w:val="ru-RU"/>
        </w:rPr>
        <w:t>обов’язкова</w:t>
      </w:r>
      <w:proofErr w:type="spellEnd"/>
      <w:r w:rsidR="002D3263" w:rsidRPr="00BC2404">
        <w:rPr>
          <w:rFonts w:eastAsia="Times New Roman" w:cstheme="minorHAnsi"/>
          <w:i/>
          <w:iCs/>
          <w:sz w:val="20"/>
          <w:szCs w:val="20"/>
          <w:lang w:val="ru-RU"/>
        </w:rPr>
        <w:t>)</w:t>
      </w:r>
    </w:p>
    <w:p w14:paraId="53A9B360" w14:textId="39EEAFB6" w:rsidR="002D3263" w:rsidRPr="00557A31" w:rsidRDefault="002D3263" w:rsidP="00AD02DF">
      <w:pPr>
        <w:jc w:val="both"/>
        <w:rPr>
          <w:i/>
          <w:iCs/>
          <w:color w:val="FFFF00"/>
        </w:rPr>
      </w:pPr>
      <w:r w:rsidRPr="001C412C">
        <w:rPr>
          <w:b/>
          <w:bCs/>
        </w:rPr>
        <w:t>Оцінка:</w:t>
      </w:r>
    </w:p>
    <w:p w14:paraId="30534477" w14:textId="6267B80E" w:rsidR="002D3263" w:rsidRPr="00AD02DF" w:rsidRDefault="002D3263" w:rsidP="00AD02DF">
      <w:pPr>
        <w:jc w:val="both"/>
        <w:rPr>
          <w:sz w:val="20"/>
          <w:szCs w:val="20"/>
        </w:rPr>
      </w:pPr>
      <w:r w:rsidRPr="00AD02DF">
        <w:rPr>
          <w:sz w:val="20"/>
          <w:szCs w:val="20"/>
        </w:rPr>
        <w:t xml:space="preserve">Учасник тендеру подає свої технічні та фінансові пропозиції, які збирають усі документи відповідно до запитів щодо надання всіх будівельних послуг та закупівель будівельних матеріалів згідно з </w:t>
      </w:r>
      <w:r w:rsidR="00BC2404">
        <w:rPr>
          <w:sz w:val="20"/>
          <w:szCs w:val="20"/>
          <w:lang w:val="uk-UA"/>
        </w:rPr>
        <w:t>кошторисом</w:t>
      </w:r>
      <w:r w:rsidRPr="00AD02DF">
        <w:rPr>
          <w:sz w:val="20"/>
          <w:szCs w:val="20"/>
        </w:rPr>
        <w:t>, наданим УВКБ ООН, включаючи всі пов’язані з цим витрати (адміністрація, транспортування, доставка матеріалів, розміщення робочих бригад) , страхування, амортизація машин і обладнання тощо).</w:t>
      </w:r>
    </w:p>
    <w:p w14:paraId="057653DD" w14:textId="3F4E3CE0" w:rsidR="002D3263" w:rsidRPr="00AD02DF" w:rsidRDefault="002D3263" w:rsidP="00AD02DF">
      <w:pPr>
        <w:jc w:val="both"/>
        <w:rPr>
          <w:sz w:val="20"/>
          <w:szCs w:val="20"/>
        </w:rPr>
      </w:pPr>
      <w:r w:rsidRPr="00AD02DF">
        <w:rPr>
          <w:sz w:val="20"/>
          <w:szCs w:val="20"/>
        </w:rPr>
        <w:t>Після завершення будівельних робіт Компанія надає УВКБ ООН Технічний звіт та видає Акт прийому-передачі.</w:t>
      </w:r>
    </w:p>
    <w:p w14:paraId="30739177" w14:textId="77777777" w:rsidR="004D72AB" w:rsidRPr="004D72AB" w:rsidRDefault="004D72AB" w:rsidP="004D72AB">
      <w:pPr>
        <w:jc w:val="both"/>
        <w:rPr>
          <w:b/>
          <w:bCs/>
        </w:rPr>
      </w:pPr>
      <w:r w:rsidRPr="004D72AB">
        <w:rPr>
          <w:b/>
          <w:bCs/>
        </w:rPr>
        <w:t>Гарантія та технічне обслуговування:</w:t>
      </w:r>
    </w:p>
    <w:p w14:paraId="5CA0534D" w14:textId="77777777" w:rsidR="004D72AB" w:rsidRPr="004D72AB" w:rsidRDefault="004D72AB" w:rsidP="004D72AB">
      <w:pPr>
        <w:jc w:val="both"/>
        <w:rPr>
          <w:sz w:val="20"/>
          <w:szCs w:val="20"/>
        </w:rPr>
      </w:pPr>
      <w:r w:rsidRPr="004D72AB">
        <w:rPr>
          <w:sz w:val="20"/>
          <w:szCs w:val="20"/>
        </w:rPr>
        <w:t>Мінімальний гарантійний термін становить дванадцять (дванадцять) місяців на всю продукцію в рамках тендеру, починаючи з дати затвердження попереднього приймання. Протягом цього періоду на всі матеріали поширюється гарантія проти дефектів виробництва та виготовлення, а матеріал, пошкоджений дефектами виробництва, виготовлення чи складання, буде замінено новим. Протягом гарантійного терміну необхідне технічне обслуговування буде проводитися безкоштовно. Учасники тендеру повинні додати підписаний лист, що підтверджує згоду на мінімальну 1-річну гарантію.</w:t>
      </w:r>
    </w:p>
    <w:p w14:paraId="125E4F6C" w14:textId="14D79C8E" w:rsidR="00AC2294" w:rsidRPr="004D72AB" w:rsidRDefault="00AC2294" w:rsidP="00AC2294">
      <w:pPr>
        <w:jc w:val="both"/>
        <w:rPr>
          <w:b/>
          <w:bCs/>
        </w:rPr>
      </w:pPr>
      <w:r w:rsidRPr="004D72AB">
        <w:rPr>
          <w:b/>
          <w:bCs/>
        </w:rPr>
        <w:t>Мінімальні стандарти якості:</w:t>
      </w:r>
    </w:p>
    <w:p w14:paraId="6FEBF29D" w14:textId="2530BE50" w:rsidR="002D3263" w:rsidRPr="004D72AB" w:rsidRDefault="00AC2294" w:rsidP="00AC2294">
      <w:pPr>
        <w:jc w:val="both"/>
        <w:rPr>
          <w:sz w:val="20"/>
          <w:szCs w:val="20"/>
        </w:rPr>
      </w:pPr>
      <w:r w:rsidRPr="004D72AB">
        <w:rPr>
          <w:sz w:val="20"/>
          <w:szCs w:val="20"/>
        </w:rPr>
        <w:t>Усі матеріали/вироби/роботи повинні відповідати українським стандартам будівельних робіт (ДБН, ДСТУ та ін.) та підлягають погодженню Контролера.</w:t>
      </w:r>
    </w:p>
    <w:p w14:paraId="3B04E44B" w14:textId="46BCF6AA" w:rsidR="00204D90" w:rsidRPr="004D72AB" w:rsidRDefault="00EE136D" w:rsidP="00204D90">
      <w:pPr>
        <w:jc w:val="both"/>
        <w:rPr>
          <w:b/>
          <w:bCs/>
        </w:rPr>
      </w:pPr>
      <w:r w:rsidRPr="004D72AB">
        <w:rPr>
          <w:b/>
          <w:bCs/>
        </w:rPr>
        <w:t>Стандарти охорони здоров'я та безпеки:</w:t>
      </w:r>
    </w:p>
    <w:p w14:paraId="3A29A6AC" w14:textId="7FB1CC01" w:rsidR="00204D90" w:rsidRPr="004D72AB" w:rsidRDefault="00204D90" w:rsidP="00204D90">
      <w:pPr>
        <w:jc w:val="both"/>
        <w:rPr>
          <w:sz w:val="20"/>
          <w:szCs w:val="20"/>
        </w:rPr>
      </w:pPr>
      <w:r w:rsidRPr="004D72AB">
        <w:rPr>
          <w:sz w:val="20"/>
          <w:szCs w:val="20"/>
        </w:rPr>
        <w:t>Компанія, яка отримала контракт, повинна відповідати всім національним стандартам безпеки після підписання контракту. Крім того, до підписання контракту підрядник несе відповідальність за наступне страхове покриття, яке буде дійсним до схвалення УВКБ ООН основного завершення робіт:</w:t>
      </w:r>
    </w:p>
    <w:p w14:paraId="29E77511" w14:textId="77777777" w:rsidR="00204D90" w:rsidRPr="004D72AB" w:rsidRDefault="00204D90" w:rsidP="00204D90">
      <w:pPr>
        <w:pStyle w:val="ListParagraph"/>
        <w:numPr>
          <w:ilvl w:val="0"/>
          <w:numId w:val="7"/>
        </w:numPr>
        <w:jc w:val="both"/>
        <w:rPr>
          <w:sz w:val="20"/>
          <w:szCs w:val="20"/>
        </w:rPr>
      </w:pPr>
      <w:r w:rsidRPr="004D72AB">
        <w:rPr>
          <w:sz w:val="20"/>
          <w:szCs w:val="20"/>
        </w:rPr>
        <w:t>Страхування робіт, обладнання та матеріалів (не менше вартості проекту)</w:t>
      </w:r>
    </w:p>
    <w:p w14:paraId="4A41A902" w14:textId="77777777" w:rsidR="00204D90" w:rsidRPr="004D72AB" w:rsidRDefault="00204D90" w:rsidP="00204D90">
      <w:pPr>
        <w:pStyle w:val="ListParagraph"/>
        <w:numPr>
          <w:ilvl w:val="0"/>
          <w:numId w:val="7"/>
        </w:numPr>
        <w:jc w:val="both"/>
        <w:rPr>
          <w:sz w:val="20"/>
          <w:szCs w:val="20"/>
        </w:rPr>
      </w:pPr>
      <w:r w:rsidRPr="004D72AB">
        <w:rPr>
          <w:sz w:val="20"/>
          <w:szCs w:val="20"/>
        </w:rPr>
        <w:t>Страхування від травмування людей та пошкодження майна (страхування третіх осіб)</w:t>
      </w:r>
    </w:p>
    <w:p w14:paraId="3EFD2113" w14:textId="77777777" w:rsidR="00204D90" w:rsidRPr="004D72AB" w:rsidRDefault="00204D90" w:rsidP="00204D90">
      <w:pPr>
        <w:pStyle w:val="ListParagraph"/>
        <w:numPr>
          <w:ilvl w:val="0"/>
          <w:numId w:val="7"/>
        </w:numPr>
        <w:jc w:val="both"/>
        <w:rPr>
          <w:sz w:val="20"/>
          <w:szCs w:val="20"/>
        </w:rPr>
      </w:pPr>
      <w:r w:rsidRPr="004D72AB">
        <w:rPr>
          <w:sz w:val="20"/>
          <w:szCs w:val="20"/>
        </w:rPr>
        <w:t>Страхування персоналу Підрядника (працівників на випадок травми, хвороби, втрати тощо)</w:t>
      </w:r>
    </w:p>
    <w:p w14:paraId="7FE4D215" w14:textId="39989B5E" w:rsidR="00AC2294" w:rsidRPr="004D72AB" w:rsidRDefault="00204D90" w:rsidP="00204D90">
      <w:pPr>
        <w:pStyle w:val="ListParagraph"/>
        <w:numPr>
          <w:ilvl w:val="0"/>
          <w:numId w:val="7"/>
        </w:numPr>
        <w:jc w:val="both"/>
        <w:rPr>
          <w:sz w:val="20"/>
          <w:szCs w:val="20"/>
        </w:rPr>
      </w:pPr>
      <w:r w:rsidRPr="004D72AB">
        <w:rPr>
          <w:sz w:val="20"/>
          <w:szCs w:val="20"/>
        </w:rPr>
        <w:t>Страхування обладнання Підрядника</w:t>
      </w:r>
    </w:p>
    <w:sectPr w:rsidR="00AC2294" w:rsidRPr="004D72AB" w:rsidSect="00AD02DF">
      <w:headerReference w:type="default" r:id="rId11"/>
      <w:footerReference w:type="default" r:id="rId12"/>
      <w:pgSz w:w="11906" w:h="16838"/>
      <w:pgMar w:top="201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598F" w14:textId="77777777" w:rsidR="003D2047" w:rsidRDefault="003D2047" w:rsidP="00164155">
      <w:pPr>
        <w:spacing w:after="0" w:line="240" w:lineRule="auto"/>
      </w:pPr>
      <w:r>
        <w:separator/>
      </w:r>
    </w:p>
  </w:endnote>
  <w:endnote w:type="continuationSeparator" w:id="0">
    <w:p w14:paraId="76D82ACB" w14:textId="77777777" w:rsidR="003D2047" w:rsidRDefault="003D2047" w:rsidP="0016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41586"/>
      <w:docPartObj>
        <w:docPartGallery w:val="Page Numbers (Bottom of Page)"/>
        <w:docPartUnique/>
      </w:docPartObj>
    </w:sdtPr>
    <w:sdtEndPr>
      <w:rPr>
        <w:noProof/>
      </w:rPr>
    </w:sdtEndPr>
    <w:sdtContent>
      <w:p w14:paraId="66B9EF1D" w14:textId="3D83768C" w:rsidR="00164155" w:rsidRDefault="00164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72A8" w14:textId="77777777" w:rsidR="003D2047" w:rsidRDefault="003D2047" w:rsidP="00164155">
      <w:pPr>
        <w:spacing w:after="0" w:line="240" w:lineRule="auto"/>
      </w:pPr>
      <w:r>
        <w:separator/>
      </w:r>
    </w:p>
  </w:footnote>
  <w:footnote w:type="continuationSeparator" w:id="0">
    <w:p w14:paraId="76793757" w14:textId="77777777" w:rsidR="003D2047" w:rsidRDefault="003D2047" w:rsidP="0016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8699" w14:textId="57FE03D4" w:rsidR="00AD02DF" w:rsidRDefault="00AD02DF">
    <w:pPr>
      <w:pStyle w:val="Header"/>
    </w:pPr>
    <w:r>
      <w:rPr>
        <w:noProof/>
      </w:rPr>
      <w:drawing>
        <wp:inline distT="0" distB="0" distL="0" distR="0" wp14:anchorId="49ACA902" wp14:editId="23503B41">
          <wp:extent cx="32797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A85"/>
    <w:multiLevelType w:val="multilevel"/>
    <w:tmpl w:val="5FDE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F70"/>
    <w:multiLevelType w:val="multilevel"/>
    <w:tmpl w:val="4E6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7D3B"/>
    <w:multiLevelType w:val="hybridMultilevel"/>
    <w:tmpl w:val="A9C45C00"/>
    <w:lvl w:ilvl="0" w:tplc="4DAA0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A65"/>
    <w:multiLevelType w:val="hybridMultilevel"/>
    <w:tmpl w:val="C638080A"/>
    <w:lvl w:ilvl="0" w:tplc="1AA0B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E329C"/>
    <w:multiLevelType w:val="multilevel"/>
    <w:tmpl w:val="917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42923"/>
    <w:multiLevelType w:val="hybridMultilevel"/>
    <w:tmpl w:val="9A9E4158"/>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A"/>
    <w:rsid w:val="0000292B"/>
    <w:rsid w:val="00070F8F"/>
    <w:rsid w:val="000C39D4"/>
    <w:rsid w:val="000E47EC"/>
    <w:rsid w:val="0010554B"/>
    <w:rsid w:val="00122A7A"/>
    <w:rsid w:val="00127B39"/>
    <w:rsid w:val="00132D4B"/>
    <w:rsid w:val="001420F3"/>
    <w:rsid w:val="00163A69"/>
    <w:rsid w:val="00164155"/>
    <w:rsid w:val="00175675"/>
    <w:rsid w:val="001B2E77"/>
    <w:rsid w:val="001D78DF"/>
    <w:rsid w:val="00204D90"/>
    <w:rsid w:val="002117DA"/>
    <w:rsid w:val="00264B41"/>
    <w:rsid w:val="002A5832"/>
    <w:rsid w:val="002A7074"/>
    <w:rsid w:val="002B2D44"/>
    <w:rsid w:val="002D3263"/>
    <w:rsid w:val="002F386E"/>
    <w:rsid w:val="0030497A"/>
    <w:rsid w:val="00327807"/>
    <w:rsid w:val="00354BA2"/>
    <w:rsid w:val="00375C06"/>
    <w:rsid w:val="00394716"/>
    <w:rsid w:val="003D2047"/>
    <w:rsid w:val="003F3CD2"/>
    <w:rsid w:val="003F4A0E"/>
    <w:rsid w:val="003F4DC4"/>
    <w:rsid w:val="004115BF"/>
    <w:rsid w:val="00424B6E"/>
    <w:rsid w:val="004279F0"/>
    <w:rsid w:val="00470CC2"/>
    <w:rsid w:val="00482F5A"/>
    <w:rsid w:val="0049077C"/>
    <w:rsid w:val="00490FFE"/>
    <w:rsid w:val="004C2C64"/>
    <w:rsid w:val="004C2F88"/>
    <w:rsid w:val="004D72AB"/>
    <w:rsid w:val="004E126E"/>
    <w:rsid w:val="004E6B6E"/>
    <w:rsid w:val="00502384"/>
    <w:rsid w:val="00513524"/>
    <w:rsid w:val="0056198C"/>
    <w:rsid w:val="005800DD"/>
    <w:rsid w:val="00593E5D"/>
    <w:rsid w:val="00597B83"/>
    <w:rsid w:val="005A35B3"/>
    <w:rsid w:val="005E6692"/>
    <w:rsid w:val="0062001B"/>
    <w:rsid w:val="00642A7B"/>
    <w:rsid w:val="00677311"/>
    <w:rsid w:val="006D2382"/>
    <w:rsid w:val="007924FB"/>
    <w:rsid w:val="00796E2C"/>
    <w:rsid w:val="007A56CD"/>
    <w:rsid w:val="007D3BF2"/>
    <w:rsid w:val="008010A3"/>
    <w:rsid w:val="00804B30"/>
    <w:rsid w:val="00811A85"/>
    <w:rsid w:val="00857F38"/>
    <w:rsid w:val="008A0198"/>
    <w:rsid w:val="008E7EB9"/>
    <w:rsid w:val="009141BD"/>
    <w:rsid w:val="009172E0"/>
    <w:rsid w:val="00926EDA"/>
    <w:rsid w:val="009341C0"/>
    <w:rsid w:val="0097647B"/>
    <w:rsid w:val="009A712F"/>
    <w:rsid w:val="009C1D94"/>
    <w:rsid w:val="009C5654"/>
    <w:rsid w:val="009E24F3"/>
    <w:rsid w:val="00A6078C"/>
    <w:rsid w:val="00A65BF0"/>
    <w:rsid w:val="00AB16CE"/>
    <w:rsid w:val="00AC2294"/>
    <w:rsid w:val="00AD02DF"/>
    <w:rsid w:val="00B25424"/>
    <w:rsid w:val="00B2595D"/>
    <w:rsid w:val="00B635EF"/>
    <w:rsid w:val="00B72743"/>
    <w:rsid w:val="00B84B51"/>
    <w:rsid w:val="00BA3F9F"/>
    <w:rsid w:val="00BC2404"/>
    <w:rsid w:val="00C13480"/>
    <w:rsid w:val="00C20A97"/>
    <w:rsid w:val="00C42495"/>
    <w:rsid w:val="00C75772"/>
    <w:rsid w:val="00CB4DB5"/>
    <w:rsid w:val="00CE19C4"/>
    <w:rsid w:val="00CE59D7"/>
    <w:rsid w:val="00D27978"/>
    <w:rsid w:val="00D47726"/>
    <w:rsid w:val="00D50452"/>
    <w:rsid w:val="00DC09BD"/>
    <w:rsid w:val="00DD7215"/>
    <w:rsid w:val="00DE4E0A"/>
    <w:rsid w:val="00E274F4"/>
    <w:rsid w:val="00EE136D"/>
    <w:rsid w:val="00F0372E"/>
    <w:rsid w:val="00FA65D2"/>
    <w:rsid w:val="00FC4FCD"/>
    <w:rsid w:val="00FE7F3F"/>
    <w:rsid w:val="00FF3B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E209"/>
  <w15:chartTrackingRefBased/>
  <w15:docId w15:val="{31D2BA6D-CC91-403E-AF1E-C14C10B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F5A"/>
    <w:rPr>
      <w:b/>
      <w:bCs/>
    </w:rPr>
  </w:style>
  <w:style w:type="character" w:customStyle="1" w:styleId="ms-rtefontsize-2">
    <w:name w:val="ms-rtefontsize-2"/>
    <w:basedOn w:val="DefaultParagraphFont"/>
    <w:rsid w:val="00482F5A"/>
  </w:style>
  <w:style w:type="character" w:styleId="Hyperlink">
    <w:name w:val="Hyperlink"/>
    <w:basedOn w:val="DefaultParagraphFont"/>
    <w:uiPriority w:val="99"/>
    <w:unhideWhenUsed/>
    <w:rsid w:val="00B84B51"/>
    <w:rPr>
      <w:color w:val="0563C1" w:themeColor="hyperlink"/>
      <w:u w:val="single"/>
    </w:rPr>
  </w:style>
  <w:style w:type="character" w:styleId="UnresolvedMention">
    <w:name w:val="Unresolved Mention"/>
    <w:basedOn w:val="DefaultParagraphFont"/>
    <w:uiPriority w:val="99"/>
    <w:semiHidden/>
    <w:unhideWhenUsed/>
    <w:rsid w:val="00B84B51"/>
    <w:rPr>
      <w:color w:val="605E5C"/>
      <w:shd w:val="clear" w:color="auto" w:fill="E1DFDD"/>
    </w:rPr>
  </w:style>
  <w:style w:type="paragraph" w:customStyle="1" w:styleId="Default">
    <w:name w:val="Default"/>
    <w:rsid w:val="006773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25424"/>
    <w:pPr>
      <w:ind w:left="720"/>
      <w:contextualSpacing/>
    </w:pPr>
  </w:style>
  <w:style w:type="paragraph" w:styleId="Header">
    <w:name w:val="header"/>
    <w:basedOn w:val="Normal"/>
    <w:link w:val="HeaderChar"/>
    <w:uiPriority w:val="99"/>
    <w:unhideWhenUsed/>
    <w:rsid w:val="0016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55"/>
  </w:style>
  <w:style w:type="paragraph" w:styleId="Footer">
    <w:name w:val="footer"/>
    <w:basedOn w:val="Normal"/>
    <w:link w:val="FooterChar"/>
    <w:uiPriority w:val="99"/>
    <w:unhideWhenUsed/>
    <w:rsid w:val="0016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55"/>
  </w:style>
  <w:style w:type="character" w:styleId="CommentReference">
    <w:name w:val="annotation reference"/>
    <w:basedOn w:val="DefaultParagraphFont"/>
    <w:uiPriority w:val="99"/>
    <w:semiHidden/>
    <w:unhideWhenUsed/>
    <w:rsid w:val="009C1D94"/>
    <w:rPr>
      <w:sz w:val="16"/>
      <w:szCs w:val="16"/>
    </w:rPr>
  </w:style>
  <w:style w:type="paragraph" w:styleId="CommentText">
    <w:name w:val="annotation text"/>
    <w:basedOn w:val="Normal"/>
    <w:link w:val="CommentTextChar"/>
    <w:uiPriority w:val="99"/>
    <w:semiHidden/>
    <w:unhideWhenUsed/>
    <w:rsid w:val="009C1D94"/>
    <w:pPr>
      <w:spacing w:line="240" w:lineRule="auto"/>
    </w:pPr>
    <w:rPr>
      <w:sz w:val="20"/>
      <w:szCs w:val="20"/>
    </w:rPr>
  </w:style>
  <w:style w:type="character" w:customStyle="1" w:styleId="CommentTextChar">
    <w:name w:val="Comment Text Char"/>
    <w:basedOn w:val="DefaultParagraphFont"/>
    <w:link w:val="CommentText"/>
    <w:uiPriority w:val="99"/>
    <w:semiHidden/>
    <w:rsid w:val="009C1D94"/>
    <w:rPr>
      <w:sz w:val="20"/>
      <w:szCs w:val="20"/>
    </w:rPr>
  </w:style>
  <w:style w:type="paragraph" w:styleId="CommentSubject">
    <w:name w:val="annotation subject"/>
    <w:basedOn w:val="CommentText"/>
    <w:next w:val="CommentText"/>
    <w:link w:val="CommentSubjectChar"/>
    <w:uiPriority w:val="99"/>
    <w:semiHidden/>
    <w:unhideWhenUsed/>
    <w:rsid w:val="009C1D94"/>
    <w:rPr>
      <w:b/>
      <w:bCs/>
    </w:rPr>
  </w:style>
  <w:style w:type="character" w:customStyle="1" w:styleId="CommentSubjectChar">
    <w:name w:val="Comment Subject Char"/>
    <w:basedOn w:val="CommentTextChar"/>
    <w:link w:val="CommentSubject"/>
    <w:uiPriority w:val="99"/>
    <w:semiHidden/>
    <w:rsid w:val="009C1D94"/>
    <w:rPr>
      <w:b/>
      <w:bCs/>
      <w:sz w:val="20"/>
      <w:szCs w:val="20"/>
    </w:rPr>
  </w:style>
  <w:style w:type="paragraph" w:styleId="Revision">
    <w:name w:val="Revision"/>
    <w:hidden/>
    <w:uiPriority w:val="99"/>
    <w:semiHidden/>
    <w:rsid w:val="004279F0"/>
    <w:pPr>
      <w:spacing w:after="0" w:line="240" w:lineRule="auto"/>
    </w:pPr>
  </w:style>
  <w:style w:type="character" w:customStyle="1" w:styleId="normaltextrun">
    <w:name w:val="normaltextrun"/>
    <w:basedOn w:val="DefaultParagraphFont"/>
    <w:rsid w:val="002B2D44"/>
  </w:style>
  <w:style w:type="character" w:customStyle="1" w:styleId="eop">
    <w:name w:val="eop"/>
    <w:basedOn w:val="DefaultParagraphFont"/>
    <w:rsid w:val="002B2D44"/>
  </w:style>
  <w:style w:type="paragraph" w:customStyle="1" w:styleId="P68B1DB1-Normal1">
    <w:name w:val="P68B1DB1-Normal1"/>
    <w:basedOn w:val="Normal"/>
    <w:rsid w:val="00BC2404"/>
    <w:pPr>
      <w:spacing w:after="0" w:line="240" w:lineRule="auto"/>
    </w:pPr>
    <w:rPr>
      <w:rFonts w:ascii="Arial" w:eastAsia="Arial Unicode MS" w:hAnsi="Arial" w:cs="Arial"/>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5" ma:contentTypeDescription="Create a new document." ma:contentTypeScope="" ma:versionID="65e58694328865029edc4edf1667d375">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1531dd22df6df44fd5a8b21bf08a4a1"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63D6ED37-2BB4-4787-9175-99F9F0B8181C}">
  <ds:schemaRefs>
    <ds:schemaRef ds:uri="http://schemas.microsoft.com/sharepoint/v3/contenttype/forms"/>
  </ds:schemaRefs>
</ds:datastoreItem>
</file>

<file path=customXml/itemProps2.xml><?xml version="1.0" encoding="utf-8"?>
<ds:datastoreItem xmlns:ds="http://schemas.openxmlformats.org/officeDocument/2006/customXml" ds:itemID="{31CD626C-C86D-4608-B188-5D272A0CF896}">
  <ds:schemaRefs>
    <ds:schemaRef ds:uri="http://schemas.openxmlformats.org/officeDocument/2006/bibliography"/>
  </ds:schemaRefs>
</ds:datastoreItem>
</file>

<file path=customXml/itemProps3.xml><?xml version="1.0" encoding="utf-8"?>
<ds:datastoreItem xmlns:ds="http://schemas.openxmlformats.org/officeDocument/2006/customXml" ds:itemID="{39AF2552-7325-4DD7-9185-202A169F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CD40E-B42D-4160-AF17-1DDFAD7ED2A7}">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Ievdokymova</dc:creator>
  <cp:keywords/>
  <dc:description/>
  <cp:lastModifiedBy>Yuliia Kriuger</cp:lastModifiedBy>
  <cp:revision>2</cp:revision>
  <dcterms:created xsi:type="dcterms:W3CDTF">2022-07-22T14:04:00Z</dcterms:created>
  <dcterms:modified xsi:type="dcterms:W3CDTF">2022-07-22T14:04:00Z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