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8508" w14:textId="06E017D2" w:rsidR="00655BCE" w:rsidRDefault="00413016">
      <w:pPr>
        <w:pStyle w:val="Title"/>
      </w:pPr>
      <w:r>
        <w:t>UKR/RFQ/2023-137</w:t>
      </w:r>
    </w:p>
    <w:p w14:paraId="46B38509" w14:textId="1FCC6E7B" w:rsidR="00655BCE" w:rsidRDefault="00413016">
      <w:pPr>
        <w:spacing w:before="182"/>
        <w:ind w:left="2922" w:right="2110"/>
        <w:jc w:val="center"/>
      </w:pPr>
      <w:r>
        <w:t xml:space="preserve">ДОДАТОК А – </w:t>
      </w:r>
      <w:r w:rsidR="00B7342B">
        <w:t>Список</w:t>
      </w:r>
      <w:r>
        <w:t xml:space="preserve"> вимог</w:t>
      </w:r>
    </w:p>
    <w:p w14:paraId="46B3850A" w14:textId="77777777" w:rsidR="00655BCE" w:rsidRDefault="00655BCE">
      <w:pPr>
        <w:pStyle w:val="BodyText"/>
        <w:rPr>
          <w:sz w:val="20"/>
        </w:rPr>
      </w:pPr>
    </w:p>
    <w:p w14:paraId="46B3850B" w14:textId="77777777" w:rsidR="00655BCE" w:rsidRDefault="00655BCE">
      <w:pPr>
        <w:pStyle w:val="BodyText"/>
        <w:rPr>
          <w:sz w:val="24"/>
        </w:rPr>
      </w:pPr>
    </w:p>
    <w:p w14:paraId="46B3850C" w14:textId="77777777" w:rsidR="00655BCE" w:rsidRDefault="00413016">
      <w:pPr>
        <w:pStyle w:val="Heading1"/>
        <w:spacing w:before="66"/>
      </w:pPr>
      <w:r>
        <w:t>Передумова:</w:t>
      </w:r>
    </w:p>
    <w:p w14:paraId="46B3850D" w14:textId="77777777" w:rsidR="00655BCE" w:rsidRDefault="00655BCE">
      <w:pPr>
        <w:pStyle w:val="BodyText"/>
        <w:spacing w:before="11"/>
        <w:rPr>
          <w:b/>
          <w:sz w:val="14"/>
        </w:rPr>
      </w:pPr>
    </w:p>
    <w:p w14:paraId="46B3850E" w14:textId="42A1AD47" w:rsidR="00655BCE" w:rsidRPr="00AE5FCF" w:rsidRDefault="00B1067F" w:rsidP="00F9741E">
      <w:pPr>
        <w:rPr>
          <w:sz w:val="18"/>
          <w:szCs w:val="18"/>
        </w:rPr>
      </w:pPr>
      <w:r>
        <w:rPr>
          <w:sz w:val="18"/>
        </w:rPr>
        <w:t>У зв’язку з триваючим конфліктом і подальшою необхідністю надання підтримки особам, які підпадають під загрозу, та органам влади, УВКБ ООН має намір укласти контракт на надання матеріалів, які входять до наборів для швидкого утеплення (НШУ). Такий контракт служитиме для забезпечення необхідних матеріалів для НШУ, дозволяючи:</w:t>
      </w:r>
    </w:p>
    <w:p w14:paraId="4D7A37C0" w14:textId="77777777" w:rsidR="008B73C9" w:rsidRPr="00AE5FCF" w:rsidRDefault="008B73C9" w:rsidP="00F9741E">
      <w:pPr>
        <w:rPr>
          <w:sz w:val="18"/>
          <w:szCs w:val="18"/>
        </w:rPr>
      </w:pPr>
    </w:p>
    <w:p w14:paraId="1723E16A" w14:textId="1DB51783" w:rsidR="0060479D" w:rsidRDefault="00D16B66" w:rsidP="00F9741E">
      <w:pPr>
        <w:rPr>
          <w:sz w:val="18"/>
          <w:szCs w:val="18"/>
        </w:rPr>
      </w:pPr>
      <w:r>
        <w:rPr>
          <w:sz w:val="18"/>
        </w:rPr>
        <w:t>Набір призначений для сезонного утеплення старих неенергоефективних вікон і для підвищення ефективності радіаторів опалення. Матеріали, що використовуються, є типовими для цих завдань у регіоні. НШУ складається з 7 предметів – 1 мішок і 6 позицій, які використовуються для утеплення. За допомогою набору можна утеплити мінімум 4 вікна і підвищити продуктивність мінімум 4 радіаторів.</w:t>
      </w:r>
    </w:p>
    <w:p w14:paraId="46B38512" w14:textId="77777777" w:rsidR="00655BCE" w:rsidRDefault="00655BCE">
      <w:pPr>
        <w:pStyle w:val="BodyText"/>
        <w:spacing w:before="3"/>
        <w:rPr>
          <w:sz w:val="12"/>
        </w:rPr>
      </w:pPr>
    </w:p>
    <w:p w14:paraId="0D251502" w14:textId="0D78D7C9" w:rsidR="00F056BE" w:rsidRDefault="00F056BE" w:rsidP="00F056BE">
      <w:pPr>
        <w:rPr>
          <w:sz w:val="18"/>
          <w:szCs w:val="18"/>
        </w:rPr>
      </w:pPr>
      <w:r>
        <w:rPr>
          <w:sz w:val="18"/>
        </w:rPr>
        <w:t>Один набір для швидкого утеплення (НШУ) складається із:</w:t>
      </w:r>
    </w:p>
    <w:p w14:paraId="572FF5B3" w14:textId="77777777" w:rsidR="00413016" w:rsidRPr="00F056BE" w:rsidRDefault="00413016" w:rsidP="00F056BE">
      <w:pPr>
        <w:rPr>
          <w:sz w:val="18"/>
          <w:szCs w:val="18"/>
        </w:rPr>
      </w:pPr>
    </w:p>
    <w:tbl>
      <w:tblPr>
        <w:tblStyle w:val="TableGrid"/>
        <w:tblW w:w="9540" w:type="dxa"/>
        <w:tblInd w:w="108" w:type="dxa"/>
        <w:tblLook w:val="04A0" w:firstRow="1" w:lastRow="0" w:firstColumn="1" w:lastColumn="0" w:noHBand="0" w:noVBand="1"/>
      </w:tblPr>
      <w:tblGrid>
        <w:gridCol w:w="2790"/>
        <w:gridCol w:w="4140"/>
        <w:gridCol w:w="2610"/>
      </w:tblGrid>
      <w:tr w:rsidR="00162F7C" w:rsidRPr="00F056BE" w14:paraId="556E00C9" w14:textId="77777777" w:rsidTr="00DB63E7">
        <w:tc>
          <w:tcPr>
            <w:tcW w:w="2790" w:type="dxa"/>
          </w:tcPr>
          <w:p w14:paraId="62A39AFB" w14:textId="718C438B" w:rsidR="00162F7C" w:rsidRPr="00F056BE" w:rsidRDefault="00162F7C" w:rsidP="00162F7C">
            <w:pPr>
              <w:rPr>
                <w:rFonts w:asciiTheme="minorHAnsi" w:hAnsiTheme="minorHAnsi" w:cstheme="minorHAnsi"/>
                <w:sz w:val="18"/>
                <w:szCs w:val="18"/>
              </w:rPr>
            </w:pPr>
            <w:r>
              <w:rPr>
                <w:rFonts w:asciiTheme="minorHAnsi" w:hAnsiTheme="minorHAnsi"/>
                <w:sz w:val="18"/>
              </w:rPr>
              <w:t>Тепловідбивний екран</w:t>
            </w:r>
          </w:p>
        </w:tc>
        <w:tc>
          <w:tcPr>
            <w:tcW w:w="4140" w:type="dxa"/>
          </w:tcPr>
          <w:p w14:paraId="397D844C" w14:textId="28F23848" w:rsidR="00162F7C" w:rsidRPr="00F056BE" w:rsidRDefault="00162F7C" w:rsidP="00162F7C">
            <w:pPr>
              <w:jc w:val="center"/>
              <w:rPr>
                <w:rFonts w:asciiTheme="minorHAnsi" w:hAnsiTheme="minorHAnsi" w:cstheme="minorHAnsi"/>
                <w:sz w:val="18"/>
                <w:szCs w:val="18"/>
              </w:rPr>
            </w:pPr>
            <w:r>
              <w:rPr>
                <w:rFonts w:asciiTheme="minorHAnsi" w:hAnsiTheme="minorHAnsi"/>
                <w:sz w:val="18"/>
              </w:rPr>
              <w:t>550…600 x 5000 мм</w:t>
            </w:r>
          </w:p>
        </w:tc>
        <w:tc>
          <w:tcPr>
            <w:tcW w:w="2610" w:type="dxa"/>
          </w:tcPr>
          <w:p w14:paraId="1F492DC7" w14:textId="354225AA" w:rsidR="00162F7C" w:rsidRPr="00F056BE" w:rsidRDefault="00162F7C" w:rsidP="00162F7C">
            <w:pPr>
              <w:jc w:val="center"/>
              <w:rPr>
                <w:rFonts w:asciiTheme="minorHAnsi" w:hAnsiTheme="minorHAnsi" w:cstheme="minorHAnsi"/>
                <w:sz w:val="18"/>
                <w:szCs w:val="18"/>
              </w:rPr>
            </w:pPr>
            <w:r>
              <w:rPr>
                <w:rFonts w:asciiTheme="minorHAnsi" w:hAnsiTheme="minorHAnsi"/>
                <w:sz w:val="18"/>
              </w:rPr>
              <w:t>2 рулони</w:t>
            </w:r>
          </w:p>
        </w:tc>
      </w:tr>
      <w:tr w:rsidR="00162F7C" w:rsidRPr="00F056BE" w14:paraId="080941EE" w14:textId="77777777" w:rsidTr="00DB63E7">
        <w:tc>
          <w:tcPr>
            <w:tcW w:w="2790" w:type="dxa"/>
          </w:tcPr>
          <w:p w14:paraId="78210285" w14:textId="692378F1" w:rsidR="00162F7C" w:rsidRPr="00F056BE" w:rsidRDefault="00162F7C" w:rsidP="00162F7C">
            <w:pPr>
              <w:rPr>
                <w:rFonts w:asciiTheme="minorHAnsi" w:hAnsiTheme="minorHAnsi" w:cstheme="minorHAnsi"/>
                <w:sz w:val="18"/>
                <w:szCs w:val="18"/>
              </w:rPr>
            </w:pPr>
            <w:r>
              <w:rPr>
                <w:rFonts w:asciiTheme="minorHAnsi" w:hAnsiTheme="minorHAnsi"/>
                <w:color w:val="333333"/>
                <w:sz w:val="18"/>
                <w:shd w:val="clear" w:color="auto" w:fill="FFFFFF"/>
              </w:rPr>
              <w:t>Плівка поліетиленова будівельна</w:t>
            </w:r>
          </w:p>
        </w:tc>
        <w:tc>
          <w:tcPr>
            <w:tcW w:w="4140" w:type="dxa"/>
          </w:tcPr>
          <w:p w14:paraId="256AB0EA" w14:textId="091CD1AC" w:rsidR="00162F7C" w:rsidRPr="00F056BE" w:rsidRDefault="00162F7C" w:rsidP="00162F7C">
            <w:pPr>
              <w:jc w:val="center"/>
              <w:rPr>
                <w:rFonts w:asciiTheme="minorHAnsi" w:hAnsiTheme="minorHAnsi" w:cstheme="minorHAnsi"/>
                <w:sz w:val="18"/>
                <w:szCs w:val="18"/>
              </w:rPr>
            </w:pPr>
            <w:r>
              <w:rPr>
                <w:rFonts w:asciiTheme="minorHAnsi" w:hAnsiTheme="minorHAnsi"/>
                <w:sz w:val="18"/>
              </w:rPr>
              <w:t>4000 х 5000 мм</w:t>
            </w:r>
          </w:p>
        </w:tc>
        <w:tc>
          <w:tcPr>
            <w:tcW w:w="2610" w:type="dxa"/>
          </w:tcPr>
          <w:p w14:paraId="0911B995" w14:textId="092BD2C5" w:rsidR="00162F7C" w:rsidRPr="00F056BE" w:rsidRDefault="00162F7C" w:rsidP="00162F7C">
            <w:pPr>
              <w:jc w:val="center"/>
              <w:rPr>
                <w:rFonts w:asciiTheme="minorHAnsi" w:hAnsiTheme="minorHAnsi" w:cstheme="minorHAnsi"/>
                <w:sz w:val="18"/>
                <w:szCs w:val="18"/>
              </w:rPr>
            </w:pPr>
            <w:r>
              <w:rPr>
                <w:rFonts w:asciiTheme="minorHAnsi" w:hAnsiTheme="minorHAnsi"/>
                <w:sz w:val="18"/>
              </w:rPr>
              <w:t>1 шт</w:t>
            </w:r>
          </w:p>
        </w:tc>
      </w:tr>
      <w:tr w:rsidR="00162F7C" w:rsidRPr="00F056BE" w14:paraId="26BCE171" w14:textId="77777777" w:rsidTr="00DB63E7">
        <w:tc>
          <w:tcPr>
            <w:tcW w:w="2790" w:type="dxa"/>
          </w:tcPr>
          <w:p w14:paraId="6632EECC" w14:textId="7980CC56" w:rsidR="00162F7C" w:rsidRPr="00F056BE" w:rsidRDefault="00162F7C" w:rsidP="00162F7C">
            <w:pPr>
              <w:rPr>
                <w:rFonts w:asciiTheme="minorHAnsi" w:hAnsiTheme="minorHAnsi" w:cstheme="minorHAnsi"/>
                <w:sz w:val="18"/>
                <w:szCs w:val="18"/>
              </w:rPr>
            </w:pPr>
            <w:r>
              <w:rPr>
                <w:rFonts w:asciiTheme="minorHAnsi" w:hAnsiTheme="minorHAnsi"/>
                <w:sz w:val="18"/>
              </w:rPr>
              <w:t>Двостороння клейка стрічка</w:t>
            </w:r>
          </w:p>
        </w:tc>
        <w:tc>
          <w:tcPr>
            <w:tcW w:w="4140" w:type="dxa"/>
          </w:tcPr>
          <w:p w14:paraId="4AFFEFCF" w14:textId="7C440689" w:rsidR="00162F7C" w:rsidRPr="00F056BE" w:rsidRDefault="00162F7C" w:rsidP="00162F7C">
            <w:pPr>
              <w:jc w:val="center"/>
              <w:rPr>
                <w:rFonts w:asciiTheme="minorHAnsi" w:hAnsiTheme="minorHAnsi" w:cstheme="minorHAnsi"/>
                <w:sz w:val="18"/>
                <w:szCs w:val="18"/>
              </w:rPr>
            </w:pPr>
            <w:r>
              <w:rPr>
                <w:rFonts w:asciiTheme="minorHAnsi" w:hAnsiTheme="minorHAnsi"/>
                <w:sz w:val="18"/>
              </w:rPr>
              <w:t>1 рулон шириною 15-20 мм</w:t>
            </w:r>
          </w:p>
        </w:tc>
        <w:tc>
          <w:tcPr>
            <w:tcW w:w="2610" w:type="dxa"/>
          </w:tcPr>
          <w:p w14:paraId="579FC106" w14:textId="352F788C" w:rsidR="00162F7C" w:rsidRPr="00F056BE" w:rsidRDefault="00162F7C" w:rsidP="00162F7C">
            <w:pPr>
              <w:jc w:val="center"/>
              <w:rPr>
                <w:rFonts w:asciiTheme="minorHAnsi" w:hAnsiTheme="minorHAnsi" w:cstheme="minorHAnsi"/>
                <w:sz w:val="18"/>
                <w:szCs w:val="18"/>
              </w:rPr>
            </w:pPr>
            <w:r>
              <w:rPr>
                <w:rFonts w:asciiTheme="minorHAnsi" w:hAnsiTheme="minorHAnsi"/>
                <w:sz w:val="18"/>
              </w:rPr>
              <w:t>загальна довжина не менше 20 погонних метрів</w:t>
            </w:r>
          </w:p>
        </w:tc>
      </w:tr>
      <w:tr w:rsidR="00162F7C" w:rsidRPr="00F056BE" w14:paraId="5FA3658D" w14:textId="77777777" w:rsidTr="00DB63E7">
        <w:tc>
          <w:tcPr>
            <w:tcW w:w="2790" w:type="dxa"/>
          </w:tcPr>
          <w:p w14:paraId="372172DC" w14:textId="4E882613" w:rsidR="00162F7C" w:rsidRPr="00F056BE" w:rsidRDefault="00162F7C" w:rsidP="00162F7C">
            <w:pPr>
              <w:rPr>
                <w:rFonts w:asciiTheme="minorHAnsi" w:hAnsiTheme="minorHAnsi" w:cstheme="minorHAnsi"/>
                <w:sz w:val="18"/>
                <w:szCs w:val="18"/>
              </w:rPr>
            </w:pPr>
            <w:r>
              <w:rPr>
                <w:rFonts w:asciiTheme="minorHAnsi" w:hAnsiTheme="minorHAnsi"/>
                <w:sz w:val="18"/>
              </w:rPr>
              <w:t>Будівельний скотч</w:t>
            </w:r>
          </w:p>
        </w:tc>
        <w:tc>
          <w:tcPr>
            <w:tcW w:w="4140" w:type="dxa"/>
          </w:tcPr>
          <w:p w14:paraId="19402E5A" w14:textId="4B70885E" w:rsidR="00162F7C" w:rsidRPr="00F056BE" w:rsidRDefault="00162F7C" w:rsidP="00162F7C">
            <w:pPr>
              <w:jc w:val="center"/>
              <w:rPr>
                <w:rFonts w:asciiTheme="minorHAnsi" w:hAnsiTheme="minorHAnsi" w:cstheme="minorHAnsi"/>
                <w:sz w:val="18"/>
                <w:szCs w:val="18"/>
              </w:rPr>
            </w:pPr>
            <w:r>
              <w:rPr>
                <w:rFonts w:asciiTheme="minorHAnsi" w:hAnsiTheme="minorHAnsi"/>
                <w:sz w:val="18"/>
              </w:rPr>
              <w:t>1 рулон шириною 45-55 мм</w:t>
            </w:r>
          </w:p>
        </w:tc>
        <w:tc>
          <w:tcPr>
            <w:tcW w:w="2610" w:type="dxa"/>
          </w:tcPr>
          <w:p w14:paraId="4E3EF0A9" w14:textId="3B88D2F6" w:rsidR="00162F7C" w:rsidRPr="00F056BE" w:rsidRDefault="00162F7C" w:rsidP="00162F7C">
            <w:pPr>
              <w:jc w:val="center"/>
              <w:rPr>
                <w:rFonts w:asciiTheme="minorHAnsi" w:hAnsiTheme="minorHAnsi" w:cstheme="minorHAnsi"/>
                <w:sz w:val="18"/>
                <w:szCs w:val="18"/>
              </w:rPr>
            </w:pPr>
            <w:r>
              <w:rPr>
                <w:rFonts w:asciiTheme="minorHAnsi" w:hAnsiTheme="minorHAnsi"/>
                <w:sz w:val="18"/>
              </w:rPr>
              <w:t>загальна довжина не менше 50 погонних метрів</w:t>
            </w:r>
          </w:p>
        </w:tc>
      </w:tr>
      <w:tr w:rsidR="00162F7C" w:rsidRPr="00F056BE" w14:paraId="3473F2A4" w14:textId="77777777" w:rsidTr="00DB63E7">
        <w:tc>
          <w:tcPr>
            <w:tcW w:w="2790" w:type="dxa"/>
          </w:tcPr>
          <w:p w14:paraId="1A7BAA1E" w14:textId="4CA86138" w:rsidR="00162F7C" w:rsidRPr="00F056BE" w:rsidRDefault="00162F7C" w:rsidP="00162F7C">
            <w:pPr>
              <w:rPr>
                <w:rFonts w:asciiTheme="minorHAnsi" w:hAnsiTheme="minorHAnsi" w:cstheme="minorHAnsi"/>
                <w:sz w:val="18"/>
                <w:szCs w:val="18"/>
              </w:rPr>
            </w:pPr>
            <w:r>
              <w:rPr>
                <w:rFonts w:asciiTheme="minorHAnsi" w:hAnsiTheme="minorHAnsi"/>
                <w:sz w:val="18"/>
              </w:rPr>
              <w:t>Малярний скотч</w:t>
            </w:r>
          </w:p>
        </w:tc>
        <w:tc>
          <w:tcPr>
            <w:tcW w:w="4140" w:type="dxa"/>
          </w:tcPr>
          <w:p w14:paraId="1539F6DA" w14:textId="782C879B" w:rsidR="00162F7C" w:rsidRPr="00F056BE" w:rsidRDefault="00162F7C" w:rsidP="00162F7C">
            <w:pPr>
              <w:jc w:val="center"/>
              <w:rPr>
                <w:rFonts w:asciiTheme="minorHAnsi" w:hAnsiTheme="minorHAnsi" w:cstheme="minorHAnsi"/>
                <w:sz w:val="18"/>
                <w:szCs w:val="18"/>
              </w:rPr>
            </w:pPr>
            <w:r>
              <w:rPr>
                <w:rFonts w:asciiTheme="minorHAnsi" w:hAnsiTheme="minorHAnsi"/>
                <w:sz w:val="18"/>
              </w:rPr>
              <w:t>1 рулон шириною 45-55 мм</w:t>
            </w:r>
          </w:p>
        </w:tc>
        <w:tc>
          <w:tcPr>
            <w:tcW w:w="2610" w:type="dxa"/>
          </w:tcPr>
          <w:p w14:paraId="6BBFB447" w14:textId="48F721D3" w:rsidR="00162F7C" w:rsidRPr="00F056BE" w:rsidRDefault="00162F7C" w:rsidP="00162F7C">
            <w:pPr>
              <w:jc w:val="center"/>
              <w:rPr>
                <w:rFonts w:asciiTheme="minorHAnsi" w:hAnsiTheme="minorHAnsi" w:cstheme="minorHAnsi"/>
                <w:sz w:val="18"/>
                <w:szCs w:val="18"/>
              </w:rPr>
            </w:pPr>
            <w:r>
              <w:rPr>
                <w:rFonts w:asciiTheme="minorHAnsi" w:hAnsiTheme="minorHAnsi"/>
                <w:sz w:val="18"/>
              </w:rPr>
              <w:t>загальна довжина не менше 40 погонних метрів</w:t>
            </w:r>
          </w:p>
        </w:tc>
      </w:tr>
      <w:tr w:rsidR="00162F7C" w:rsidRPr="00F056BE" w14:paraId="2F2F4B20" w14:textId="77777777" w:rsidTr="00DB63E7">
        <w:tc>
          <w:tcPr>
            <w:tcW w:w="2790" w:type="dxa"/>
          </w:tcPr>
          <w:p w14:paraId="5F305851" w14:textId="6E8BEAD1" w:rsidR="00162F7C" w:rsidRPr="00F056BE" w:rsidRDefault="00162F7C" w:rsidP="00162F7C">
            <w:pPr>
              <w:rPr>
                <w:rFonts w:asciiTheme="minorHAnsi" w:hAnsiTheme="minorHAnsi" w:cstheme="minorHAnsi"/>
                <w:sz w:val="18"/>
                <w:szCs w:val="18"/>
              </w:rPr>
            </w:pPr>
            <w:r>
              <w:rPr>
                <w:rFonts w:asciiTheme="minorHAnsi" w:hAnsiTheme="minorHAnsi"/>
                <w:sz w:val="18"/>
              </w:rPr>
              <w:t>Смужки пінополіуретану</w:t>
            </w:r>
          </w:p>
        </w:tc>
        <w:tc>
          <w:tcPr>
            <w:tcW w:w="4140" w:type="dxa"/>
          </w:tcPr>
          <w:p w14:paraId="5CB8F3FD" w14:textId="397EC3FC" w:rsidR="00162F7C" w:rsidRPr="00F056BE" w:rsidRDefault="00162F7C" w:rsidP="00162F7C">
            <w:pPr>
              <w:jc w:val="center"/>
              <w:rPr>
                <w:rFonts w:asciiTheme="minorHAnsi" w:hAnsiTheme="minorHAnsi" w:cstheme="minorHAnsi"/>
                <w:sz w:val="18"/>
                <w:szCs w:val="18"/>
              </w:rPr>
            </w:pPr>
            <w:r>
              <w:rPr>
                <w:rFonts w:asciiTheme="minorHAnsi" w:hAnsiTheme="minorHAnsi"/>
                <w:sz w:val="18"/>
              </w:rPr>
              <w:t xml:space="preserve">20 x 20 x 2000 мм </w:t>
            </w:r>
            <w:r>
              <w:rPr>
                <w:sz w:val="18"/>
              </w:rPr>
              <w:t>±</w:t>
            </w:r>
            <w:r>
              <w:rPr>
                <w:rFonts w:asciiTheme="minorHAnsi" w:hAnsiTheme="minorHAnsi"/>
                <w:sz w:val="18"/>
              </w:rPr>
              <w:t xml:space="preserve"> 5 мм</w:t>
            </w:r>
          </w:p>
        </w:tc>
        <w:tc>
          <w:tcPr>
            <w:tcW w:w="2610" w:type="dxa"/>
          </w:tcPr>
          <w:p w14:paraId="3E752593" w14:textId="347F0BD7" w:rsidR="00162F7C" w:rsidRPr="00F056BE" w:rsidRDefault="00162F7C" w:rsidP="00162F7C">
            <w:pPr>
              <w:jc w:val="center"/>
              <w:rPr>
                <w:rFonts w:asciiTheme="minorHAnsi" w:hAnsiTheme="minorHAnsi" w:cstheme="minorHAnsi"/>
                <w:sz w:val="18"/>
                <w:szCs w:val="18"/>
              </w:rPr>
            </w:pPr>
            <w:r>
              <w:rPr>
                <w:rFonts w:asciiTheme="minorHAnsi" w:hAnsiTheme="minorHAnsi"/>
                <w:sz w:val="18"/>
              </w:rPr>
              <w:t>загальна довжина не менше 40 погонних метрів</w:t>
            </w:r>
          </w:p>
        </w:tc>
      </w:tr>
      <w:tr w:rsidR="00162F7C" w:rsidRPr="00F056BE" w14:paraId="3FA27F38" w14:textId="77777777" w:rsidTr="00DB63E7">
        <w:tc>
          <w:tcPr>
            <w:tcW w:w="2790" w:type="dxa"/>
          </w:tcPr>
          <w:p w14:paraId="2BA1F2C1" w14:textId="6170D70B" w:rsidR="00162F7C" w:rsidRPr="00F056BE" w:rsidRDefault="00162F7C" w:rsidP="00162F7C">
            <w:pPr>
              <w:rPr>
                <w:rFonts w:asciiTheme="minorHAnsi" w:hAnsiTheme="minorHAnsi" w:cstheme="minorHAnsi"/>
                <w:sz w:val="18"/>
                <w:szCs w:val="18"/>
              </w:rPr>
            </w:pPr>
            <w:r>
              <w:rPr>
                <w:rFonts w:asciiTheme="minorHAnsi" w:hAnsiTheme="minorHAnsi"/>
                <w:sz w:val="18"/>
              </w:rPr>
              <w:t>Сумка</w:t>
            </w:r>
          </w:p>
        </w:tc>
        <w:tc>
          <w:tcPr>
            <w:tcW w:w="4140" w:type="dxa"/>
          </w:tcPr>
          <w:p w14:paraId="7EEA9FC4" w14:textId="77777777" w:rsidR="00162F7C" w:rsidRPr="00F056BE" w:rsidRDefault="00162F7C" w:rsidP="00162F7C">
            <w:pPr>
              <w:jc w:val="center"/>
              <w:rPr>
                <w:rFonts w:asciiTheme="minorHAnsi" w:hAnsiTheme="minorHAnsi" w:cstheme="minorHAnsi"/>
                <w:sz w:val="18"/>
                <w:szCs w:val="18"/>
              </w:rPr>
            </w:pPr>
          </w:p>
        </w:tc>
        <w:tc>
          <w:tcPr>
            <w:tcW w:w="2610" w:type="dxa"/>
          </w:tcPr>
          <w:p w14:paraId="0A001140" w14:textId="527054F4" w:rsidR="00162F7C" w:rsidRPr="00F056BE" w:rsidRDefault="00162F7C" w:rsidP="00162F7C">
            <w:pPr>
              <w:jc w:val="center"/>
              <w:rPr>
                <w:rFonts w:asciiTheme="minorHAnsi" w:hAnsiTheme="minorHAnsi" w:cstheme="minorHAnsi"/>
                <w:sz w:val="18"/>
                <w:szCs w:val="18"/>
              </w:rPr>
            </w:pPr>
            <w:r>
              <w:rPr>
                <w:rFonts w:asciiTheme="minorHAnsi" w:hAnsiTheme="minorHAnsi"/>
                <w:sz w:val="18"/>
              </w:rPr>
              <w:t>з логотипом УВКБ ООН</w:t>
            </w:r>
          </w:p>
        </w:tc>
      </w:tr>
    </w:tbl>
    <w:p w14:paraId="46B38537" w14:textId="77777777" w:rsidR="00655BCE" w:rsidRDefault="00655BCE">
      <w:pPr>
        <w:pStyle w:val="BodyText"/>
      </w:pPr>
    </w:p>
    <w:p w14:paraId="46B38538" w14:textId="77777777" w:rsidR="00655BCE" w:rsidRDefault="00655BCE">
      <w:pPr>
        <w:pStyle w:val="BodyText"/>
        <w:spacing w:before="2"/>
        <w:rPr>
          <w:sz w:val="15"/>
        </w:rPr>
      </w:pPr>
    </w:p>
    <w:p w14:paraId="46B38539" w14:textId="7A1FDA94" w:rsidR="00655BCE" w:rsidRPr="008A1C50" w:rsidRDefault="00413016" w:rsidP="008A1C50">
      <w:pPr>
        <w:rPr>
          <w:sz w:val="18"/>
          <w:szCs w:val="18"/>
        </w:rPr>
      </w:pPr>
      <w:r>
        <w:rPr>
          <w:sz w:val="18"/>
        </w:rPr>
        <w:t>Загальна орієнтовна потреба в НШУ становить 3000 наборів</w:t>
      </w:r>
    </w:p>
    <w:p w14:paraId="0D69001E" w14:textId="77777777" w:rsidR="00274121" w:rsidRPr="008A1C50" w:rsidRDefault="00274121" w:rsidP="008A1C50">
      <w:pPr>
        <w:rPr>
          <w:sz w:val="18"/>
          <w:szCs w:val="18"/>
        </w:rPr>
      </w:pPr>
    </w:p>
    <w:p w14:paraId="46B3853A" w14:textId="322D90B8" w:rsidR="00655BCE" w:rsidRDefault="00413016" w:rsidP="008A1C50">
      <w:pPr>
        <w:rPr>
          <w:sz w:val="18"/>
          <w:szCs w:val="18"/>
        </w:rPr>
      </w:pPr>
      <w:r>
        <w:rPr>
          <w:sz w:val="18"/>
        </w:rPr>
        <w:t>Розподіл організовує та розглядає УВКБ ООН через свій склад у Києві. Таким чином, постачальники повинні надати цінові пропозицій для забезпечення доставки товарів до DAР - склад УВКБ ООН у Києві</w:t>
      </w:r>
      <w:r w:rsidR="009F7A25">
        <w:rPr>
          <w:sz w:val="18"/>
        </w:rPr>
        <w:t>. Точна адреса буде повідомлена переможцю тендеру.</w:t>
      </w:r>
    </w:p>
    <w:p w14:paraId="5B83442E" w14:textId="77777777" w:rsidR="008A1C50" w:rsidRPr="008A1C50" w:rsidRDefault="008A1C50" w:rsidP="008A1C50">
      <w:pPr>
        <w:rPr>
          <w:sz w:val="18"/>
          <w:szCs w:val="18"/>
        </w:rPr>
      </w:pPr>
    </w:p>
    <w:p w14:paraId="46B3853C" w14:textId="77777777" w:rsidR="00655BCE" w:rsidRPr="008A1C50" w:rsidRDefault="00413016" w:rsidP="008A1C50">
      <w:pPr>
        <w:rPr>
          <w:b/>
          <w:bCs/>
          <w:sz w:val="18"/>
          <w:szCs w:val="18"/>
        </w:rPr>
      </w:pPr>
      <w:r>
        <w:rPr>
          <w:b/>
          <w:sz w:val="18"/>
        </w:rPr>
        <w:t>Завдання:</w:t>
      </w:r>
    </w:p>
    <w:p w14:paraId="46B3853D" w14:textId="77777777" w:rsidR="00655BCE" w:rsidRPr="008A1C50" w:rsidRDefault="00655BCE" w:rsidP="008A1C50">
      <w:pPr>
        <w:rPr>
          <w:sz w:val="18"/>
          <w:szCs w:val="18"/>
        </w:rPr>
      </w:pPr>
    </w:p>
    <w:p w14:paraId="46B38549" w14:textId="390CF207" w:rsidR="00655BCE" w:rsidRPr="008A1C50" w:rsidRDefault="00413016" w:rsidP="008A1C50">
      <w:pPr>
        <w:rPr>
          <w:sz w:val="18"/>
          <w:szCs w:val="18"/>
        </w:rPr>
      </w:pPr>
      <w:r>
        <w:rPr>
          <w:sz w:val="18"/>
        </w:rPr>
        <w:t xml:space="preserve">Учасникам тендеру пропонується вказати вартість одиниці продукції для всіх семи позицій у Додатку C – Фінансова пропозиція. </w:t>
      </w:r>
    </w:p>
    <w:p w14:paraId="46B3854A" w14:textId="14A46875" w:rsidR="00655BCE" w:rsidRPr="008A1C50" w:rsidRDefault="00CF599A" w:rsidP="008A1C50">
      <w:pPr>
        <w:rPr>
          <w:b/>
          <w:bCs/>
          <w:sz w:val="18"/>
          <w:szCs w:val="18"/>
        </w:rPr>
      </w:pPr>
      <w:r>
        <w:rPr>
          <w:b/>
          <w:color w:val="FF0000"/>
          <w:sz w:val="18"/>
        </w:rPr>
        <w:t>Учасни</w:t>
      </w:r>
      <w:r w:rsidR="00EB06A0">
        <w:rPr>
          <w:b/>
          <w:color w:val="FF0000"/>
          <w:sz w:val="18"/>
        </w:rPr>
        <w:t>к</w:t>
      </w:r>
      <w:r>
        <w:rPr>
          <w:b/>
          <w:color w:val="FF0000"/>
          <w:sz w:val="18"/>
        </w:rPr>
        <w:t>, який переміг у тендері, має обов’язково зібрати набір. Усі товари потрібно помістити в сумку та доставити до DAP</w:t>
      </w:r>
      <w:r w:rsidR="00713EE3" w:rsidRPr="00713EE3">
        <w:rPr>
          <w:b/>
          <w:color w:val="FF0000"/>
          <w:sz w:val="18"/>
          <w:lang w:val="ru-RU"/>
        </w:rPr>
        <w:t xml:space="preserve"> </w:t>
      </w:r>
      <w:r w:rsidR="00713EE3">
        <w:rPr>
          <w:b/>
          <w:color w:val="FF0000"/>
          <w:sz w:val="18"/>
          <w:lang w:val="ru-RU"/>
        </w:rPr>
        <w:t>–</w:t>
      </w:r>
      <w:r>
        <w:rPr>
          <w:b/>
          <w:color w:val="FF0000"/>
          <w:sz w:val="18"/>
        </w:rPr>
        <w:t xml:space="preserve"> склад УВКБ ООН у Києві як один набір.</w:t>
      </w:r>
    </w:p>
    <w:p w14:paraId="46B3854B" w14:textId="77777777" w:rsidR="00655BCE" w:rsidRPr="008A1C50" w:rsidRDefault="00655BCE" w:rsidP="008A1C50">
      <w:pPr>
        <w:rPr>
          <w:sz w:val="18"/>
          <w:szCs w:val="18"/>
        </w:rPr>
      </w:pPr>
    </w:p>
    <w:p w14:paraId="46B3854C" w14:textId="77777777" w:rsidR="00655BCE" w:rsidRPr="008A1C50" w:rsidRDefault="00655BCE" w:rsidP="008A1C50">
      <w:pPr>
        <w:rPr>
          <w:sz w:val="18"/>
          <w:szCs w:val="18"/>
        </w:rPr>
      </w:pPr>
    </w:p>
    <w:p w14:paraId="46B3854D" w14:textId="77777777" w:rsidR="00655BCE" w:rsidRPr="008A1C50" w:rsidRDefault="00413016" w:rsidP="008A1C50">
      <w:pPr>
        <w:rPr>
          <w:b/>
          <w:bCs/>
          <w:sz w:val="18"/>
          <w:szCs w:val="18"/>
        </w:rPr>
      </w:pPr>
      <w:r>
        <w:rPr>
          <w:b/>
          <w:sz w:val="18"/>
        </w:rPr>
        <w:t>Фінансова пропозиція:</w:t>
      </w:r>
    </w:p>
    <w:p w14:paraId="46B3854E" w14:textId="77777777" w:rsidR="00655BCE" w:rsidRPr="008A1C50" w:rsidRDefault="00655BCE" w:rsidP="008A1C50">
      <w:pPr>
        <w:rPr>
          <w:sz w:val="18"/>
          <w:szCs w:val="18"/>
        </w:rPr>
      </w:pPr>
    </w:p>
    <w:p w14:paraId="46B3854F" w14:textId="094FE6D9" w:rsidR="00655BCE" w:rsidRPr="008A1C50" w:rsidRDefault="00413016" w:rsidP="008A1C50">
      <w:pPr>
        <w:rPr>
          <w:sz w:val="18"/>
          <w:szCs w:val="18"/>
        </w:rPr>
      </w:pPr>
      <w:r>
        <w:rPr>
          <w:sz w:val="18"/>
        </w:rPr>
        <w:t xml:space="preserve">Фінансова пропозиція має бути надана за принципом «все включено», включаючи витрати на транспортування до пункту доставки: Склад УВКБ ООН, Київська обл. Тендерні пропозиції мають бути підготовлені в гривнях. </w:t>
      </w:r>
    </w:p>
    <w:p w14:paraId="46B38550" w14:textId="67066E46" w:rsidR="00655BCE" w:rsidRPr="00D45A12" w:rsidRDefault="00413016" w:rsidP="008A1C50">
      <w:pPr>
        <w:rPr>
          <w:color w:val="FF0000"/>
          <w:sz w:val="18"/>
          <w:szCs w:val="18"/>
        </w:rPr>
      </w:pPr>
      <w:r>
        <w:rPr>
          <w:sz w:val="18"/>
        </w:rPr>
        <w:t xml:space="preserve">Будь ласка, зверніть увагу, що УВКБ ООН має статус звільненого від сплати ПДВ та мита в Україні, тому цінові пропозиції надаються без ПДВ, </w:t>
      </w:r>
      <w:r w:rsidRPr="00713EE3">
        <w:rPr>
          <w:color w:val="FF0000"/>
          <w:sz w:val="18"/>
        </w:rPr>
        <w:t>однак для компаній-платників ПДВ, зареєстрованих в Україні, складова ПДВ зазначається окремо.</w:t>
      </w:r>
      <w:r>
        <w:rPr>
          <w:sz w:val="18"/>
        </w:rPr>
        <w:t xml:space="preserve"> </w:t>
      </w:r>
    </w:p>
    <w:p w14:paraId="46B38551" w14:textId="77777777" w:rsidR="00655BCE" w:rsidRPr="008A1C50" w:rsidRDefault="00655BCE" w:rsidP="008A1C50">
      <w:pPr>
        <w:rPr>
          <w:sz w:val="18"/>
          <w:szCs w:val="18"/>
        </w:rPr>
      </w:pPr>
    </w:p>
    <w:p w14:paraId="46B38552" w14:textId="77777777" w:rsidR="00655BCE" w:rsidRPr="008A1C50" w:rsidRDefault="00655BCE" w:rsidP="008A1C50">
      <w:pPr>
        <w:rPr>
          <w:sz w:val="18"/>
          <w:szCs w:val="18"/>
        </w:rPr>
      </w:pPr>
    </w:p>
    <w:p w14:paraId="46B38553" w14:textId="77777777" w:rsidR="00655BCE" w:rsidRPr="008A1C50" w:rsidRDefault="00413016" w:rsidP="008A1C50">
      <w:pPr>
        <w:rPr>
          <w:b/>
          <w:bCs/>
          <w:sz w:val="18"/>
          <w:szCs w:val="18"/>
        </w:rPr>
      </w:pPr>
      <w:r>
        <w:rPr>
          <w:b/>
          <w:sz w:val="18"/>
        </w:rPr>
        <w:t>Роль УВКБ ООН:</w:t>
      </w:r>
    </w:p>
    <w:p w14:paraId="46B38554" w14:textId="77777777" w:rsidR="00655BCE" w:rsidRPr="008A1C50" w:rsidRDefault="00655BCE" w:rsidP="008A1C50">
      <w:pPr>
        <w:rPr>
          <w:sz w:val="18"/>
          <w:szCs w:val="18"/>
        </w:rPr>
      </w:pPr>
    </w:p>
    <w:p w14:paraId="46B38555" w14:textId="77777777" w:rsidR="00655BCE" w:rsidRPr="008A1C50" w:rsidRDefault="00413016" w:rsidP="008A1C50">
      <w:pPr>
        <w:rPr>
          <w:sz w:val="18"/>
          <w:szCs w:val="18"/>
        </w:rPr>
      </w:pPr>
      <w:r>
        <w:rPr>
          <w:sz w:val="18"/>
        </w:rPr>
        <w:t xml:space="preserve">УВКБ ООН перевірятиме відповідність усіх товарів узгодженим специфікаціям відповідно до договірних угод, </w:t>
      </w:r>
      <w:r>
        <w:rPr>
          <w:sz w:val="18"/>
        </w:rPr>
        <w:lastRenderedPageBreak/>
        <w:t>включаючи, але не обмежуючись вимогами до пакування, що полегшує подальше сортування та розподіл матеріалів для УВКБ ООН.</w:t>
      </w:r>
    </w:p>
    <w:p w14:paraId="46B38556" w14:textId="77777777" w:rsidR="00655BCE" w:rsidRPr="008A1C50" w:rsidRDefault="00655BCE" w:rsidP="008A1C50">
      <w:pPr>
        <w:rPr>
          <w:sz w:val="18"/>
          <w:szCs w:val="18"/>
        </w:rPr>
      </w:pPr>
    </w:p>
    <w:p w14:paraId="46B38557" w14:textId="77777777" w:rsidR="00655BCE" w:rsidRPr="008A1C50" w:rsidRDefault="00655BCE" w:rsidP="008A1C50">
      <w:pPr>
        <w:rPr>
          <w:sz w:val="18"/>
          <w:szCs w:val="18"/>
        </w:rPr>
      </w:pPr>
    </w:p>
    <w:p w14:paraId="46B38558" w14:textId="77777777" w:rsidR="00655BCE" w:rsidRPr="008A1C50" w:rsidRDefault="00413016" w:rsidP="008A1C50">
      <w:pPr>
        <w:rPr>
          <w:b/>
          <w:bCs/>
          <w:sz w:val="18"/>
          <w:szCs w:val="18"/>
        </w:rPr>
      </w:pPr>
      <w:r>
        <w:rPr>
          <w:b/>
          <w:sz w:val="18"/>
        </w:rPr>
        <w:t>Можливості доставки:</w:t>
      </w:r>
    </w:p>
    <w:p w14:paraId="46B38559" w14:textId="77777777" w:rsidR="00655BCE" w:rsidRDefault="00655BCE" w:rsidP="008A1C50">
      <w:pPr>
        <w:rPr>
          <w:sz w:val="18"/>
          <w:szCs w:val="18"/>
        </w:rPr>
      </w:pPr>
    </w:p>
    <w:p w14:paraId="48E92B69" w14:textId="1CC10FAF" w:rsidR="007D4F07" w:rsidRDefault="007D4F07" w:rsidP="008A1C50">
      <w:pPr>
        <w:rPr>
          <w:sz w:val="18"/>
          <w:szCs w:val="18"/>
        </w:rPr>
      </w:pPr>
      <w:r>
        <w:rPr>
          <w:sz w:val="18"/>
        </w:rPr>
        <w:t>УВКБ ООН планує замовити набори трьома партіями:</w:t>
      </w:r>
    </w:p>
    <w:p w14:paraId="14B160C1" w14:textId="43839C54" w:rsidR="007D4F07" w:rsidRPr="00D06836" w:rsidRDefault="007D4F07" w:rsidP="007D4F07">
      <w:pPr>
        <w:rPr>
          <w:sz w:val="18"/>
          <w:szCs w:val="18"/>
        </w:rPr>
      </w:pPr>
      <w:r>
        <w:rPr>
          <w:sz w:val="18"/>
        </w:rPr>
        <w:t>1 партія з 500 наборів – з максимально прийнятним часом доставки на визначений склад УВКБ ООН - 2 тижні.</w:t>
      </w:r>
    </w:p>
    <w:p w14:paraId="73D98069" w14:textId="352949F0" w:rsidR="007D4F07" w:rsidRPr="00D06836" w:rsidRDefault="007D4F07" w:rsidP="007D4F07">
      <w:pPr>
        <w:rPr>
          <w:sz w:val="18"/>
          <w:szCs w:val="18"/>
        </w:rPr>
      </w:pPr>
      <w:r>
        <w:rPr>
          <w:sz w:val="18"/>
        </w:rPr>
        <w:t>2 партія з 1 000 наборів – з максимально прийнятним часом доставки на визначений склад УВКБ ООН - 3 тижні.</w:t>
      </w:r>
    </w:p>
    <w:p w14:paraId="7A20341A" w14:textId="27D5250F" w:rsidR="007D4F07" w:rsidRPr="00D06836" w:rsidRDefault="007D4F07" w:rsidP="007D4F07">
      <w:pPr>
        <w:rPr>
          <w:sz w:val="18"/>
          <w:szCs w:val="18"/>
        </w:rPr>
      </w:pPr>
      <w:r>
        <w:rPr>
          <w:sz w:val="18"/>
        </w:rPr>
        <w:t>3 партія з 1 500 наборів – з максимально прийнятним часом доставки на визначений склад УВКБ ООН - 4 тижні.</w:t>
      </w:r>
    </w:p>
    <w:p w14:paraId="0D75B3F9" w14:textId="77777777" w:rsidR="007D4F07" w:rsidRPr="008A1C50" w:rsidRDefault="007D4F07" w:rsidP="008A1C50">
      <w:pPr>
        <w:rPr>
          <w:sz w:val="18"/>
          <w:szCs w:val="18"/>
        </w:rPr>
      </w:pPr>
    </w:p>
    <w:p w14:paraId="46B38579" w14:textId="03BE64A6" w:rsidR="00655BCE" w:rsidRPr="008A1C50" w:rsidRDefault="00D06836" w:rsidP="008A1C50">
      <w:pPr>
        <w:rPr>
          <w:sz w:val="18"/>
          <w:szCs w:val="18"/>
        </w:rPr>
      </w:pPr>
      <w:r>
        <w:rPr>
          <w:sz w:val="18"/>
        </w:rPr>
        <w:t>Учасники тендеру повинні підтвердити свої можливості доставки в Додатку B – Форма технічної пропозиції.</w:t>
      </w:r>
    </w:p>
    <w:p w14:paraId="46B3857A" w14:textId="77777777" w:rsidR="00655BCE" w:rsidRPr="008A1C50" w:rsidRDefault="00655BCE" w:rsidP="008A1C50">
      <w:pPr>
        <w:rPr>
          <w:sz w:val="18"/>
          <w:szCs w:val="18"/>
        </w:rPr>
      </w:pPr>
    </w:p>
    <w:p w14:paraId="46B3857B" w14:textId="77777777" w:rsidR="00655BCE" w:rsidRPr="008A1C50" w:rsidRDefault="00655BCE" w:rsidP="008A1C50">
      <w:pPr>
        <w:rPr>
          <w:sz w:val="18"/>
          <w:szCs w:val="18"/>
        </w:rPr>
      </w:pPr>
    </w:p>
    <w:p w14:paraId="46B3857C" w14:textId="77777777" w:rsidR="00655BCE" w:rsidRPr="00413016" w:rsidRDefault="00413016" w:rsidP="008A1C50">
      <w:pPr>
        <w:rPr>
          <w:b/>
          <w:bCs/>
          <w:sz w:val="18"/>
          <w:szCs w:val="18"/>
        </w:rPr>
      </w:pPr>
      <w:r>
        <w:rPr>
          <w:b/>
          <w:sz w:val="18"/>
        </w:rPr>
        <w:t>Технічні вимоги</w:t>
      </w:r>
    </w:p>
    <w:p w14:paraId="46B3857D" w14:textId="77777777" w:rsidR="00655BCE" w:rsidRPr="008A1C50" w:rsidRDefault="00655BCE" w:rsidP="008A1C50">
      <w:pPr>
        <w:rPr>
          <w:sz w:val="18"/>
          <w:szCs w:val="18"/>
        </w:rPr>
      </w:pPr>
    </w:p>
    <w:p w14:paraId="46B3857E" w14:textId="0AC4CB15" w:rsidR="00655BCE" w:rsidRPr="008A1C50" w:rsidRDefault="004B2E09" w:rsidP="008A1C50">
      <w:pPr>
        <w:rPr>
          <w:sz w:val="18"/>
          <w:szCs w:val="18"/>
        </w:rPr>
      </w:pPr>
      <w:r>
        <w:rPr>
          <w:sz w:val="18"/>
        </w:rPr>
        <w:t>Усі товари має надати компанія, обрана в ході тендерного процесу. Відповідність учасників тендеру буде оцінюватися комітетом з технічної оцінки УВКБ ООН (КТО) відповідно до технічних вимог, як зазначено в Додатку А та Додатку А1.</w:t>
      </w:r>
    </w:p>
    <w:p w14:paraId="1607156B" w14:textId="77777777" w:rsidR="00D45A12" w:rsidRDefault="00D45A12" w:rsidP="008A1C50">
      <w:pPr>
        <w:rPr>
          <w:sz w:val="18"/>
          <w:szCs w:val="18"/>
        </w:rPr>
      </w:pPr>
    </w:p>
    <w:p w14:paraId="6D1507E0" w14:textId="77777777" w:rsidR="00D45A12" w:rsidRDefault="00D45A12" w:rsidP="008A1C50">
      <w:pPr>
        <w:rPr>
          <w:sz w:val="18"/>
          <w:szCs w:val="18"/>
        </w:rPr>
      </w:pPr>
    </w:p>
    <w:p w14:paraId="46B38586" w14:textId="56097755" w:rsidR="00655BCE" w:rsidRPr="00D45A12" w:rsidRDefault="00655BCE" w:rsidP="00D45A12">
      <w:pPr>
        <w:rPr>
          <w:sz w:val="18"/>
          <w:szCs w:val="18"/>
        </w:rPr>
      </w:pPr>
    </w:p>
    <w:sectPr w:rsidR="00655BCE" w:rsidRPr="00D45A12">
      <w:headerReference w:type="default" r:id="rId7"/>
      <w:footerReference w:type="default" r:id="rId8"/>
      <w:pgSz w:w="12240" w:h="15840"/>
      <w:pgMar w:top="1840" w:right="1720" w:bottom="880" w:left="1720" w:header="66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2F6E" w14:textId="77777777" w:rsidR="00FC52E0" w:rsidRDefault="00FC52E0">
      <w:r>
        <w:separator/>
      </w:r>
    </w:p>
  </w:endnote>
  <w:endnote w:type="continuationSeparator" w:id="0">
    <w:p w14:paraId="750D8E18" w14:textId="77777777" w:rsidR="00FC52E0" w:rsidRDefault="00FC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8588" w14:textId="77777777" w:rsidR="00655BCE" w:rsidRDefault="00413016">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6B3858B" wp14:editId="46B3858C">
              <wp:simplePos x="0" y="0"/>
              <wp:positionH relativeFrom="page">
                <wp:posOffset>6473971</wp:posOffset>
              </wp:positionH>
              <wp:positionV relativeFrom="page">
                <wp:posOffset>9482059</wp:posOffset>
              </wp:positionV>
              <wp:extent cx="155575" cy="1574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 cy="157480"/>
                      </a:xfrm>
                      <a:prstGeom prst="rect">
                        <a:avLst/>
                      </a:prstGeom>
                    </wps:spPr>
                    <wps:txbx>
                      <w:txbxContent>
                        <w:p w14:paraId="46B3858D" w14:textId="77777777" w:rsidR="00655BCE" w:rsidRDefault="00413016">
                          <w:pPr>
                            <w:spacing w:line="229" w:lineRule="exact"/>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wps:txbx>
                    <wps:bodyPr wrap="square" lIns="0" tIns="0" rIns="0" bIns="0" rtlCol="0">
                      <a:noAutofit/>
                    </wps:bodyPr>
                  </wps:wsp>
                </a:graphicData>
              </a:graphic>
            </wp:anchor>
          </w:drawing>
        </mc:Choice>
        <mc:Fallback>
          <w:pict>
            <v:shapetype w14:anchorId="46B3858B" id="_x0000_t202" coordsize="21600,21600" o:spt="202" path="m,l,21600r21600,l21600,xe">
              <v:stroke joinstyle="miter"/>
              <v:path gradientshapeok="t" o:connecttype="rect"/>
            </v:shapetype>
            <v:shape id="Textbox 2" o:spid="_x0000_s1026" type="#_x0000_t202" style="position:absolute;margin-left:509.75pt;margin-top:746.6pt;width:12.25pt;height:12.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" filled="f" stroked="f">
              <v:textbox inset="0,0,0,0">
                <w:txbxContent>
                  <w:p w14:paraId="46B3858D" w14:textId="77777777" w:rsidR="00655BCE" w:rsidRDefault="00413016">
                    <w:pPr>
                      <w:spacing w:line="229" w:lineRule="exact"/>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A580" w14:textId="77777777" w:rsidR="00FC52E0" w:rsidRDefault="00FC52E0">
      <w:r>
        <w:separator/>
      </w:r>
    </w:p>
  </w:footnote>
  <w:footnote w:type="continuationSeparator" w:id="0">
    <w:p w14:paraId="7F458F63" w14:textId="77777777" w:rsidR="00FC52E0" w:rsidRDefault="00FC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8587" w14:textId="77777777" w:rsidR="00655BCE" w:rsidRDefault="00413016">
    <w:pPr>
      <w:pStyle w:val="BodyText"/>
      <w:spacing w:line="14" w:lineRule="auto"/>
      <w:rPr>
        <w:sz w:val="20"/>
      </w:rPr>
    </w:pPr>
    <w:r>
      <w:rPr>
        <w:noProof/>
      </w:rPr>
      <w:drawing>
        <wp:anchor distT="0" distB="0" distL="0" distR="0" simplePos="0" relativeHeight="251657216" behindDoc="1" locked="0" layoutInCell="1" allowOverlap="1" wp14:anchorId="46B38589" wp14:editId="46B3858A">
          <wp:simplePos x="0" y="0"/>
          <wp:positionH relativeFrom="page">
            <wp:posOffset>1187195</wp:posOffset>
          </wp:positionH>
          <wp:positionV relativeFrom="page">
            <wp:posOffset>419100</wp:posOffset>
          </wp:positionV>
          <wp:extent cx="3087623" cy="46939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087623" cy="4693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A7"/>
    <w:multiLevelType w:val="hybridMultilevel"/>
    <w:tmpl w:val="67A8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A40F7"/>
    <w:multiLevelType w:val="hybridMultilevel"/>
    <w:tmpl w:val="213C499A"/>
    <w:lvl w:ilvl="0" w:tplc="29DE8400">
      <w:start w:val="1"/>
      <w:numFmt w:val="decimal"/>
      <w:lvlText w:val="%1)"/>
      <w:lvlJc w:val="left"/>
      <w:pPr>
        <w:ind w:left="151" w:hanging="202"/>
        <w:jc w:val="left"/>
      </w:pPr>
      <w:rPr>
        <w:rFonts w:ascii="Calibri" w:eastAsia="Calibri" w:hAnsi="Calibri" w:cs="Calibri" w:hint="default"/>
        <w:b w:val="0"/>
        <w:bCs w:val="0"/>
        <w:i w:val="0"/>
        <w:iCs w:val="0"/>
        <w:spacing w:val="0"/>
        <w:w w:val="103"/>
        <w:sz w:val="18"/>
        <w:szCs w:val="18"/>
        <w:lang w:val="en-US" w:eastAsia="en-US" w:bidi="ar-SA"/>
      </w:rPr>
    </w:lvl>
    <w:lvl w:ilvl="1" w:tplc="88360C38">
      <w:numFmt w:val="bullet"/>
      <w:lvlText w:val="•"/>
      <w:lvlJc w:val="left"/>
      <w:pPr>
        <w:ind w:left="1024" w:hanging="202"/>
      </w:pPr>
      <w:rPr>
        <w:rFonts w:hint="default"/>
        <w:lang w:val="en-US" w:eastAsia="en-US" w:bidi="ar-SA"/>
      </w:rPr>
    </w:lvl>
    <w:lvl w:ilvl="2" w:tplc="05FA813E">
      <w:numFmt w:val="bullet"/>
      <w:lvlText w:val="•"/>
      <w:lvlJc w:val="left"/>
      <w:pPr>
        <w:ind w:left="1888" w:hanging="202"/>
      </w:pPr>
      <w:rPr>
        <w:rFonts w:hint="default"/>
        <w:lang w:val="en-US" w:eastAsia="en-US" w:bidi="ar-SA"/>
      </w:rPr>
    </w:lvl>
    <w:lvl w:ilvl="3" w:tplc="A178118E">
      <w:numFmt w:val="bullet"/>
      <w:lvlText w:val="•"/>
      <w:lvlJc w:val="left"/>
      <w:pPr>
        <w:ind w:left="2752" w:hanging="202"/>
      </w:pPr>
      <w:rPr>
        <w:rFonts w:hint="default"/>
        <w:lang w:val="en-US" w:eastAsia="en-US" w:bidi="ar-SA"/>
      </w:rPr>
    </w:lvl>
    <w:lvl w:ilvl="4" w:tplc="C2804E68">
      <w:numFmt w:val="bullet"/>
      <w:lvlText w:val="•"/>
      <w:lvlJc w:val="left"/>
      <w:pPr>
        <w:ind w:left="3616" w:hanging="202"/>
      </w:pPr>
      <w:rPr>
        <w:rFonts w:hint="default"/>
        <w:lang w:val="en-US" w:eastAsia="en-US" w:bidi="ar-SA"/>
      </w:rPr>
    </w:lvl>
    <w:lvl w:ilvl="5" w:tplc="4950FBD0">
      <w:numFmt w:val="bullet"/>
      <w:lvlText w:val="•"/>
      <w:lvlJc w:val="left"/>
      <w:pPr>
        <w:ind w:left="4480" w:hanging="202"/>
      </w:pPr>
      <w:rPr>
        <w:rFonts w:hint="default"/>
        <w:lang w:val="en-US" w:eastAsia="en-US" w:bidi="ar-SA"/>
      </w:rPr>
    </w:lvl>
    <w:lvl w:ilvl="6" w:tplc="DCD0A474">
      <w:numFmt w:val="bullet"/>
      <w:lvlText w:val="•"/>
      <w:lvlJc w:val="left"/>
      <w:pPr>
        <w:ind w:left="5344" w:hanging="202"/>
      </w:pPr>
      <w:rPr>
        <w:rFonts w:hint="default"/>
        <w:lang w:val="en-US" w:eastAsia="en-US" w:bidi="ar-SA"/>
      </w:rPr>
    </w:lvl>
    <w:lvl w:ilvl="7" w:tplc="83443CFA">
      <w:numFmt w:val="bullet"/>
      <w:lvlText w:val="•"/>
      <w:lvlJc w:val="left"/>
      <w:pPr>
        <w:ind w:left="6208" w:hanging="202"/>
      </w:pPr>
      <w:rPr>
        <w:rFonts w:hint="default"/>
        <w:lang w:val="en-US" w:eastAsia="en-US" w:bidi="ar-SA"/>
      </w:rPr>
    </w:lvl>
    <w:lvl w:ilvl="8" w:tplc="CBC28C00">
      <w:numFmt w:val="bullet"/>
      <w:lvlText w:val="•"/>
      <w:lvlJc w:val="left"/>
      <w:pPr>
        <w:ind w:left="7072" w:hanging="202"/>
      </w:pPr>
      <w:rPr>
        <w:rFonts w:hint="default"/>
        <w:lang w:val="en-US" w:eastAsia="en-US" w:bidi="ar-SA"/>
      </w:rPr>
    </w:lvl>
  </w:abstractNum>
  <w:abstractNum w:abstractNumId="2" w15:restartNumberingAfterBreak="0">
    <w:nsid w:val="70024C1E"/>
    <w:multiLevelType w:val="hybridMultilevel"/>
    <w:tmpl w:val="B710983A"/>
    <w:lvl w:ilvl="0" w:tplc="8ACC1B7C">
      <w:numFmt w:val="bullet"/>
      <w:lvlText w:val="-"/>
      <w:lvlJc w:val="left"/>
      <w:pPr>
        <w:ind w:left="828" w:hanging="339"/>
      </w:pPr>
      <w:rPr>
        <w:rFonts w:ascii="Calibri" w:eastAsia="Calibri" w:hAnsi="Calibri" w:cs="Calibri" w:hint="default"/>
        <w:b w:val="0"/>
        <w:bCs w:val="0"/>
        <w:i w:val="0"/>
        <w:iCs w:val="0"/>
        <w:spacing w:val="0"/>
        <w:w w:val="103"/>
        <w:sz w:val="18"/>
        <w:szCs w:val="18"/>
        <w:lang w:val="en-US" w:eastAsia="en-US" w:bidi="ar-SA"/>
      </w:rPr>
    </w:lvl>
    <w:lvl w:ilvl="1" w:tplc="BC20908C">
      <w:numFmt w:val="bullet"/>
      <w:lvlText w:val="•"/>
      <w:lvlJc w:val="left"/>
      <w:pPr>
        <w:ind w:left="1618" w:hanging="339"/>
      </w:pPr>
      <w:rPr>
        <w:rFonts w:hint="default"/>
        <w:lang w:val="en-US" w:eastAsia="en-US" w:bidi="ar-SA"/>
      </w:rPr>
    </w:lvl>
    <w:lvl w:ilvl="2" w:tplc="BAF4CB72">
      <w:numFmt w:val="bullet"/>
      <w:lvlText w:val="•"/>
      <w:lvlJc w:val="left"/>
      <w:pPr>
        <w:ind w:left="2416" w:hanging="339"/>
      </w:pPr>
      <w:rPr>
        <w:rFonts w:hint="default"/>
        <w:lang w:val="en-US" w:eastAsia="en-US" w:bidi="ar-SA"/>
      </w:rPr>
    </w:lvl>
    <w:lvl w:ilvl="3" w:tplc="8E68AB58">
      <w:numFmt w:val="bullet"/>
      <w:lvlText w:val="•"/>
      <w:lvlJc w:val="left"/>
      <w:pPr>
        <w:ind w:left="3214" w:hanging="339"/>
      </w:pPr>
      <w:rPr>
        <w:rFonts w:hint="default"/>
        <w:lang w:val="en-US" w:eastAsia="en-US" w:bidi="ar-SA"/>
      </w:rPr>
    </w:lvl>
    <w:lvl w:ilvl="4" w:tplc="E1B0A8FC">
      <w:numFmt w:val="bullet"/>
      <w:lvlText w:val="•"/>
      <w:lvlJc w:val="left"/>
      <w:pPr>
        <w:ind w:left="4012" w:hanging="339"/>
      </w:pPr>
      <w:rPr>
        <w:rFonts w:hint="default"/>
        <w:lang w:val="en-US" w:eastAsia="en-US" w:bidi="ar-SA"/>
      </w:rPr>
    </w:lvl>
    <w:lvl w:ilvl="5" w:tplc="61EC0286">
      <w:numFmt w:val="bullet"/>
      <w:lvlText w:val="•"/>
      <w:lvlJc w:val="left"/>
      <w:pPr>
        <w:ind w:left="4810" w:hanging="339"/>
      </w:pPr>
      <w:rPr>
        <w:rFonts w:hint="default"/>
        <w:lang w:val="en-US" w:eastAsia="en-US" w:bidi="ar-SA"/>
      </w:rPr>
    </w:lvl>
    <w:lvl w:ilvl="6" w:tplc="08FC2006">
      <w:numFmt w:val="bullet"/>
      <w:lvlText w:val="•"/>
      <w:lvlJc w:val="left"/>
      <w:pPr>
        <w:ind w:left="5608" w:hanging="339"/>
      </w:pPr>
      <w:rPr>
        <w:rFonts w:hint="default"/>
        <w:lang w:val="en-US" w:eastAsia="en-US" w:bidi="ar-SA"/>
      </w:rPr>
    </w:lvl>
    <w:lvl w:ilvl="7" w:tplc="D8FCC176">
      <w:numFmt w:val="bullet"/>
      <w:lvlText w:val="•"/>
      <w:lvlJc w:val="left"/>
      <w:pPr>
        <w:ind w:left="6406" w:hanging="339"/>
      </w:pPr>
      <w:rPr>
        <w:rFonts w:hint="default"/>
        <w:lang w:val="en-US" w:eastAsia="en-US" w:bidi="ar-SA"/>
      </w:rPr>
    </w:lvl>
    <w:lvl w:ilvl="8" w:tplc="59B0138C">
      <w:numFmt w:val="bullet"/>
      <w:lvlText w:val="•"/>
      <w:lvlJc w:val="left"/>
      <w:pPr>
        <w:ind w:left="7204" w:hanging="339"/>
      </w:pPr>
      <w:rPr>
        <w:rFonts w:hint="default"/>
        <w:lang w:val="en-US" w:eastAsia="en-US" w:bidi="ar-SA"/>
      </w:rPr>
    </w:lvl>
  </w:abstractNum>
  <w:num w:numId="1" w16cid:durableId="1732000356">
    <w:abstractNumId w:val="2"/>
  </w:num>
  <w:num w:numId="2" w16cid:durableId="971441949">
    <w:abstractNumId w:val="1"/>
  </w:num>
  <w:num w:numId="3" w16cid:durableId="29124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CE"/>
    <w:rsid w:val="0006252E"/>
    <w:rsid w:val="000B5A10"/>
    <w:rsid w:val="000D2301"/>
    <w:rsid w:val="00162F7C"/>
    <w:rsid w:val="00181987"/>
    <w:rsid w:val="00224A19"/>
    <w:rsid w:val="00274121"/>
    <w:rsid w:val="0031242E"/>
    <w:rsid w:val="00383EF3"/>
    <w:rsid w:val="003D42C7"/>
    <w:rsid w:val="003F4BA3"/>
    <w:rsid w:val="00413016"/>
    <w:rsid w:val="004B2E09"/>
    <w:rsid w:val="004C2026"/>
    <w:rsid w:val="004F5F61"/>
    <w:rsid w:val="005403E8"/>
    <w:rsid w:val="0055383C"/>
    <w:rsid w:val="00581013"/>
    <w:rsid w:val="0060479D"/>
    <w:rsid w:val="00655BCE"/>
    <w:rsid w:val="006E09B8"/>
    <w:rsid w:val="00713EE3"/>
    <w:rsid w:val="007B2CCE"/>
    <w:rsid w:val="007B6311"/>
    <w:rsid w:val="007C5923"/>
    <w:rsid w:val="007D4F07"/>
    <w:rsid w:val="008A1C50"/>
    <w:rsid w:val="008B73C9"/>
    <w:rsid w:val="0090322D"/>
    <w:rsid w:val="009135A4"/>
    <w:rsid w:val="009B1A5A"/>
    <w:rsid w:val="009F2AE4"/>
    <w:rsid w:val="009F7A25"/>
    <w:rsid w:val="00AB5B63"/>
    <w:rsid w:val="00AE5FCF"/>
    <w:rsid w:val="00B1067F"/>
    <w:rsid w:val="00B55817"/>
    <w:rsid w:val="00B7342B"/>
    <w:rsid w:val="00C067D2"/>
    <w:rsid w:val="00CE7FA0"/>
    <w:rsid w:val="00CF599A"/>
    <w:rsid w:val="00D06836"/>
    <w:rsid w:val="00D16B66"/>
    <w:rsid w:val="00D3233A"/>
    <w:rsid w:val="00D45A12"/>
    <w:rsid w:val="00DA36C4"/>
    <w:rsid w:val="00DB63E7"/>
    <w:rsid w:val="00DE393B"/>
    <w:rsid w:val="00DF2A0C"/>
    <w:rsid w:val="00E56FBF"/>
    <w:rsid w:val="00EB06A0"/>
    <w:rsid w:val="00F056BE"/>
    <w:rsid w:val="00F57ACD"/>
    <w:rsid w:val="00F8431D"/>
    <w:rsid w:val="00F9741E"/>
    <w:rsid w:val="00FC52E0"/>
    <w:rsid w:val="00FD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8508"/>
  <w15:docId w15:val="{F5286FB1-1DEE-4521-BBAC-1EE91CC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2"/>
      <w:outlineLvl w:val="0"/>
    </w:pPr>
    <w:rPr>
      <w:b/>
      <w:bCs/>
      <w:sz w:val="20"/>
      <w:szCs w:val="20"/>
    </w:rPr>
  </w:style>
  <w:style w:type="paragraph" w:styleId="Heading2">
    <w:name w:val="heading 2"/>
    <w:basedOn w:val="Normal"/>
    <w:uiPriority w:val="9"/>
    <w:unhideWhenUsed/>
    <w:qFormat/>
    <w:pPr>
      <w:ind w:left="828" w:hanging="338"/>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53"/>
      <w:ind w:left="2916" w:right="2110"/>
      <w:jc w:val="center"/>
    </w:pPr>
    <w:rPr>
      <w:b/>
      <w:bCs/>
      <w:sz w:val="30"/>
      <w:szCs w:val="30"/>
    </w:rPr>
  </w:style>
  <w:style w:type="paragraph" w:styleId="ListParagraph">
    <w:name w:val="List Paragraph"/>
    <w:basedOn w:val="Normal"/>
    <w:uiPriority w:val="1"/>
    <w:qFormat/>
    <w:pPr>
      <w:ind w:left="828" w:hanging="338"/>
    </w:pPr>
  </w:style>
  <w:style w:type="paragraph" w:customStyle="1" w:styleId="TableParagraph">
    <w:name w:val="Table Paragraph"/>
    <w:basedOn w:val="Normal"/>
    <w:uiPriority w:val="1"/>
    <w:qFormat/>
    <w:pPr>
      <w:ind w:left="100"/>
    </w:pPr>
  </w:style>
  <w:style w:type="table" w:styleId="TableGrid">
    <w:name w:val="Table Grid"/>
    <w:basedOn w:val="TableNormal"/>
    <w:uiPriority w:val="39"/>
    <w:rsid w:val="00F056BE"/>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8609">
      <w:bodyDiv w:val="1"/>
      <w:marLeft w:val="0"/>
      <w:marRight w:val="0"/>
      <w:marTop w:val="0"/>
      <w:marBottom w:val="0"/>
      <w:divBdr>
        <w:top w:val="none" w:sz="0" w:space="0" w:color="auto"/>
        <w:left w:val="none" w:sz="0" w:space="0" w:color="auto"/>
        <w:bottom w:val="none" w:sz="0" w:space="0" w:color="auto"/>
        <w:right w:val="none" w:sz="0" w:space="0" w:color="auto"/>
      </w:divBdr>
    </w:div>
    <w:div w:id="1678119477">
      <w:bodyDiv w:val="1"/>
      <w:marLeft w:val="0"/>
      <w:marRight w:val="0"/>
      <w:marTop w:val="0"/>
      <w:marBottom w:val="0"/>
      <w:divBdr>
        <w:top w:val="none" w:sz="0" w:space="0" w:color="auto"/>
        <w:left w:val="none" w:sz="0" w:space="0" w:color="auto"/>
        <w:bottom w:val="none" w:sz="0" w:space="0" w:color="auto"/>
        <w:right w:val="none" w:sz="0" w:space="0" w:color="auto"/>
      </w:divBdr>
    </w:div>
    <w:div w:id="2103839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9" ma:contentTypeDescription="Create a new document." ma:contentTypeScope="" ma:versionID="ce09c228a4b2a75c9a3250827b32ab9e">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1cb66bcfce5e0ed13b9b4e4a98bd88e2"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Props1.xml><?xml version="1.0" encoding="utf-8"?>
<ds:datastoreItem xmlns:ds="http://schemas.openxmlformats.org/officeDocument/2006/customXml" ds:itemID="{DF80AC10-54A9-4A96-BC6B-85FFA6A444E2}"/>
</file>

<file path=customXml/itemProps2.xml><?xml version="1.0" encoding="utf-8"?>
<ds:datastoreItem xmlns:ds="http://schemas.openxmlformats.org/officeDocument/2006/customXml" ds:itemID="{2991F387-9B2C-4222-88C1-1928F4A10084}"/>
</file>

<file path=customXml/itemProps3.xml><?xml version="1.0" encoding="utf-8"?>
<ds:datastoreItem xmlns:ds="http://schemas.openxmlformats.org/officeDocument/2006/customXml" ds:itemID="{8E930268-69F2-48BA-A19D-1D8B3244AA0F}"/>
</file>

<file path=docProps/app.xml><?xml version="1.0" encoding="utf-8"?>
<Properties xmlns="http://schemas.openxmlformats.org/officeDocument/2006/extended-properties" xmlns:vt="http://schemas.openxmlformats.org/officeDocument/2006/docPropsVTypes">
  <Template>Normal</Template>
  <TotalTime>165</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A1 - TOR ITB-2022-025</dc:title>
  <dc:creator>HORVATH</dc:creator>
  <cp:lastModifiedBy>Dmytro Kononov</cp:lastModifiedBy>
  <cp:revision>21</cp:revision>
  <dcterms:created xsi:type="dcterms:W3CDTF">2023-07-12T14:46:00Z</dcterms:created>
  <dcterms:modified xsi:type="dcterms:W3CDTF">2023-07-26T09:19:00Z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LastSaved">
    <vt:filetime>2023-06-30T00:00:00Z</vt:filetime>
  </property>
  <property fmtid="{D5CDD505-2E9C-101B-9397-08002B2CF9AE}" pid="4" name="Producer">
    <vt:lpwstr>Microsoft: Print To PDF</vt:lpwstr>
  </property>
  <property fmtid="{D5CDD505-2E9C-101B-9397-08002B2CF9AE}" pid="5" name="GrammarlyDocumentId">
    <vt:lpwstr>7f698b39a7c5ec0cbdeff54835f45bfec2b564e88fcd83b19ebcde9f01aeabee</vt:lpwstr>
  </property>
  <property fmtid="{D5CDD505-2E9C-101B-9397-08002B2CF9AE}" pid="6" name="ContentTypeId">
    <vt:lpwstr>0x0101007C8D1B5FFD618B4E96C2FF7D88AB182B</vt:lpwstr>
  </property>
</Properties>
</file>